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3A83BB">
      <w:pPr>
        <w:widowControl/>
        <w:jc w:val="center"/>
        <w:rPr>
          <w:rFonts w:ascii="Times New Roman" w:hAnsi="Times New Roman" w:eastAsia="仿宋" w:cs="Times New Roman"/>
          <w:b/>
          <w:color w:val="FF0000"/>
          <w:sz w:val="56"/>
          <w:szCs w:val="56"/>
        </w:rPr>
      </w:pPr>
      <w:bookmarkStart w:id="0" w:name="_Toc88661477"/>
      <w:bookmarkStart w:id="1" w:name="_Toc88471996"/>
      <w:bookmarkStart w:id="2" w:name="_Toc98890289"/>
      <w:bookmarkStart w:id="3" w:name="_Toc88671052"/>
    </w:p>
    <w:p w14:paraId="53D75DAE">
      <w:pPr>
        <w:widowControl/>
        <w:jc w:val="center"/>
        <w:rPr>
          <w:rFonts w:ascii="Times New Roman" w:hAnsi="Times New Roman" w:eastAsia="仿宋" w:cs="Times New Roman"/>
          <w:b/>
          <w:color w:val="auto"/>
          <w:sz w:val="56"/>
          <w:szCs w:val="56"/>
        </w:rPr>
      </w:pPr>
      <w:r>
        <w:rPr>
          <w:rFonts w:hint="eastAsia" w:ascii="Times New Roman" w:hAnsi="Times New Roman" w:eastAsia="仿宋" w:cs="Times New Roman"/>
          <w:b/>
          <w:color w:val="auto"/>
          <w:sz w:val="56"/>
          <w:szCs w:val="56"/>
          <w:lang w:eastAsia="zh-CN"/>
        </w:rPr>
        <w:t>新平县</w:t>
      </w:r>
      <w:r>
        <w:rPr>
          <w:rFonts w:ascii="Times New Roman" w:hAnsi="Times New Roman" w:eastAsia="仿宋" w:cs="Times New Roman"/>
          <w:b/>
          <w:color w:val="auto"/>
          <w:sz w:val="56"/>
          <w:szCs w:val="56"/>
        </w:rPr>
        <w:t>生态文明建设示范区规划（20</w:t>
      </w:r>
      <w:r>
        <w:rPr>
          <w:rFonts w:hint="eastAsia" w:ascii="Times New Roman" w:hAnsi="Times New Roman" w:eastAsia="仿宋" w:cs="Times New Roman"/>
          <w:b/>
          <w:color w:val="auto"/>
          <w:sz w:val="56"/>
          <w:szCs w:val="56"/>
          <w:lang w:val="en-US" w:eastAsia="zh-CN"/>
        </w:rPr>
        <w:t>22—</w:t>
      </w:r>
      <w:r>
        <w:rPr>
          <w:rFonts w:ascii="Times New Roman" w:hAnsi="Times New Roman" w:eastAsia="仿宋" w:cs="Times New Roman"/>
          <w:b/>
          <w:color w:val="auto"/>
          <w:sz w:val="56"/>
          <w:szCs w:val="56"/>
        </w:rPr>
        <w:t>203</w:t>
      </w:r>
      <w:r>
        <w:rPr>
          <w:rFonts w:hint="eastAsia" w:ascii="Times New Roman" w:hAnsi="Times New Roman" w:eastAsia="仿宋" w:cs="Times New Roman"/>
          <w:b/>
          <w:color w:val="auto"/>
          <w:sz w:val="56"/>
          <w:szCs w:val="56"/>
          <w:lang w:val="en-US" w:eastAsia="zh-CN"/>
        </w:rPr>
        <w:t>5</w:t>
      </w:r>
      <w:r>
        <w:rPr>
          <w:rFonts w:ascii="Times New Roman" w:hAnsi="Times New Roman" w:eastAsia="仿宋" w:cs="Times New Roman"/>
          <w:b/>
          <w:color w:val="auto"/>
          <w:sz w:val="56"/>
          <w:szCs w:val="56"/>
        </w:rPr>
        <w:t>年）研究报告</w:t>
      </w:r>
      <w:bookmarkEnd w:id="0"/>
      <w:bookmarkEnd w:id="1"/>
      <w:bookmarkEnd w:id="2"/>
      <w:bookmarkEnd w:id="3"/>
    </w:p>
    <w:p w14:paraId="5A78D039">
      <w:pPr>
        <w:widowControl/>
        <w:jc w:val="center"/>
        <w:rPr>
          <w:rFonts w:ascii="Times New Roman" w:hAnsi="Times New Roman" w:eastAsia="仿宋" w:cs="Times New Roman"/>
          <w:b/>
          <w:color w:val="auto"/>
          <w:sz w:val="44"/>
          <w:szCs w:val="44"/>
        </w:rPr>
      </w:pPr>
      <w:bookmarkStart w:id="4" w:name="_Toc98890290"/>
      <w:bookmarkStart w:id="5" w:name="_Toc88671053"/>
      <w:bookmarkStart w:id="6" w:name="_Toc88661478"/>
      <w:r>
        <w:rPr>
          <w:rFonts w:ascii="Times New Roman" w:hAnsi="Times New Roman" w:eastAsia="仿宋" w:cs="Times New Roman"/>
          <w:b/>
          <w:color w:val="auto"/>
          <w:sz w:val="44"/>
          <w:szCs w:val="44"/>
        </w:rPr>
        <w:t>（</w:t>
      </w:r>
      <w:r>
        <w:rPr>
          <w:rFonts w:hint="eastAsia" w:ascii="Times New Roman" w:hAnsi="Times New Roman" w:eastAsia="仿宋" w:cs="Times New Roman"/>
          <w:b/>
          <w:color w:val="auto"/>
          <w:sz w:val="44"/>
          <w:szCs w:val="44"/>
          <w:lang w:val="en-US" w:eastAsia="zh-CN"/>
        </w:rPr>
        <w:t>征求意见</w:t>
      </w:r>
      <w:r>
        <w:rPr>
          <w:rFonts w:hint="eastAsia" w:ascii="Times New Roman" w:hAnsi="Times New Roman" w:eastAsia="仿宋" w:cs="Times New Roman"/>
          <w:b/>
          <w:color w:val="auto"/>
          <w:sz w:val="44"/>
          <w:szCs w:val="44"/>
        </w:rPr>
        <w:t>稿</w:t>
      </w:r>
      <w:r>
        <w:rPr>
          <w:rFonts w:ascii="Times New Roman" w:hAnsi="Times New Roman" w:eastAsia="仿宋" w:cs="Times New Roman"/>
          <w:b/>
          <w:color w:val="auto"/>
          <w:sz w:val="44"/>
          <w:szCs w:val="44"/>
        </w:rPr>
        <w:t>）</w:t>
      </w:r>
      <w:bookmarkEnd w:id="4"/>
      <w:bookmarkEnd w:id="5"/>
      <w:bookmarkEnd w:id="6"/>
    </w:p>
    <w:p w14:paraId="423F312C">
      <w:pPr>
        <w:widowControl/>
        <w:jc w:val="center"/>
        <w:rPr>
          <w:rFonts w:ascii="Times New Roman" w:hAnsi="Times New Roman" w:eastAsia="仿宋" w:cs="Times New Roman"/>
          <w:bCs/>
          <w:color w:val="auto"/>
          <w:sz w:val="56"/>
          <w:szCs w:val="36"/>
        </w:rPr>
      </w:pPr>
    </w:p>
    <w:p w14:paraId="7670565A">
      <w:pPr>
        <w:widowControl/>
        <w:jc w:val="center"/>
        <w:rPr>
          <w:rFonts w:ascii="Times New Roman" w:hAnsi="Times New Roman" w:eastAsia="仿宋" w:cs="Times New Roman"/>
          <w:bCs/>
          <w:color w:val="auto"/>
          <w:sz w:val="56"/>
          <w:szCs w:val="36"/>
        </w:rPr>
      </w:pPr>
    </w:p>
    <w:p w14:paraId="3C9596F0">
      <w:pPr>
        <w:widowControl/>
        <w:jc w:val="center"/>
        <w:rPr>
          <w:rFonts w:ascii="Times New Roman" w:hAnsi="Times New Roman" w:eastAsia="仿宋" w:cs="Times New Roman"/>
          <w:bCs/>
          <w:color w:val="auto"/>
          <w:sz w:val="56"/>
          <w:szCs w:val="36"/>
        </w:rPr>
      </w:pPr>
    </w:p>
    <w:p w14:paraId="1FA777EC">
      <w:pPr>
        <w:widowControl/>
        <w:jc w:val="center"/>
        <w:rPr>
          <w:rFonts w:ascii="Times New Roman" w:hAnsi="Times New Roman" w:eastAsia="仿宋" w:cs="Times New Roman"/>
          <w:bCs/>
          <w:color w:val="auto"/>
          <w:sz w:val="56"/>
          <w:szCs w:val="36"/>
        </w:rPr>
      </w:pPr>
    </w:p>
    <w:p w14:paraId="0B6B30A5">
      <w:pPr>
        <w:widowControl/>
        <w:jc w:val="center"/>
        <w:rPr>
          <w:rFonts w:ascii="Times New Roman" w:hAnsi="Times New Roman" w:eastAsia="仿宋" w:cs="Times New Roman"/>
          <w:bCs/>
          <w:color w:val="auto"/>
          <w:sz w:val="56"/>
          <w:szCs w:val="36"/>
        </w:rPr>
      </w:pPr>
    </w:p>
    <w:p w14:paraId="3EF9CA3B">
      <w:pPr>
        <w:widowControl/>
        <w:rPr>
          <w:rFonts w:ascii="Times New Roman" w:hAnsi="Times New Roman" w:eastAsia="仿宋" w:cs="Times New Roman"/>
          <w:bCs/>
          <w:color w:val="auto"/>
          <w:sz w:val="56"/>
          <w:szCs w:val="36"/>
        </w:rPr>
      </w:pPr>
    </w:p>
    <w:p w14:paraId="5D69755D">
      <w:pPr>
        <w:pStyle w:val="9"/>
        <w:rPr>
          <w:rFonts w:ascii="Times New Roman" w:hAnsi="Times New Roman" w:eastAsia="仿宋" w:cs="Times New Roman"/>
          <w:bCs/>
          <w:color w:val="auto"/>
          <w:sz w:val="56"/>
          <w:szCs w:val="36"/>
        </w:rPr>
      </w:pPr>
    </w:p>
    <w:p w14:paraId="1EE0774F">
      <w:pPr>
        <w:rPr>
          <w:color w:val="auto"/>
        </w:rPr>
      </w:pPr>
    </w:p>
    <w:p w14:paraId="05729B30">
      <w:pPr>
        <w:rPr>
          <w:rFonts w:ascii="Times New Roman" w:hAnsi="Times New Roman" w:eastAsia="仿宋" w:cs="Times New Roman"/>
          <w:color w:val="auto"/>
        </w:rPr>
      </w:pPr>
    </w:p>
    <w:p w14:paraId="36EB68C6">
      <w:pPr>
        <w:widowControl/>
        <w:jc w:val="center"/>
        <w:rPr>
          <w:rFonts w:ascii="Times New Roman" w:hAnsi="Times New Roman" w:eastAsia="仿宋" w:cs="Times New Roman"/>
          <w:b/>
          <w:color w:val="auto"/>
          <w:sz w:val="36"/>
          <w:szCs w:val="36"/>
        </w:rPr>
      </w:pPr>
      <w:r>
        <w:rPr>
          <w:rFonts w:hint="eastAsia" w:ascii="Times New Roman" w:hAnsi="Times New Roman" w:eastAsia="仿宋" w:cs="Times New Roman"/>
          <w:b/>
          <w:color w:val="auto"/>
          <w:sz w:val="36"/>
          <w:szCs w:val="36"/>
          <w:lang w:eastAsia="zh-CN"/>
        </w:rPr>
        <w:t>新平县</w:t>
      </w:r>
      <w:r>
        <w:rPr>
          <w:rFonts w:ascii="Times New Roman" w:hAnsi="Times New Roman" w:eastAsia="仿宋" w:cs="Times New Roman"/>
          <w:b/>
          <w:color w:val="auto"/>
          <w:sz w:val="36"/>
          <w:szCs w:val="36"/>
        </w:rPr>
        <w:t>人民政府</w:t>
      </w:r>
    </w:p>
    <w:p w14:paraId="4D39C507">
      <w:pPr>
        <w:widowControl/>
        <w:spacing w:line="240" w:lineRule="auto"/>
        <w:jc w:val="center"/>
        <w:rPr>
          <w:rFonts w:ascii="Times New Roman" w:hAnsi="Times New Roman" w:eastAsia="仿宋" w:cs="Times New Roman"/>
          <w:b/>
          <w:color w:val="auto"/>
          <w:sz w:val="36"/>
          <w:szCs w:val="36"/>
        </w:rPr>
      </w:pPr>
      <w:r>
        <w:rPr>
          <w:rFonts w:ascii="Times New Roman" w:hAnsi="Times New Roman" w:eastAsia="仿宋" w:cs="Times New Roman"/>
          <w:b/>
          <w:color w:val="auto"/>
          <w:sz w:val="36"/>
          <w:szCs w:val="36"/>
        </w:rPr>
        <w:t>二〇二</w:t>
      </w:r>
      <w:r>
        <w:rPr>
          <w:rFonts w:hint="eastAsia" w:ascii="Times New Roman" w:hAnsi="Times New Roman" w:eastAsia="仿宋" w:cs="Times New Roman"/>
          <w:b/>
          <w:color w:val="auto"/>
          <w:sz w:val="36"/>
          <w:szCs w:val="36"/>
          <w:lang w:val="en-US" w:eastAsia="zh-CN"/>
        </w:rPr>
        <w:t>三</w:t>
      </w:r>
      <w:r>
        <w:rPr>
          <w:rFonts w:ascii="Times New Roman" w:hAnsi="Times New Roman" w:eastAsia="仿宋" w:cs="Times New Roman"/>
          <w:b/>
          <w:color w:val="auto"/>
          <w:sz w:val="36"/>
          <w:szCs w:val="36"/>
        </w:rPr>
        <w:t>年</w:t>
      </w:r>
      <w:r>
        <w:rPr>
          <w:rFonts w:hint="eastAsia" w:ascii="Times New Roman" w:hAnsi="Times New Roman" w:eastAsia="仿宋" w:cs="Times New Roman"/>
          <w:b/>
          <w:color w:val="auto"/>
          <w:sz w:val="36"/>
          <w:szCs w:val="36"/>
          <w:lang w:val="en-US" w:eastAsia="zh-CN"/>
        </w:rPr>
        <w:t>二</w:t>
      </w:r>
      <w:r>
        <w:rPr>
          <w:rFonts w:ascii="Times New Roman" w:hAnsi="Times New Roman" w:eastAsia="仿宋" w:cs="Times New Roman"/>
          <w:b/>
          <w:color w:val="auto"/>
          <w:sz w:val="36"/>
          <w:szCs w:val="36"/>
        </w:rPr>
        <w:t>月</w:t>
      </w:r>
    </w:p>
    <w:p w14:paraId="139BB4C3">
      <w:pPr>
        <w:widowControl/>
        <w:spacing w:line="240" w:lineRule="auto"/>
        <w:jc w:val="left"/>
        <w:rPr>
          <w:rFonts w:ascii="Times New Roman" w:hAnsi="Times New Roman" w:eastAsia="仿宋" w:cs="Times New Roman"/>
          <w:b/>
          <w:color w:val="FF0000"/>
          <w:sz w:val="36"/>
          <w:szCs w:val="36"/>
        </w:rPr>
      </w:pPr>
    </w:p>
    <w:p w14:paraId="29D12FB1">
      <w:pPr>
        <w:rPr>
          <w:rFonts w:ascii="Times New Roman" w:hAnsi="Times New Roman" w:eastAsia="仿宋" w:cs="Times New Roman"/>
          <w:b/>
          <w:color w:val="FF0000"/>
          <w:spacing w:val="80"/>
        </w:rPr>
      </w:pPr>
      <w:r>
        <w:rPr>
          <w:rFonts w:ascii="Times New Roman" w:hAnsi="Times New Roman" w:eastAsia="仿宋" w:cs="Times New Roman"/>
          <w:b/>
          <w:color w:val="FF0000"/>
          <w:spacing w:val="80"/>
        </w:rPr>
        <w:br w:type="page"/>
      </w:r>
    </w:p>
    <w:p w14:paraId="36543174">
      <w:pPr>
        <w:widowControl/>
        <w:spacing w:line="240" w:lineRule="auto"/>
        <w:jc w:val="left"/>
        <w:rPr>
          <w:rFonts w:ascii="Times New Roman" w:hAnsi="Times New Roman" w:eastAsia="仿宋" w:cs="Times New Roman"/>
          <w:color w:val="auto"/>
        </w:rPr>
      </w:pPr>
      <w:r>
        <w:rPr>
          <w:rFonts w:ascii="Times New Roman" w:hAnsi="Times New Roman" w:eastAsia="仿宋" w:cs="Times New Roman"/>
          <w:b/>
          <w:color w:val="auto"/>
          <w:spacing w:val="80"/>
        </w:rPr>
        <w:t>项目名称</w:t>
      </w:r>
      <w:r>
        <w:rPr>
          <w:rFonts w:ascii="Times New Roman" w:hAnsi="Times New Roman" w:eastAsia="仿宋" w:cs="Times New Roman"/>
          <w:color w:val="auto"/>
        </w:rPr>
        <w:t>：</w:t>
      </w:r>
      <w:r>
        <w:rPr>
          <w:rFonts w:hint="eastAsia" w:ascii="Times New Roman" w:hAnsi="Times New Roman" w:eastAsia="仿宋" w:cs="Times New Roman"/>
          <w:color w:val="auto"/>
          <w:lang w:eastAsia="zh-CN"/>
        </w:rPr>
        <w:t>新平县</w:t>
      </w:r>
      <w:r>
        <w:rPr>
          <w:rFonts w:ascii="Times New Roman" w:hAnsi="Times New Roman" w:eastAsia="仿宋" w:cs="Times New Roman"/>
          <w:color w:val="auto"/>
        </w:rPr>
        <w:t>生态文明建设示范区规划（202</w:t>
      </w:r>
      <w:r>
        <w:rPr>
          <w:rFonts w:hint="eastAsia" w:ascii="Times New Roman" w:hAnsi="Times New Roman" w:eastAsia="仿宋" w:cs="Times New Roman"/>
          <w:color w:val="auto"/>
          <w:lang w:val="en-US" w:eastAsia="zh-CN"/>
        </w:rPr>
        <w:t>2—</w:t>
      </w:r>
      <w:r>
        <w:rPr>
          <w:rFonts w:ascii="Times New Roman" w:hAnsi="Times New Roman" w:eastAsia="仿宋" w:cs="Times New Roman"/>
          <w:color w:val="auto"/>
        </w:rPr>
        <w:t>20</w:t>
      </w:r>
      <w:r>
        <w:rPr>
          <w:rFonts w:hint="eastAsia" w:ascii="Times New Roman" w:hAnsi="Times New Roman" w:eastAsia="仿宋" w:cs="Times New Roman"/>
          <w:color w:val="auto"/>
          <w:lang w:val="en-US" w:eastAsia="zh-CN"/>
        </w:rPr>
        <w:t>35</w:t>
      </w:r>
      <w:r>
        <w:rPr>
          <w:rFonts w:ascii="Times New Roman" w:hAnsi="Times New Roman" w:eastAsia="仿宋" w:cs="Times New Roman"/>
          <w:color w:val="auto"/>
        </w:rPr>
        <w:t>年）</w:t>
      </w:r>
    </w:p>
    <w:p w14:paraId="60CC6F55">
      <w:pPr>
        <w:spacing w:line="900" w:lineRule="exact"/>
        <w:rPr>
          <w:rFonts w:ascii="Times New Roman" w:hAnsi="Times New Roman" w:eastAsia="仿宋" w:cs="Times New Roman"/>
          <w:color w:val="auto"/>
        </w:rPr>
      </w:pPr>
      <w:r>
        <w:rPr>
          <w:rFonts w:ascii="Times New Roman" w:hAnsi="Times New Roman" w:eastAsia="仿宋" w:cs="Times New Roman"/>
          <w:b/>
          <w:color w:val="auto"/>
        </w:rPr>
        <w:t>项目主持单位</w:t>
      </w:r>
      <w:r>
        <w:rPr>
          <w:rFonts w:ascii="Times New Roman" w:hAnsi="Times New Roman" w:eastAsia="仿宋" w:cs="Times New Roman"/>
          <w:color w:val="auto"/>
        </w:rPr>
        <w:t>：</w:t>
      </w:r>
      <w:r>
        <w:rPr>
          <w:rFonts w:hint="eastAsia" w:ascii="Times New Roman" w:hAnsi="Times New Roman" w:eastAsia="仿宋" w:cs="Times New Roman"/>
          <w:color w:val="auto"/>
          <w:lang w:eastAsia="zh-CN"/>
        </w:rPr>
        <w:t>新平县</w:t>
      </w:r>
      <w:r>
        <w:rPr>
          <w:rFonts w:ascii="Times New Roman" w:hAnsi="Times New Roman" w:eastAsia="仿宋" w:cs="Times New Roman"/>
          <w:color w:val="auto"/>
        </w:rPr>
        <w:t>人民政府</w:t>
      </w:r>
    </w:p>
    <w:p w14:paraId="513E3797">
      <w:pPr>
        <w:spacing w:line="900" w:lineRule="exact"/>
        <w:rPr>
          <w:rFonts w:eastAsia="方正仿宋_GBK"/>
          <w:color w:val="auto"/>
          <w:sz w:val="32"/>
        </w:rPr>
      </w:pPr>
      <w:r>
        <w:rPr>
          <w:rFonts w:eastAsia="方正仿宋_GBK"/>
          <w:b/>
          <w:color w:val="auto"/>
          <w:sz w:val="32"/>
        </w:rPr>
        <w:t>项目承办单位</w:t>
      </w:r>
      <w:r>
        <w:rPr>
          <w:rFonts w:eastAsia="方正仿宋_GBK"/>
          <w:color w:val="auto"/>
          <w:sz w:val="32"/>
        </w:rPr>
        <w:t>：</w:t>
      </w:r>
      <w:r>
        <w:rPr>
          <w:rFonts w:hint="eastAsia" w:eastAsia="方正仿宋_GBK"/>
          <w:color w:val="auto"/>
          <w:sz w:val="32"/>
          <w:lang w:val="en-US" w:eastAsia="zh-CN"/>
        </w:rPr>
        <w:t>玉溪市</w:t>
      </w:r>
      <w:r>
        <w:rPr>
          <w:rFonts w:eastAsia="方正仿宋_GBK"/>
          <w:color w:val="auto"/>
          <w:sz w:val="32"/>
        </w:rPr>
        <w:t>生态环境局</w:t>
      </w:r>
      <w:r>
        <w:rPr>
          <w:rFonts w:hint="eastAsia" w:eastAsia="方正仿宋_GBK"/>
          <w:color w:val="auto"/>
          <w:sz w:val="32"/>
          <w:lang w:val="en-US" w:eastAsia="zh-CN"/>
        </w:rPr>
        <w:t>新平</w:t>
      </w:r>
      <w:r>
        <w:rPr>
          <w:rFonts w:eastAsia="方正仿宋_GBK"/>
          <w:color w:val="auto"/>
          <w:sz w:val="32"/>
        </w:rPr>
        <w:t>分局</w:t>
      </w:r>
    </w:p>
    <w:p w14:paraId="1EE837CD">
      <w:pPr>
        <w:spacing w:line="900" w:lineRule="exact"/>
        <w:rPr>
          <w:rFonts w:ascii="Times New Roman" w:hAnsi="Times New Roman" w:eastAsia="仿宋" w:cs="Times New Roman"/>
          <w:color w:val="auto"/>
        </w:rPr>
      </w:pPr>
      <w:r>
        <w:rPr>
          <w:rFonts w:eastAsia="方正仿宋_GBK"/>
          <w:b/>
          <w:color w:val="auto"/>
          <w:sz w:val="32"/>
        </w:rPr>
        <w:t>技术支持单位</w:t>
      </w:r>
      <w:r>
        <w:rPr>
          <w:rFonts w:eastAsia="方正仿宋_GBK"/>
          <w:color w:val="auto"/>
          <w:sz w:val="32"/>
        </w:rPr>
        <w:t>：</w:t>
      </w:r>
      <w:r>
        <w:rPr>
          <w:rFonts w:hint="eastAsia" w:eastAsia="方正仿宋_GBK"/>
          <w:color w:val="auto"/>
          <w:sz w:val="32"/>
          <w:lang w:val="en-US" w:eastAsia="zh-CN"/>
        </w:rPr>
        <w:t>云南省环境科学学会</w:t>
      </w:r>
    </w:p>
    <w:p w14:paraId="3DF5A2D5">
      <w:pPr>
        <w:spacing w:line="900" w:lineRule="exact"/>
        <w:rPr>
          <w:rFonts w:ascii="Times New Roman" w:hAnsi="Times New Roman" w:eastAsia="仿宋" w:cs="Times New Roman"/>
          <w:color w:val="auto"/>
        </w:rPr>
      </w:pPr>
      <w:r>
        <w:rPr>
          <w:rFonts w:ascii="Times New Roman" w:hAnsi="Times New Roman" w:eastAsia="仿宋" w:cs="Times New Roman"/>
          <w:b/>
          <w:color w:val="auto"/>
          <w:spacing w:val="34"/>
        </w:rPr>
        <w:t>法定代表人</w:t>
      </w:r>
      <w:r>
        <w:rPr>
          <w:rFonts w:ascii="Times New Roman" w:hAnsi="Times New Roman" w:eastAsia="仿宋" w:cs="Times New Roman"/>
          <w:color w:val="auto"/>
        </w:rPr>
        <w:t>：李唯（正高级工程师）</w:t>
      </w:r>
    </w:p>
    <w:p w14:paraId="7CE3E141">
      <w:pPr>
        <w:spacing w:line="700" w:lineRule="exact"/>
        <w:rPr>
          <w:rFonts w:ascii="Times New Roman" w:hAnsi="Times New Roman" w:eastAsia="仿宋" w:cs="Times New Roman"/>
          <w:color w:val="auto"/>
        </w:rPr>
      </w:pPr>
      <w:r>
        <w:rPr>
          <w:rFonts w:ascii="Times New Roman" w:hAnsi="Times New Roman" w:eastAsia="仿宋" w:cs="Times New Roman"/>
          <w:b/>
          <w:color w:val="auto"/>
          <w:spacing w:val="34"/>
        </w:rPr>
        <w:t>审核</w:t>
      </w:r>
      <w:r>
        <w:rPr>
          <w:rFonts w:ascii="Times New Roman" w:hAnsi="Times New Roman" w:eastAsia="仿宋" w:cs="Times New Roman"/>
          <w:color w:val="auto"/>
        </w:rPr>
        <w:t>：朱海春（高级工程师）</w:t>
      </w:r>
    </w:p>
    <w:p w14:paraId="3C8DA967">
      <w:pPr>
        <w:snapToGrid w:val="0"/>
        <w:spacing w:line="900" w:lineRule="exact"/>
        <w:rPr>
          <w:rFonts w:ascii="Times New Roman" w:hAnsi="Times New Roman" w:eastAsia="仿宋" w:cs="Times New Roman"/>
          <w:color w:val="auto"/>
        </w:rPr>
      </w:pPr>
      <w:r>
        <w:rPr>
          <w:rFonts w:ascii="Times New Roman" w:hAnsi="Times New Roman" w:eastAsia="仿宋" w:cs="Times New Roman"/>
          <w:b/>
          <w:color w:val="auto"/>
          <w:spacing w:val="80"/>
        </w:rPr>
        <w:t>课题组长</w:t>
      </w:r>
      <w:r>
        <w:rPr>
          <w:rFonts w:ascii="Times New Roman" w:hAnsi="Times New Roman" w:eastAsia="仿宋" w:cs="Times New Roman"/>
          <w:color w:val="auto"/>
        </w:rPr>
        <w:t>：</w:t>
      </w:r>
      <w:r>
        <w:rPr>
          <w:rFonts w:hint="eastAsia" w:ascii="Times New Roman" w:hAnsi="Times New Roman" w:eastAsia="仿宋" w:cs="Times New Roman"/>
          <w:color w:val="auto"/>
          <w:lang w:val="en-US" w:eastAsia="zh-CN"/>
        </w:rPr>
        <w:t>海艳</w:t>
      </w:r>
      <w:r>
        <w:rPr>
          <w:rFonts w:ascii="Times New Roman" w:hAnsi="Times New Roman" w:eastAsia="仿宋" w:cs="Times New Roman"/>
          <w:color w:val="auto"/>
        </w:rPr>
        <w:t>（工程师）</w:t>
      </w:r>
    </w:p>
    <w:p w14:paraId="6ADA90A8">
      <w:pPr>
        <w:pStyle w:val="13"/>
        <w:spacing w:after="0" w:line="700" w:lineRule="exact"/>
        <w:ind w:left="0" w:leftChars="0" w:firstLine="0" w:firstLineChars="0"/>
        <w:rPr>
          <w:color w:val="auto"/>
        </w:rPr>
      </w:pPr>
      <w:r>
        <w:rPr>
          <w:rFonts w:ascii="Times New Roman" w:hAnsi="Times New Roman" w:eastAsia="仿宋" w:cs="Times New Roman"/>
          <w:b/>
          <w:color w:val="auto"/>
          <w:spacing w:val="80"/>
        </w:rPr>
        <w:t>编制人员</w:t>
      </w:r>
      <w:r>
        <w:rPr>
          <w:rFonts w:ascii="Times New Roman" w:hAnsi="Times New Roman" w:eastAsia="仿宋" w:cs="Times New Roman"/>
          <w:color w:val="auto"/>
        </w:rPr>
        <w:t>：</w:t>
      </w:r>
      <w:r>
        <w:rPr>
          <w:color w:val="auto"/>
        </w:rPr>
        <w:t>洪春霞（高级工程师）</w:t>
      </w:r>
    </w:p>
    <w:p w14:paraId="29DE3A8C">
      <w:pPr>
        <w:spacing w:line="700" w:lineRule="exact"/>
        <w:ind w:firstLine="2240" w:firstLineChars="700"/>
        <w:rPr>
          <w:rFonts w:hint="eastAsia" w:ascii="Times New Roman" w:hAnsi="Times New Roman" w:eastAsia="仿宋" w:cs="Times New Roman"/>
          <w:color w:val="auto"/>
          <w:lang w:val="en-US" w:eastAsia="zh-CN"/>
        </w:rPr>
      </w:pPr>
      <w:r>
        <w:rPr>
          <w:rFonts w:hint="eastAsia" w:ascii="Times New Roman" w:hAnsi="Times New Roman" w:eastAsia="仿宋" w:cs="Times New Roman"/>
          <w:color w:val="auto"/>
          <w:lang w:val="en-US" w:eastAsia="zh-CN"/>
        </w:rPr>
        <w:t>邓婷文（工程师）</w:t>
      </w:r>
    </w:p>
    <w:p w14:paraId="284AB090">
      <w:pPr>
        <w:pStyle w:val="42"/>
        <w:spacing w:line="700" w:lineRule="exact"/>
        <w:ind w:firstLine="2240" w:firstLineChars="700"/>
        <w:rPr>
          <w:rFonts w:ascii="Times New Roman" w:hAnsi="Times New Roman" w:eastAsia="仿宋"/>
          <w:color w:val="auto"/>
          <w:sz w:val="32"/>
          <w:szCs w:val="24"/>
        </w:rPr>
      </w:pPr>
      <w:r>
        <w:rPr>
          <w:rFonts w:ascii="Times New Roman" w:hAnsi="Times New Roman" w:eastAsia="仿宋"/>
          <w:color w:val="auto"/>
          <w:sz w:val="32"/>
        </w:rPr>
        <w:t>陈</w:t>
      </w:r>
      <w:r>
        <w:rPr>
          <w:rFonts w:hint="eastAsia" w:ascii="Times New Roman" w:hAnsi="Times New Roman" w:eastAsia="仿宋"/>
          <w:color w:val="auto"/>
          <w:sz w:val="32"/>
          <w:lang w:val="en-US" w:eastAsia="zh-CN"/>
        </w:rPr>
        <w:t xml:space="preserve">  </w:t>
      </w:r>
      <w:r>
        <w:rPr>
          <w:rFonts w:ascii="Times New Roman" w:hAnsi="Times New Roman" w:eastAsia="仿宋"/>
          <w:color w:val="auto"/>
          <w:sz w:val="32"/>
        </w:rPr>
        <w:t>诚（工程师）</w:t>
      </w:r>
    </w:p>
    <w:p w14:paraId="3C25C6F7">
      <w:pPr>
        <w:pStyle w:val="13"/>
        <w:spacing w:after="0" w:line="700" w:lineRule="exact"/>
        <w:ind w:left="0" w:leftChars="0" w:firstLine="2240" w:firstLineChars="700"/>
        <w:rPr>
          <w:rFonts w:ascii="Times New Roman" w:hAnsi="Times New Roman" w:eastAsia="仿宋" w:cs="Times New Roman"/>
          <w:color w:val="auto"/>
        </w:rPr>
      </w:pPr>
      <w:r>
        <w:rPr>
          <w:rFonts w:ascii="Times New Roman" w:hAnsi="Times New Roman" w:eastAsia="仿宋" w:cs="Times New Roman"/>
          <w:color w:val="auto"/>
          <w:sz w:val="32"/>
        </w:rPr>
        <w:t>李</w:t>
      </w:r>
      <w:r>
        <w:rPr>
          <w:rFonts w:hint="eastAsia" w:cs="Times New Roman"/>
          <w:color w:val="auto"/>
          <w:sz w:val="32"/>
          <w:lang w:val="en-US" w:eastAsia="zh-CN"/>
        </w:rPr>
        <w:t xml:space="preserve">  </w:t>
      </w:r>
      <w:r>
        <w:rPr>
          <w:rFonts w:ascii="Times New Roman" w:hAnsi="Times New Roman" w:eastAsia="仿宋" w:cs="Times New Roman"/>
          <w:color w:val="auto"/>
          <w:sz w:val="32"/>
        </w:rPr>
        <w:t>婷（工程师）</w:t>
      </w:r>
    </w:p>
    <w:p w14:paraId="2E42E5CD">
      <w:pPr>
        <w:spacing w:line="700" w:lineRule="exact"/>
        <w:ind w:firstLine="2240" w:firstLineChars="700"/>
        <w:rPr>
          <w:rFonts w:ascii="Times New Roman" w:hAnsi="Times New Roman" w:eastAsia="仿宋" w:cs="Times New Roman"/>
          <w:color w:val="auto"/>
        </w:rPr>
      </w:pPr>
      <w:r>
        <w:rPr>
          <w:rFonts w:hint="eastAsia" w:ascii="Times New Roman" w:hAnsi="Times New Roman" w:eastAsia="仿宋" w:cs="Times New Roman"/>
          <w:color w:val="auto"/>
          <w:lang w:val="en-US" w:eastAsia="zh-CN"/>
        </w:rPr>
        <w:t>肖  珏</w:t>
      </w:r>
      <w:r>
        <w:rPr>
          <w:rFonts w:ascii="Times New Roman" w:hAnsi="Times New Roman" w:eastAsia="仿宋" w:cs="Times New Roman"/>
          <w:color w:val="auto"/>
        </w:rPr>
        <w:t>（工程师）</w:t>
      </w:r>
    </w:p>
    <w:p w14:paraId="7F18A6DB">
      <w:pPr>
        <w:spacing w:line="700" w:lineRule="exact"/>
        <w:ind w:firstLine="2240" w:firstLineChars="700"/>
        <w:rPr>
          <w:rFonts w:ascii="Times New Roman" w:hAnsi="Times New Roman" w:eastAsia="仿宋" w:cs="Times New Roman"/>
          <w:color w:val="auto"/>
        </w:rPr>
      </w:pPr>
      <w:r>
        <w:rPr>
          <w:rFonts w:ascii="Times New Roman" w:hAnsi="Times New Roman" w:eastAsia="仿宋" w:cs="Times New Roman"/>
          <w:color w:val="auto"/>
        </w:rPr>
        <w:t>张馨允（工程师）</w:t>
      </w:r>
    </w:p>
    <w:p w14:paraId="1FB422F0">
      <w:pPr>
        <w:spacing w:line="700" w:lineRule="exact"/>
        <w:ind w:firstLine="2240" w:firstLineChars="700"/>
        <w:rPr>
          <w:rFonts w:ascii="Times New Roman" w:hAnsi="Times New Roman" w:eastAsia="仿宋" w:cs="Times New Roman"/>
          <w:color w:val="auto"/>
        </w:rPr>
      </w:pPr>
      <w:r>
        <w:rPr>
          <w:rFonts w:ascii="Times New Roman" w:hAnsi="Times New Roman" w:eastAsia="仿宋" w:cs="Times New Roman"/>
          <w:color w:val="auto"/>
        </w:rPr>
        <w:t>马丹妮（制图）</w:t>
      </w:r>
    </w:p>
    <w:p w14:paraId="59EF7FEB">
      <w:pPr>
        <w:spacing w:line="800" w:lineRule="exact"/>
        <w:jc w:val="center"/>
        <w:rPr>
          <w:rFonts w:ascii="Times New Roman" w:hAnsi="Times New Roman" w:eastAsia="仿宋" w:cs="Times New Roman"/>
          <w:b/>
          <w:bCs/>
          <w:color w:val="FF0000"/>
          <w:sz w:val="28"/>
          <w:szCs w:val="28"/>
        </w:rPr>
        <w:sectPr>
          <w:headerReference r:id="rId5" w:type="default"/>
          <w:footerReference r:id="rId6" w:type="default"/>
          <w:pgSz w:w="11906" w:h="16838"/>
          <w:pgMar w:top="1440" w:right="1800" w:bottom="1440" w:left="1800" w:header="851" w:footer="992" w:gutter="0"/>
          <w:pgNumType w:start="1"/>
          <w:cols w:space="425" w:num="1"/>
          <w:docGrid w:type="lines" w:linePitch="312" w:charSpace="0"/>
        </w:sectPr>
      </w:pPr>
    </w:p>
    <w:p w14:paraId="26DCB98B">
      <w:pPr>
        <w:pStyle w:val="3"/>
        <w:jc w:val="center"/>
        <w:rPr>
          <w:rFonts w:eastAsia="方正仿宋_GBK"/>
          <w:color w:val="auto"/>
          <w:sz w:val="44"/>
          <w:szCs w:val="44"/>
        </w:rPr>
      </w:pPr>
      <w:bookmarkStart w:id="7" w:name="_Toc20994"/>
      <w:bookmarkStart w:id="8" w:name="_Toc112155745"/>
      <w:bookmarkStart w:id="9" w:name="_Toc98890291"/>
      <w:r>
        <w:rPr>
          <w:rFonts w:eastAsia="方正仿宋_GBK"/>
          <w:color w:val="auto"/>
          <w:sz w:val="44"/>
          <w:szCs w:val="44"/>
        </w:rPr>
        <w:t>前言</w:t>
      </w:r>
      <w:bookmarkEnd w:id="7"/>
      <w:bookmarkEnd w:id="8"/>
    </w:p>
    <w:p w14:paraId="5F0F8E02">
      <w:pPr>
        <w:widowControl/>
        <w:adjustRightInd w:val="0"/>
        <w:snapToGrid w:val="0"/>
        <w:spacing w:line="560" w:lineRule="exact"/>
        <w:ind w:firstLine="560" w:firstLineChars="200"/>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新平县隶属于云南玉溪，位于云南省中部偏西南，玉溪市西部，地处哀牢山中段东麓。境内哀牢山国家级自然保护区是世界同纬度生物多样化、植物群落保留最完整的地区，被列为联合国“人与生物圈”森林生态系统定位观察站和国际候鸟保护基地，被誉为镶嵌在哀牢山皇冠上的一块“绿宝石”。全县推动绿色发展，让生态优势转化为经济优势，让绿色、生态成</w:t>
      </w:r>
      <w:r>
        <w:rPr>
          <w:rFonts w:hint="default" w:ascii="Times New Roman" w:hAnsi="Times New Roman" w:eastAsia="方正仿宋_GBK" w:cs="Times New Roman"/>
          <w:color w:val="auto"/>
          <w:sz w:val="28"/>
          <w:szCs w:val="28"/>
          <w:highlight w:val="none"/>
        </w:rPr>
        <w:t>为财富资源，是建设“美丽云南新平篇章”的具体体现。党的十八大以来，</w:t>
      </w:r>
      <w:r>
        <w:rPr>
          <w:rFonts w:hint="default" w:ascii="Times New Roman" w:hAnsi="Times New Roman" w:eastAsia="方正仿宋_GBK" w:cs="Times New Roman"/>
          <w:color w:val="auto"/>
          <w:sz w:val="28"/>
          <w:szCs w:val="28"/>
          <w:highlight w:val="none"/>
          <w:lang w:eastAsia="zh-CN"/>
        </w:rPr>
        <w:t>新平县</w:t>
      </w:r>
      <w:r>
        <w:rPr>
          <w:rFonts w:hint="default" w:ascii="Times New Roman" w:hAnsi="Times New Roman" w:eastAsia="方正仿宋_GBK" w:cs="Times New Roman"/>
          <w:color w:val="auto"/>
          <w:sz w:val="28"/>
          <w:szCs w:val="28"/>
          <w:highlight w:val="none"/>
        </w:rPr>
        <w:t>进一步理清思路、找准定位、明确方向、突出重点，全面贯彻落实党的</w:t>
      </w:r>
      <w:r>
        <w:rPr>
          <w:rFonts w:hint="default" w:ascii="Times New Roman" w:hAnsi="Times New Roman" w:eastAsia="方正仿宋_GBK" w:cs="Times New Roman"/>
          <w:color w:val="auto"/>
          <w:sz w:val="28"/>
          <w:szCs w:val="28"/>
          <w:highlight w:val="none"/>
          <w:lang w:val="en-US" w:eastAsia="zh-CN"/>
        </w:rPr>
        <w:t>二十大、</w:t>
      </w:r>
      <w:r>
        <w:rPr>
          <w:rFonts w:hint="default" w:ascii="Times New Roman" w:hAnsi="Times New Roman" w:eastAsia="方正仿宋_GBK" w:cs="Times New Roman"/>
          <w:color w:val="auto"/>
          <w:sz w:val="28"/>
          <w:szCs w:val="28"/>
          <w:highlight w:val="none"/>
        </w:rPr>
        <w:t>习近平总书记系列重要讲话和考察云南重要讲话精神，紧紧围绕“五位一体”总体布局和“四个全面”战略布局，围绕“12345”发展思路，加快建设“3+4”现代产业体系，在全省建设“民族团结进步示范区、生态文明建设排头兵、面向南亚东南亚辐射中心”和全市打造“滇中崛起增</w:t>
      </w:r>
      <w:r>
        <w:rPr>
          <w:rFonts w:hint="default" w:ascii="Times New Roman" w:hAnsi="Times New Roman" w:eastAsia="方正仿宋_GBK" w:cs="Times New Roman"/>
          <w:color w:val="auto"/>
          <w:sz w:val="28"/>
          <w:szCs w:val="28"/>
        </w:rPr>
        <w:t>长极、乡村振兴示范区、共同富裕示范区”中奋力谱写好新平篇章。成功获得“国家现代农业示范区”“国家级绿色种养循环农业试点县”“国家农业绿色发展先行先试支撑体系建设试点县”“云南省高原特色农业示范县”“特色产业发展先进县”“云南省一县一业（柑橘）特色县”“云南省一县一业（水果）示范县”等多项殊荣。</w:t>
      </w:r>
    </w:p>
    <w:p w14:paraId="00EC3E65">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多年来，</w:t>
      </w:r>
      <w:r>
        <w:rPr>
          <w:rFonts w:hint="default" w:ascii="Times New Roman" w:hAnsi="Times New Roman" w:eastAsia="方正仿宋_GBK" w:cs="Times New Roman"/>
          <w:color w:val="auto"/>
          <w:sz w:val="28"/>
          <w:szCs w:val="28"/>
          <w:lang w:eastAsia="zh-CN"/>
        </w:rPr>
        <w:t>新平县</w:t>
      </w:r>
      <w:r>
        <w:rPr>
          <w:rFonts w:hint="default" w:ascii="Times New Roman" w:hAnsi="Times New Roman" w:eastAsia="方正仿宋_GBK" w:cs="Times New Roman"/>
          <w:color w:val="auto"/>
          <w:sz w:val="28"/>
          <w:szCs w:val="28"/>
        </w:rPr>
        <w:t>委、县政府牢固树立“绿水青山就是金山银山”的发展理念，统筹推进经济建设、政治建设、文化建设、社会建设、生态文明建设，把创建生态文明建设示范区作为推进生态文明建设的重要载体和抓手以及云南建设生态文明建设排头</w:t>
      </w:r>
      <w:r>
        <w:rPr>
          <w:rFonts w:hint="default" w:ascii="Times New Roman" w:hAnsi="Times New Roman" w:eastAsia="方正仿宋_GBK" w:cs="Times New Roman"/>
          <w:color w:val="auto"/>
          <w:sz w:val="28"/>
          <w:szCs w:val="28"/>
          <w:lang w:val="en-US" w:eastAsia="zh-CN"/>
        </w:rPr>
        <w:t>和</w:t>
      </w:r>
      <w:r>
        <w:rPr>
          <w:rFonts w:hint="default" w:ascii="Times New Roman" w:hAnsi="Times New Roman" w:eastAsia="方正仿宋_GBK" w:cs="Times New Roman"/>
          <w:color w:val="auto"/>
          <w:sz w:val="28"/>
          <w:szCs w:val="28"/>
        </w:rPr>
        <w:t>美丽中国建设的重要组成部分。成立了生态文明建设示范创建工作领导小组，印发了《</w:t>
      </w:r>
      <w:r>
        <w:rPr>
          <w:rFonts w:hint="default" w:ascii="Times New Roman" w:hAnsi="Times New Roman" w:eastAsia="方正仿宋_GBK" w:cs="Times New Roman"/>
          <w:color w:val="auto"/>
          <w:sz w:val="28"/>
          <w:szCs w:val="28"/>
          <w:lang w:eastAsia="zh-CN"/>
        </w:rPr>
        <w:t>新平县</w:t>
      </w:r>
      <w:r>
        <w:rPr>
          <w:rFonts w:hint="default" w:ascii="Times New Roman" w:hAnsi="Times New Roman" w:eastAsia="方正仿宋_GBK" w:cs="Times New Roman"/>
          <w:color w:val="auto"/>
          <w:sz w:val="28"/>
          <w:szCs w:val="28"/>
        </w:rPr>
        <w:t>生态文明建设示范创建工作方案》，提出了争创国家生态文明建设示范区的工作目标，全面启动生态文明建设示范区创建工作，开展《</w:t>
      </w:r>
      <w:r>
        <w:rPr>
          <w:rFonts w:hint="default" w:ascii="Times New Roman" w:hAnsi="Times New Roman" w:eastAsia="方正仿宋_GBK" w:cs="Times New Roman"/>
          <w:color w:val="auto"/>
          <w:sz w:val="28"/>
          <w:szCs w:val="28"/>
          <w:lang w:val="en-US" w:eastAsia="zh-CN"/>
        </w:rPr>
        <w:t>新平县</w:t>
      </w:r>
      <w:r>
        <w:rPr>
          <w:rFonts w:hint="default" w:ascii="Times New Roman" w:hAnsi="Times New Roman" w:eastAsia="方正仿宋_GBK" w:cs="Times New Roman"/>
          <w:color w:val="auto"/>
          <w:sz w:val="28"/>
          <w:szCs w:val="28"/>
        </w:rPr>
        <w:t>生态文明建设示范区规划（202</w:t>
      </w:r>
      <w:r>
        <w:rPr>
          <w:rFonts w:hint="default" w:ascii="Times New Roman" w:hAnsi="Times New Roman" w:eastAsia="方正仿宋_GBK" w:cs="Times New Roman"/>
          <w:color w:val="auto"/>
          <w:sz w:val="28"/>
          <w:szCs w:val="28"/>
          <w:lang w:val="en-US" w:eastAsia="zh-CN"/>
        </w:rPr>
        <w:t>2</w:t>
      </w:r>
      <w:r>
        <w:rPr>
          <w:rFonts w:hint="eastAsia" w:ascii="Times New Roman" w:hAnsi="Times New Roman" w:eastAsia="方正仿宋_GBK" w:cs="Times New Roman"/>
          <w:color w:val="auto"/>
          <w:sz w:val="28"/>
          <w:szCs w:val="28"/>
          <w:lang w:val="en-US" w:eastAsia="zh-CN"/>
        </w:rPr>
        <w:t>—</w:t>
      </w:r>
      <w:r>
        <w:rPr>
          <w:rFonts w:hint="default" w:ascii="Times New Roman" w:hAnsi="Times New Roman" w:eastAsia="方正仿宋_GBK" w:cs="Times New Roman"/>
          <w:color w:val="auto"/>
          <w:sz w:val="28"/>
          <w:szCs w:val="28"/>
        </w:rPr>
        <w:t>20</w:t>
      </w:r>
      <w:r>
        <w:rPr>
          <w:rFonts w:hint="default" w:ascii="Times New Roman" w:hAnsi="Times New Roman" w:eastAsia="方正仿宋_GBK" w:cs="Times New Roman"/>
          <w:color w:val="auto"/>
          <w:sz w:val="28"/>
          <w:szCs w:val="28"/>
          <w:lang w:val="en-US" w:eastAsia="zh-CN"/>
        </w:rPr>
        <w:t>35</w:t>
      </w:r>
      <w:r>
        <w:rPr>
          <w:rFonts w:hint="default" w:ascii="Times New Roman" w:hAnsi="Times New Roman" w:eastAsia="方正仿宋_GBK" w:cs="Times New Roman"/>
          <w:color w:val="auto"/>
          <w:sz w:val="28"/>
          <w:szCs w:val="28"/>
        </w:rPr>
        <w:t>年）》（以下简称《规划》）编制工作。《规划》深入分析了</w:t>
      </w:r>
      <w:r>
        <w:rPr>
          <w:rFonts w:hint="default" w:ascii="Times New Roman" w:hAnsi="Times New Roman" w:eastAsia="方正仿宋_GBK" w:cs="Times New Roman"/>
          <w:color w:val="auto"/>
          <w:sz w:val="28"/>
          <w:szCs w:val="28"/>
          <w:lang w:eastAsia="zh-CN"/>
        </w:rPr>
        <w:t>新平县</w:t>
      </w:r>
      <w:r>
        <w:rPr>
          <w:rFonts w:hint="default" w:ascii="Times New Roman" w:hAnsi="Times New Roman" w:eastAsia="方正仿宋_GBK" w:cs="Times New Roman"/>
          <w:color w:val="auto"/>
          <w:sz w:val="28"/>
          <w:szCs w:val="28"/>
        </w:rPr>
        <w:t>生态文明示范区建设基础及生态环境现状，提出了生态文明建设示范区建设的指导思想和规划目标，结合</w:t>
      </w:r>
      <w:r>
        <w:rPr>
          <w:rFonts w:hint="default" w:ascii="Times New Roman" w:hAnsi="Times New Roman" w:eastAsia="方正仿宋_GBK" w:cs="Times New Roman"/>
          <w:color w:val="auto"/>
          <w:sz w:val="28"/>
          <w:szCs w:val="28"/>
          <w:lang w:val="en-US" w:eastAsia="zh-CN"/>
        </w:rPr>
        <w:t>新平</w:t>
      </w:r>
      <w:r>
        <w:rPr>
          <w:rFonts w:hint="default" w:ascii="Times New Roman" w:hAnsi="Times New Roman" w:eastAsia="方正仿宋_GBK" w:cs="Times New Roman"/>
          <w:color w:val="auto"/>
          <w:sz w:val="28"/>
          <w:szCs w:val="28"/>
        </w:rPr>
        <w:t>实际规划了生态制度、生态安全、生态空间、生态经济、生态生活、生态文化六大体系，提出了生态文明建设示范区建设的重点工程项目及保障措施，争取202</w:t>
      </w:r>
      <w:r>
        <w:rPr>
          <w:rFonts w:hint="default" w:ascii="Times New Roman" w:hAnsi="Times New Roman" w:eastAsia="方正仿宋_GBK" w:cs="Times New Roman"/>
          <w:color w:val="auto"/>
          <w:sz w:val="28"/>
          <w:szCs w:val="28"/>
          <w:lang w:val="en-US" w:eastAsia="zh-CN"/>
        </w:rPr>
        <w:t>2</w:t>
      </w:r>
      <w:r>
        <w:rPr>
          <w:rFonts w:hint="default" w:ascii="Times New Roman" w:hAnsi="Times New Roman" w:eastAsia="方正仿宋_GBK" w:cs="Times New Roman"/>
          <w:color w:val="auto"/>
          <w:sz w:val="28"/>
          <w:szCs w:val="28"/>
        </w:rPr>
        <w:t>年</w:t>
      </w:r>
      <w:r>
        <w:rPr>
          <w:rFonts w:hint="default" w:ascii="Times New Roman" w:hAnsi="Times New Roman" w:eastAsia="方正仿宋_GBK" w:cs="Times New Roman"/>
          <w:color w:val="auto"/>
          <w:sz w:val="28"/>
          <w:szCs w:val="28"/>
          <w:lang w:val="en-US" w:eastAsia="zh-CN"/>
        </w:rPr>
        <w:t>通过云南</w:t>
      </w:r>
      <w:r>
        <w:rPr>
          <w:rFonts w:hint="default" w:ascii="Times New Roman" w:hAnsi="Times New Roman" w:eastAsia="方正仿宋_GBK" w:cs="Times New Roman"/>
          <w:color w:val="auto"/>
          <w:sz w:val="28"/>
          <w:szCs w:val="28"/>
        </w:rPr>
        <w:t>省</w:t>
      </w:r>
      <w:r>
        <w:rPr>
          <w:rFonts w:hint="default" w:ascii="Times New Roman" w:hAnsi="Times New Roman" w:eastAsia="方正仿宋_GBK" w:cs="Times New Roman"/>
          <w:color w:val="auto"/>
          <w:sz w:val="28"/>
          <w:szCs w:val="28"/>
          <w:lang w:val="en-US" w:eastAsia="zh-CN"/>
        </w:rPr>
        <w:t>省</w:t>
      </w:r>
      <w:r>
        <w:rPr>
          <w:rFonts w:hint="default" w:ascii="Times New Roman" w:hAnsi="Times New Roman" w:eastAsia="方正仿宋_GBK" w:cs="Times New Roman"/>
          <w:color w:val="auto"/>
          <w:sz w:val="28"/>
          <w:szCs w:val="28"/>
        </w:rPr>
        <w:t>级生态文明建设示范区</w:t>
      </w:r>
      <w:r>
        <w:rPr>
          <w:rFonts w:hint="default" w:ascii="Times New Roman" w:hAnsi="Times New Roman" w:eastAsia="方正仿宋_GBK" w:cs="Times New Roman"/>
          <w:color w:val="auto"/>
          <w:sz w:val="28"/>
          <w:szCs w:val="28"/>
          <w:lang w:val="en-US" w:eastAsia="zh-CN"/>
        </w:rPr>
        <w:t>复核</w:t>
      </w:r>
      <w:r>
        <w:rPr>
          <w:rFonts w:hint="default" w:ascii="Times New Roman" w:hAnsi="Times New Roman" w:eastAsia="方正仿宋_GBK" w:cs="Times New Roman"/>
          <w:color w:val="auto"/>
          <w:sz w:val="28"/>
          <w:szCs w:val="28"/>
        </w:rPr>
        <w:t>，20</w:t>
      </w:r>
      <w:r>
        <w:rPr>
          <w:rFonts w:hint="default" w:ascii="Times New Roman" w:hAnsi="Times New Roman" w:eastAsia="方正仿宋_GBK" w:cs="Times New Roman"/>
          <w:color w:val="auto"/>
          <w:sz w:val="28"/>
          <w:szCs w:val="28"/>
          <w:lang w:val="en-US" w:eastAsia="zh-CN"/>
        </w:rPr>
        <w:t>25</w:t>
      </w:r>
      <w:r>
        <w:rPr>
          <w:rFonts w:hint="default" w:ascii="Times New Roman" w:hAnsi="Times New Roman" w:eastAsia="方正仿宋_GBK" w:cs="Times New Roman"/>
          <w:color w:val="auto"/>
          <w:sz w:val="28"/>
          <w:szCs w:val="28"/>
        </w:rPr>
        <w:t>年争创国家生态文明建设示范区，2026</w:t>
      </w:r>
      <w:r>
        <w:rPr>
          <w:rFonts w:hint="eastAsia" w:ascii="Times New Roman" w:hAnsi="Times New Roman" w:eastAsia="方正仿宋_GBK" w:cs="Times New Roman"/>
          <w:color w:val="auto"/>
          <w:sz w:val="28"/>
          <w:szCs w:val="28"/>
          <w:lang w:eastAsia="zh-CN"/>
        </w:rPr>
        <w:t>—</w:t>
      </w:r>
      <w:r>
        <w:rPr>
          <w:rFonts w:hint="default" w:ascii="Times New Roman" w:hAnsi="Times New Roman" w:eastAsia="方正仿宋_GBK" w:cs="Times New Roman"/>
          <w:color w:val="auto"/>
          <w:sz w:val="28"/>
          <w:szCs w:val="28"/>
        </w:rPr>
        <w:t>203</w:t>
      </w:r>
      <w:r>
        <w:rPr>
          <w:rFonts w:hint="default" w:ascii="Times New Roman" w:hAnsi="Times New Roman" w:eastAsia="方正仿宋_GBK" w:cs="Times New Roman"/>
          <w:color w:val="auto"/>
          <w:sz w:val="28"/>
          <w:szCs w:val="28"/>
          <w:lang w:val="en-US" w:eastAsia="zh-CN"/>
        </w:rPr>
        <w:t>5</w:t>
      </w:r>
      <w:r>
        <w:rPr>
          <w:rFonts w:hint="default" w:ascii="Times New Roman" w:hAnsi="Times New Roman" w:eastAsia="方正仿宋_GBK" w:cs="Times New Roman"/>
          <w:color w:val="auto"/>
          <w:sz w:val="28"/>
          <w:szCs w:val="28"/>
        </w:rPr>
        <w:t>年巩固提升创建成果。《规划》的编制及实施，是</w:t>
      </w:r>
      <w:r>
        <w:rPr>
          <w:rFonts w:hint="default" w:ascii="Times New Roman" w:hAnsi="Times New Roman" w:eastAsia="方正仿宋_GBK" w:cs="Times New Roman"/>
          <w:color w:val="auto"/>
          <w:sz w:val="28"/>
          <w:szCs w:val="28"/>
          <w:lang w:eastAsia="zh-CN"/>
        </w:rPr>
        <w:t>新平县</w:t>
      </w:r>
      <w:r>
        <w:rPr>
          <w:rFonts w:hint="default" w:ascii="Times New Roman" w:hAnsi="Times New Roman" w:eastAsia="方正仿宋_GBK" w:cs="Times New Roman"/>
          <w:color w:val="auto"/>
          <w:sz w:val="28"/>
          <w:szCs w:val="28"/>
          <w:lang w:val="en-US" w:eastAsia="zh-CN"/>
        </w:rPr>
        <w:t>国家</w:t>
      </w:r>
      <w:r>
        <w:rPr>
          <w:rFonts w:hint="default" w:ascii="Times New Roman" w:hAnsi="Times New Roman" w:eastAsia="方正仿宋_GBK" w:cs="Times New Roman"/>
          <w:color w:val="auto"/>
          <w:sz w:val="28"/>
          <w:szCs w:val="28"/>
        </w:rPr>
        <w:t>生态文明建设示范区创建申报、</w:t>
      </w:r>
      <w:r>
        <w:rPr>
          <w:rFonts w:hint="default" w:ascii="Times New Roman" w:hAnsi="Times New Roman" w:eastAsia="方正仿宋_GBK" w:cs="Times New Roman"/>
          <w:color w:val="auto"/>
          <w:sz w:val="28"/>
          <w:szCs w:val="28"/>
          <w:lang w:val="en-US" w:eastAsia="zh-CN"/>
        </w:rPr>
        <w:t>云南</w:t>
      </w:r>
      <w:r>
        <w:rPr>
          <w:rFonts w:hint="default" w:ascii="Times New Roman" w:hAnsi="Times New Roman" w:eastAsia="方正仿宋_GBK" w:cs="Times New Roman"/>
          <w:color w:val="auto"/>
          <w:sz w:val="28"/>
          <w:szCs w:val="28"/>
        </w:rPr>
        <w:t>省</w:t>
      </w:r>
      <w:r>
        <w:rPr>
          <w:rFonts w:hint="default" w:ascii="Times New Roman" w:hAnsi="Times New Roman" w:eastAsia="方正仿宋_GBK" w:cs="Times New Roman"/>
          <w:color w:val="auto"/>
          <w:sz w:val="28"/>
          <w:szCs w:val="28"/>
          <w:lang w:val="en-US" w:eastAsia="zh-CN"/>
        </w:rPr>
        <w:t>省</w:t>
      </w:r>
      <w:r>
        <w:rPr>
          <w:rFonts w:hint="default" w:ascii="Times New Roman" w:hAnsi="Times New Roman" w:eastAsia="方正仿宋_GBK" w:cs="Times New Roman"/>
          <w:color w:val="auto"/>
          <w:sz w:val="28"/>
          <w:szCs w:val="28"/>
        </w:rPr>
        <w:t>级生态文明建设示范区复核</w:t>
      </w:r>
      <w:r>
        <w:rPr>
          <w:rFonts w:hint="default" w:ascii="Times New Roman" w:hAnsi="Times New Roman" w:eastAsia="方正仿宋_GBK" w:cs="Times New Roman"/>
          <w:color w:val="auto"/>
          <w:sz w:val="28"/>
          <w:szCs w:val="28"/>
          <w:lang w:val="en-US" w:eastAsia="zh-CN"/>
        </w:rPr>
        <w:t>评估</w:t>
      </w:r>
      <w:r>
        <w:rPr>
          <w:rFonts w:hint="default" w:ascii="Times New Roman" w:hAnsi="Times New Roman" w:eastAsia="方正仿宋_GBK" w:cs="Times New Roman"/>
          <w:color w:val="auto"/>
          <w:sz w:val="28"/>
          <w:szCs w:val="28"/>
        </w:rPr>
        <w:t>的重要依据，对推进</w:t>
      </w:r>
      <w:r>
        <w:rPr>
          <w:rFonts w:hint="default" w:ascii="Times New Roman" w:hAnsi="Times New Roman" w:eastAsia="方正仿宋_GBK" w:cs="Times New Roman"/>
          <w:color w:val="auto"/>
          <w:sz w:val="28"/>
          <w:szCs w:val="28"/>
          <w:lang w:val="en-US" w:eastAsia="zh-CN"/>
        </w:rPr>
        <w:t>新平</w:t>
      </w:r>
      <w:r>
        <w:rPr>
          <w:rFonts w:hint="default" w:ascii="Times New Roman" w:hAnsi="Times New Roman" w:eastAsia="方正仿宋_GBK" w:cs="Times New Roman"/>
          <w:color w:val="auto"/>
          <w:sz w:val="28"/>
          <w:szCs w:val="28"/>
        </w:rPr>
        <w:t>生态经济提升、生态系统健康、城乡环境宜居、生态文明理念普及、生态文明制度完善具有引领作用。</w:t>
      </w:r>
    </w:p>
    <w:p w14:paraId="1316417D">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规划编制组对</w:t>
      </w:r>
      <w:r>
        <w:rPr>
          <w:rFonts w:hint="default" w:ascii="Times New Roman" w:hAnsi="Times New Roman" w:eastAsia="方正仿宋_GBK" w:cs="Times New Roman"/>
          <w:color w:val="auto"/>
          <w:sz w:val="28"/>
          <w:szCs w:val="28"/>
          <w:lang w:val="en-US" w:eastAsia="zh-CN"/>
        </w:rPr>
        <w:t>新平</w:t>
      </w:r>
      <w:r>
        <w:rPr>
          <w:rFonts w:hint="default" w:ascii="Times New Roman" w:hAnsi="Times New Roman" w:eastAsia="方正仿宋_GBK" w:cs="Times New Roman"/>
          <w:color w:val="auto"/>
          <w:sz w:val="28"/>
          <w:szCs w:val="28"/>
        </w:rPr>
        <w:t>进行了调研，期间得到了云南省生态环境厅及相关专家的指导，得到县直各部门和</w:t>
      </w:r>
      <w:r>
        <w:rPr>
          <w:rFonts w:hint="default" w:ascii="Times New Roman" w:hAnsi="Times New Roman" w:eastAsia="方正仿宋_GBK" w:cs="Times New Roman"/>
          <w:color w:val="auto"/>
          <w:sz w:val="28"/>
          <w:szCs w:val="28"/>
          <w:lang w:val="en-US" w:eastAsia="zh-CN"/>
        </w:rPr>
        <w:t>12</w:t>
      </w:r>
      <w:r>
        <w:rPr>
          <w:rFonts w:hint="default" w:ascii="Times New Roman" w:hAnsi="Times New Roman" w:eastAsia="方正仿宋_GBK" w:cs="Times New Roman"/>
          <w:color w:val="auto"/>
          <w:sz w:val="28"/>
          <w:szCs w:val="28"/>
        </w:rPr>
        <w:t>个</w:t>
      </w:r>
      <w:r>
        <w:rPr>
          <w:rFonts w:hint="default" w:ascii="Times New Roman" w:hAnsi="Times New Roman" w:eastAsia="方正仿宋_GBK" w:cs="Times New Roman"/>
          <w:color w:val="auto"/>
          <w:sz w:val="28"/>
          <w:szCs w:val="28"/>
          <w:lang w:val="en-US" w:eastAsia="zh-CN"/>
        </w:rPr>
        <w:t>街道、</w:t>
      </w:r>
      <w:r>
        <w:rPr>
          <w:rFonts w:hint="default" w:ascii="Times New Roman" w:hAnsi="Times New Roman" w:eastAsia="方正仿宋_GBK" w:cs="Times New Roman"/>
          <w:color w:val="auto"/>
          <w:sz w:val="28"/>
          <w:szCs w:val="28"/>
        </w:rPr>
        <w:t>乡（镇）人民政府的大力支持和积极配合。规划文本编制中还广泛征求各相关部门和</w:t>
      </w:r>
      <w:r>
        <w:rPr>
          <w:rFonts w:hint="default" w:ascii="Times New Roman" w:hAnsi="Times New Roman" w:eastAsia="方正仿宋_GBK" w:cs="Times New Roman"/>
          <w:color w:val="auto"/>
          <w:sz w:val="28"/>
          <w:szCs w:val="28"/>
          <w:lang w:val="en-US" w:eastAsia="zh-CN"/>
        </w:rPr>
        <w:t>街道、</w:t>
      </w:r>
      <w:r>
        <w:rPr>
          <w:rFonts w:hint="default" w:ascii="Times New Roman" w:hAnsi="Times New Roman" w:eastAsia="方正仿宋_GBK" w:cs="Times New Roman"/>
          <w:color w:val="auto"/>
          <w:sz w:val="28"/>
          <w:szCs w:val="28"/>
        </w:rPr>
        <w:t>乡（镇）意见，并获得宝贵的意见建议。</w:t>
      </w:r>
    </w:p>
    <w:p w14:paraId="1867B9C9">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在此，对所有指导和帮助本规划编制的领导、专家和有关人员表示感谢！</w:t>
      </w:r>
    </w:p>
    <w:p w14:paraId="3939BC39">
      <w:pPr>
        <w:keepNext w:val="0"/>
        <w:keepLines w:val="0"/>
        <w:pageBreakBefore w:val="0"/>
        <w:widowControl/>
        <w:kinsoku/>
        <w:wordWrap/>
        <w:overflowPunct/>
        <w:topLinePunct w:val="0"/>
        <w:autoSpaceDE/>
        <w:autoSpaceDN/>
        <w:bidi w:val="0"/>
        <w:adjustRightInd/>
        <w:snapToGrid/>
        <w:spacing w:line="500" w:lineRule="exact"/>
        <w:ind w:firstLine="6720" w:firstLineChars="2400"/>
        <w:textAlignment w:val="auto"/>
        <w:rPr>
          <w:rFonts w:hint="default" w:ascii="Times New Roman" w:hAnsi="Times New Roman" w:eastAsia="方正仿宋_GBK" w:cs="Times New Roman"/>
          <w:color w:val="auto"/>
          <w:sz w:val="28"/>
          <w:szCs w:val="28"/>
        </w:rPr>
      </w:pPr>
    </w:p>
    <w:p w14:paraId="38D4BCDC">
      <w:pPr>
        <w:pStyle w:val="11"/>
        <w:rPr>
          <w:rFonts w:hint="default"/>
        </w:rPr>
      </w:pPr>
    </w:p>
    <w:p w14:paraId="35C43346">
      <w:pPr>
        <w:keepNext w:val="0"/>
        <w:keepLines w:val="0"/>
        <w:pageBreakBefore w:val="0"/>
        <w:widowControl/>
        <w:kinsoku/>
        <w:wordWrap/>
        <w:overflowPunct/>
        <w:topLinePunct w:val="0"/>
        <w:autoSpaceDE/>
        <w:autoSpaceDN/>
        <w:bidi w:val="0"/>
        <w:adjustRightInd/>
        <w:snapToGrid/>
        <w:spacing w:line="500" w:lineRule="exact"/>
        <w:ind w:firstLine="4760" w:firstLineChars="1700"/>
        <w:textAlignment w:val="auto"/>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规划编制组</w:t>
      </w:r>
    </w:p>
    <w:p w14:paraId="59B68021">
      <w:pPr>
        <w:keepNext w:val="0"/>
        <w:keepLines w:val="0"/>
        <w:pageBreakBefore w:val="0"/>
        <w:widowControl/>
        <w:kinsoku/>
        <w:wordWrap/>
        <w:overflowPunct/>
        <w:topLinePunct w:val="0"/>
        <w:autoSpaceDE/>
        <w:autoSpaceDN/>
        <w:bidi w:val="0"/>
        <w:adjustRightInd/>
        <w:snapToGrid/>
        <w:spacing w:line="500" w:lineRule="exact"/>
        <w:ind w:firstLine="4480" w:firstLineChars="1600"/>
        <w:textAlignment w:val="auto"/>
        <w:rPr>
          <w:rFonts w:hint="default" w:ascii="Times New Roman" w:hAnsi="Times New Roman" w:eastAsia="方正仿宋_GBK" w:cs="Times New Roman"/>
          <w:color w:val="auto"/>
          <w:sz w:val="28"/>
          <w:szCs w:val="28"/>
        </w:rPr>
      </w:pPr>
      <w:r>
        <w:rPr>
          <w:rFonts w:hint="default" w:ascii="Times New Roman" w:hAnsi="Times New Roman" w:eastAsia="方正仿宋_GBK" w:cs="Times New Roman"/>
          <w:color w:val="auto"/>
          <w:sz w:val="28"/>
          <w:szCs w:val="28"/>
        </w:rPr>
        <w:t>二〇二</w:t>
      </w:r>
      <w:r>
        <w:rPr>
          <w:rFonts w:hint="default" w:ascii="Times New Roman" w:hAnsi="Times New Roman" w:eastAsia="方正仿宋_GBK" w:cs="Times New Roman"/>
          <w:color w:val="auto"/>
          <w:sz w:val="28"/>
          <w:szCs w:val="28"/>
          <w:lang w:val="en-US" w:eastAsia="zh-CN"/>
        </w:rPr>
        <w:t>三</w:t>
      </w:r>
      <w:r>
        <w:rPr>
          <w:rFonts w:hint="default" w:ascii="Times New Roman" w:hAnsi="Times New Roman" w:eastAsia="方正仿宋_GBK" w:cs="Times New Roman"/>
          <w:color w:val="auto"/>
          <w:sz w:val="28"/>
          <w:szCs w:val="28"/>
        </w:rPr>
        <w:t>年</w:t>
      </w:r>
      <w:r>
        <w:rPr>
          <w:rFonts w:hint="default" w:ascii="Times New Roman" w:hAnsi="Times New Roman" w:eastAsia="方正仿宋_GBK" w:cs="Times New Roman"/>
          <w:color w:val="auto"/>
          <w:sz w:val="28"/>
          <w:szCs w:val="28"/>
          <w:lang w:val="en-US" w:eastAsia="zh-CN"/>
        </w:rPr>
        <w:t>二</w:t>
      </w:r>
      <w:r>
        <w:rPr>
          <w:rFonts w:hint="default" w:ascii="Times New Roman" w:hAnsi="Times New Roman" w:eastAsia="方正仿宋_GBK" w:cs="Times New Roman"/>
          <w:color w:val="auto"/>
          <w:sz w:val="28"/>
          <w:szCs w:val="28"/>
        </w:rPr>
        <w:t>月</w:t>
      </w:r>
    </w:p>
    <w:p w14:paraId="684C466D">
      <w:pPr>
        <w:pStyle w:val="9"/>
        <w:rPr>
          <w:rFonts w:eastAsia="方正仿宋_GBK"/>
          <w:color w:val="auto"/>
          <w:sz w:val="32"/>
          <w:szCs w:val="32"/>
        </w:rPr>
      </w:pPr>
    </w:p>
    <w:p w14:paraId="1432A363">
      <w:pPr>
        <w:rPr>
          <w:rFonts w:eastAsia="方正仿宋_GBK"/>
          <w:color w:val="auto"/>
          <w:sz w:val="32"/>
          <w:szCs w:val="32"/>
        </w:rPr>
      </w:pPr>
    </w:p>
    <w:p w14:paraId="450BD54B">
      <w:pPr>
        <w:pStyle w:val="9"/>
        <w:rPr>
          <w:rFonts w:eastAsia="方正仿宋_GBK"/>
          <w:color w:val="auto"/>
          <w:sz w:val="32"/>
          <w:szCs w:val="32"/>
        </w:rPr>
      </w:pPr>
    </w:p>
    <w:p w14:paraId="10BDE38E">
      <w:pPr>
        <w:pStyle w:val="9"/>
      </w:pPr>
    </w:p>
    <w:sdt>
      <w:sdtPr>
        <w:rPr>
          <w:rFonts w:ascii="Times New Roman" w:hAnsi="Times New Roman" w:eastAsia="仿宋" w:cs="Times New Roman"/>
          <w:b/>
          <w:bCs/>
          <w:color w:val="auto"/>
          <w:szCs w:val="32"/>
        </w:rPr>
        <w:id w:val="147482902"/>
        <w15:color w:val="DBDBDB"/>
        <w:docPartObj>
          <w:docPartGallery w:val="Table of Contents"/>
          <w:docPartUnique/>
        </w:docPartObj>
      </w:sdtPr>
      <w:sdtEndPr>
        <w:rPr>
          <w:rFonts w:ascii="Times New Roman" w:hAnsi="Times New Roman" w:eastAsia="仿宋" w:cs="Times New Roman"/>
          <w:b/>
          <w:bCs/>
          <w:color w:val="FF0000"/>
          <w:szCs w:val="22"/>
        </w:rPr>
      </w:sdtEndPr>
      <w:sdtContent>
        <w:p w14:paraId="17EA92AE">
          <w:pPr>
            <w:spacing w:line="240" w:lineRule="auto"/>
            <w:jc w:val="center"/>
            <w:rPr>
              <w:rFonts w:ascii="Times New Roman" w:hAnsi="Times New Roman" w:eastAsia="仿宋" w:cs="Times New Roman"/>
              <w:color w:val="FF0000"/>
              <w:kern w:val="2"/>
              <w:sz w:val="32"/>
              <w:szCs w:val="22"/>
              <w:lang w:val="en-US" w:eastAsia="zh-CN" w:bidi="ar-SA"/>
            </w:rPr>
          </w:pPr>
          <w:r>
            <w:rPr>
              <w:rFonts w:ascii="Times New Roman" w:hAnsi="Times New Roman" w:eastAsia="仿宋" w:cs="Times New Roman"/>
              <w:b/>
              <w:bCs/>
              <w:color w:val="auto"/>
              <w:szCs w:val="32"/>
            </w:rPr>
            <w:t>目录</w:t>
          </w:r>
          <w:r>
            <w:rPr>
              <w:rFonts w:ascii="Times New Roman" w:hAnsi="Times New Roman" w:eastAsia="仿宋" w:cs="Times New Roman"/>
              <w:color w:val="FF0000"/>
              <w:sz w:val="44"/>
            </w:rPr>
            <w:fldChar w:fldCharType="begin"/>
          </w:r>
          <w:r>
            <w:rPr>
              <w:rFonts w:ascii="Times New Roman" w:hAnsi="Times New Roman" w:eastAsia="仿宋" w:cs="Times New Roman"/>
              <w:color w:val="FF0000"/>
              <w:sz w:val="44"/>
            </w:rPr>
            <w:instrText xml:space="preserve">TOC\o"1-3"\h\u</w:instrText>
          </w:r>
          <w:r>
            <w:rPr>
              <w:rFonts w:ascii="Times New Roman" w:hAnsi="Times New Roman" w:eastAsia="仿宋" w:cs="Times New Roman"/>
              <w:color w:val="FF0000"/>
              <w:sz w:val="44"/>
            </w:rPr>
            <w:fldChar w:fldCharType="separate"/>
          </w:r>
        </w:p>
        <w:p w14:paraId="6CD30DFD">
          <w:pPr>
            <w:pStyle w:val="20"/>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_Toc15666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1规划背景与意义</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_Toc15666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3C122B4B">
          <w:pPr>
            <w:pStyle w:val="21"/>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_Toc11822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1.1规划背景</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_Toc11822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067FF618">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_Toc10028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rPr>
            <w:t>1.1.1国家生态文明建设战略部署</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_Toc10028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0A535257">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_Toc12945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rPr>
            <w:t>1.1.</w:t>
          </w:r>
          <w:r>
            <w:rPr>
              <w:rFonts w:hint="default" w:ascii="Times New Roman" w:hAnsi="Times New Roman" w:eastAsia="方正仿宋_GBK" w:cs="Times New Roman"/>
              <w:snapToGrid w:val="0"/>
              <w:color w:val="auto"/>
              <w:sz w:val="21"/>
              <w:szCs w:val="21"/>
              <w:lang w:val="en-US" w:eastAsia="zh-CN"/>
            </w:rPr>
            <w:t>2</w:t>
          </w:r>
          <w:r>
            <w:rPr>
              <w:rFonts w:hint="default" w:ascii="Times New Roman" w:hAnsi="Times New Roman" w:eastAsia="方正仿宋_GBK" w:cs="Times New Roman"/>
              <w:snapToGrid w:val="0"/>
              <w:color w:val="auto"/>
              <w:sz w:val="21"/>
              <w:szCs w:val="21"/>
            </w:rPr>
            <w:t>云南省高度重视生态文明建设</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_Toc12945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2</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473A5054">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_Toc24248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rPr>
            <w:t>1.1.</w:t>
          </w:r>
          <w:r>
            <w:rPr>
              <w:rFonts w:hint="default" w:ascii="Times New Roman" w:hAnsi="Times New Roman" w:eastAsia="方正仿宋_GBK" w:cs="Times New Roman"/>
              <w:snapToGrid w:val="0"/>
              <w:color w:val="auto"/>
              <w:sz w:val="21"/>
              <w:szCs w:val="21"/>
              <w:lang w:val="en-US" w:eastAsia="zh-CN"/>
            </w:rPr>
            <w:t>3玉溪市</w:t>
          </w:r>
          <w:r>
            <w:rPr>
              <w:rFonts w:hint="default" w:ascii="Times New Roman" w:hAnsi="Times New Roman" w:eastAsia="方正仿宋_GBK" w:cs="Times New Roman"/>
              <w:snapToGrid w:val="0"/>
              <w:color w:val="auto"/>
              <w:sz w:val="21"/>
              <w:szCs w:val="21"/>
            </w:rPr>
            <w:t>积极推进生态文明建设</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_Toc24248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4</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78891DF3">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_Toc6894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rPr>
            <w:t>1.1.</w:t>
          </w:r>
          <w:r>
            <w:rPr>
              <w:rFonts w:hint="default" w:ascii="Times New Roman" w:hAnsi="Times New Roman" w:eastAsia="方正仿宋_GBK" w:cs="Times New Roman"/>
              <w:snapToGrid w:val="0"/>
              <w:color w:val="auto"/>
              <w:sz w:val="21"/>
              <w:szCs w:val="21"/>
              <w:lang w:val="en-US" w:eastAsia="zh-CN"/>
            </w:rPr>
            <w:t>4</w:t>
          </w:r>
          <w:r>
            <w:rPr>
              <w:rFonts w:hint="default" w:ascii="Times New Roman" w:hAnsi="Times New Roman" w:eastAsia="方正仿宋_GBK" w:cs="Times New Roman"/>
              <w:snapToGrid w:val="0"/>
              <w:color w:val="auto"/>
              <w:sz w:val="21"/>
              <w:szCs w:val="21"/>
              <w:lang w:eastAsia="zh-CN"/>
            </w:rPr>
            <w:t>新平县</w:t>
          </w:r>
          <w:r>
            <w:rPr>
              <w:rFonts w:hint="default" w:ascii="Times New Roman" w:hAnsi="Times New Roman" w:eastAsia="方正仿宋_GBK" w:cs="Times New Roman"/>
              <w:snapToGrid w:val="0"/>
              <w:color w:val="auto"/>
              <w:sz w:val="21"/>
              <w:szCs w:val="21"/>
              <w:lang w:val="en-US" w:eastAsia="zh-CN"/>
            </w:rPr>
            <w:t>持续</w:t>
          </w:r>
          <w:r>
            <w:rPr>
              <w:rFonts w:hint="default" w:ascii="Times New Roman" w:hAnsi="Times New Roman" w:eastAsia="方正仿宋_GBK" w:cs="Times New Roman"/>
              <w:snapToGrid w:val="0"/>
              <w:color w:val="auto"/>
              <w:sz w:val="21"/>
              <w:szCs w:val="21"/>
            </w:rPr>
            <w:t>推动生态文明建设</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_Toc6894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5</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7F10B528">
          <w:pPr>
            <w:pStyle w:val="21"/>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_Toc24892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1.2规划意义</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_Toc24892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6</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3507C9AC">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_Toc9903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rPr>
            <w:t>1.2.1</w:t>
          </w:r>
          <w:r>
            <w:rPr>
              <w:rFonts w:hint="default" w:ascii="Times New Roman" w:hAnsi="Times New Roman" w:eastAsia="方正仿宋_GBK" w:cs="Times New Roman"/>
              <w:snapToGrid w:val="0"/>
              <w:color w:val="auto"/>
              <w:sz w:val="21"/>
              <w:szCs w:val="21"/>
              <w:lang w:val="en-US" w:eastAsia="zh-CN"/>
            </w:rPr>
            <w:t>促进区域绿色发展</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_Toc9903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6</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4E84FB43">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_Toc12715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rPr>
            <w:t>1.2.</w:t>
          </w:r>
          <w:r>
            <w:rPr>
              <w:rFonts w:hint="default" w:ascii="Times New Roman" w:hAnsi="Times New Roman" w:eastAsia="方正仿宋_GBK" w:cs="Times New Roman"/>
              <w:snapToGrid w:val="0"/>
              <w:color w:val="auto"/>
              <w:sz w:val="21"/>
              <w:szCs w:val="21"/>
              <w:lang w:val="en-US" w:eastAsia="zh-CN"/>
            </w:rPr>
            <w:t>2</w:t>
          </w:r>
          <w:r>
            <w:rPr>
              <w:rFonts w:hint="default" w:ascii="Times New Roman" w:hAnsi="Times New Roman" w:eastAsia="方正仿宋_GBK" w:cs="Times New Roman"/>
              <w:snapToGrid w:val="0"/>
              <w:color w:val="auto"/>
              <w:sz w:val="21"/>
              <w:szCs w:val="21"/>
            </w:rPr>
            <w:t>推进产城人融合发展</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_Toc12715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7</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2EF05A18">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_Toc20841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rPr>
            <w:t>1.2.</w:t>
          </w:r>
          <w:r>
            <w:rPr>
              <w:rFonts w:hint="default" w:ascii="Times New Roman" w:hAnsi="Times New Roman" w:eastAsia="方正仿宋_GBK" w:cs="Times New Roman"/>
              <w:snapToGrid w:val="0"/>
              <w:color w:val="auto"/>
              <w:sz w:val="21"/>
              <w:szCs w:val="21"/>
              <w:lang w:val="en-US" w:eastAsia="zh-CN"/>
            </w:rPr>
            <w:t>3</w:t>
          </w:r>
          <w:r>
            <w:rPr>
              <w:rFonts w:hint="default" w:ascii="Times New Roman" w:hAnsi="Times New Roman" w:eastAsia="方正仿宋_GBK" w:cs="Times New Roman"/>
              <w:snapToGrid w:val="0"/>
              <w:color w:val="auto"/>
              <w:sz w:val="21"/>
              <w:szCs w:val="21"/>
            </w:rPr>
            <w:t>推动“</w:t>
          </w:r>
          <w:r>
            <w:rPr>
              <w:rFonts w:hint="default" w:ascii="Times New Roman" w:hAnsi="Times New Roman" w:eastAsia="方正仿宋_GBK" w:cs="Times New Roman"/>
              <w:snapToGrid w:val="0"/>
              <w:color w:val="auto"/>
              <w:sz w:val="21"/>
              <w:szCs w:val="21"/>
              <w:lang w:val="en-US" w:eastAsia="zh-CN"/>
            </w:rPr>
            <w:t>大美</w:t>
          </w:r>
          <w:r>
            <w:rPr>
              <w:rFonts w:hint="default" w:ascii="Times New Roman" w:hAnsi="Times New Roman" w:eastAsia="方正仿宋_GBK" w:cs="Times New Roman"/>
              <w:snapToGrid w:val="0"/>
              <w:color w:val="auto"/>
              <w:sz w:val="21"/>
              <w:szCs w:val="21"/>
              <w:lang w:eastAsia="zh-CN"/>
            </w:rPr>
            <w:t>新平</w:t>
          </w:r>
          <w:r>
            <w:rPr>
              <w:rFonts w:hint="default" w:ascii="Times New Roman" w:hAnsi="Times New Roman" w:eastAsia="方正仿宋_GBK" w:cs="Times New Roman"/>
              <w:snapToGrid w:val="0"/>
              <w:color w:val="auto"/>
              <w:sz w:val="21"/>
              <w:szCs w:val="21"/>
            </w:rPr>
            <w:t>”宜居之城建设</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_Toc20841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7</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459E1310">
          <w:pPr>
            <w:pStyle w:val="20"/>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_Toc30731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2建设基础</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_Toc30731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8</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7B7C74EC">
          <w:pPr>
            <w:pStyle w:val="21"/>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_Toc23234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lang w:val="en-US" w:eastAsia="zh-CN"/>
            </w:rPr>
            <w:t>2.1区域概况</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_Toc23234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8</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13D457C2">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_Toc13883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lang w:val="en-US" w:eastAsia="zh-CN"/>
            </w:rPr>
            <w:t>2.1.1自然地理状况</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_Toc13883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8</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69A63A6C">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_Toc17059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bCs/>
              <w:color w:val="auto"/>
              <w:kern w:val="2"/>
              <w:sz w:val="21"/>
              <w:szCs w:val="21"/>
              <w:lang w:val="en-US" w:eastAsia="zh-CN" w:bidi="ar-SA"/>
            </w:rPr>
            <w:t>2.1.2社会概况</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_Toc17059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11</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378B8AA4">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_Toc991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rPr>
            <w:t>2.1.3经济状况</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_Toc991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13</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09589C73">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_Toc1024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lang w:val="en-US" w:eastAsia="zh-CN"/>
            </w:rPr>
            <w:t>2.1.4主要资源状况</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_Toc1024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16</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344E6BD9">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_Toc4755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rPr>
            <w:t>2.1.5生态环境状况</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_Toc4755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18</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7D485228">
          <w:pPr>
            <w:pStyle w:val="21"/>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_Toc27308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lang w:val="en-US" w:eastAsia="zh-CN"/>
            </w:rPr>
            <w:t>2.2工作基础</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_Toc27308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31</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75DFB83B">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_Toc1239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rPr>
            <w:t>2.2.1</w:t>
          </w:r>
          <w:r>
            <w:rPr>
              <w:rFonts w:hint="default" w:ascii="Times New Roman" w:hAnsi="Times New Roman" w:eastAsia="方正仿宋_GBK" w:cs="Times New Roman"/>
              <w:snapToGrid w:val="0"/>
              <w:color w:val="auto"/>
              <w:sz w:val="21"/>
              <w:szCs w:val="21"/>
              <w:lang w:val="en-US" w:eastAsia="zh-CN"/>
            </w:rPr>
            <w:t>坚持</w:t>
          </w:r>
          <w:r>
            <w:rPr>
              <w:rFonts w:hint="default" w:ascii="Times New Roman" w:hAnsi="Times New Roman" w:eastAsia="方正仿宋_GBK" w:cs="Times New Roman"/>
              <w:snapToGrid w:val="0"/>
              <w:color w:val="auto"/>
              <w:sz w:val="21"/>
              <w:szCs w:val="21"/>
            </w:rPr>
            <w:t>生态文明为引领，生态</w:t>
          </w:r>
          <w:r>
            <w:rPr>
              <w:rFonts w:hint="default" w:ascii="Times New Roman" w:hAnsi="Times New Roman" w:eastAsia="方正仿宋_GBK" w:cs="Times New Roman"/>
              <w:snapToGrid w:val="0"/>
              <w:color w:val="auto"/>
              <w:sz w:val="21"/>
              <w:szCs w:val="21"/>
              <w:lang w:val="en-US" w:eastAsia="zh-CN"/>
            </w:rPr>
            <w:t>体制机制不断完善</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_Toc1239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31</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720FD0FE">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_Toc1312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rPr>
            <w:t>2.2.</w:t>
          </w:r>
          <w:r>
            <w:rPr>
              <w:rFonts w:hint="default" w:ascii="Times New Roman" w:hAnsi="Times New Roman" w:eastAsia="方正仿宋_GBK" w:cs="Times New Roman"/>
              <w:snapToGrid w:val="0"/>
              <w:color w:val="auto"/>
              <w:sz w:val="21"/>
              <w:szCs w:val="21"/>
              <w:lang w:val="en-US" w:eastAsia="zh-CN"/>
            </w:rPr>
            <w:t>2坚持</w:t>
          </w:r>
          <w:r>
            <w:rPr>
              <w:rFonts w:hint="default" w:ascii="Times New Roman" w:hAnsi="Times New Roman" w:eastAsia="方正仿宋_GBK" w:cs="Times New Roman"/>
              <w:snapToGrid w:val="0"/>
              <w:color w:val="auto"/>
              <w:sz w:val="21"/>
              <w:szCs w:val="21"/>
            </w:rPr>
            <w:t>系统保护为重点，</w:t>
          </w:r>
          <w:r>
            <w:rPr>
              <w:rFonts w:hint="default" w:ascii="Times New Roman" w:hAnsi="Times New Roman" w:eastAsia="方正仿宋_GBK" w:cs="Times New Roman"/>
              <w:snapToGrid w:val="0"/>
              <w:color w:val="auto"/>
              <w:sz w:val="21"/>
              <w:szCs w:val="21"/>
              <w:lang w:val="en-US" w:eastAsia="zh-CN"/>
            </w:rPr>
            <w:t>生态安全屏障更加牢固</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_Toc1312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32</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14AA183A">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_Toc13659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rPr>
            <w:t>2.2.</w:t>
          </w:r>
          <w:r>
            <w:rPr>
              <w:rFonts w:hint="default" w:ascii="Times New Roman" w:hAnsi="Times New Roman" w:eastAsia="方正仿宋_GBK" w:cs="Times New Roman"/>
              <w:snapToGrid w:val="0"/>
              <w:color w:val="auto"/>
              <w:sz w:val="21"/>
              <w:szCs w:val="21"/>
              <w:lang w:val="en-US" w:eastAsia="zh-CN"/>
            </w:rPr>
            <w:t>3坚持生态</w:t>
          </w:r>
          <w:r>
            <w:rPr>
              <w:rFonts w:hint="default" w:ascii="Times New Roman" w:hAnsi="Times New Roman" w:eastAsia="方正仿宋_GBK" w:cs="Times New Roman"/>
              <w:snapToGrid w:val="0"/>
              <w:color w:val="auto"/>
              <w:sz w:val="21"/>
              <w:szCs w:val="21"/>
            </w:rPr>
            <w:t>持保护优先，生态环境更加优美</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_Toc13659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34</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5BAA2C22">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_Toc31000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rPr>
            <w:t>2.2.</w:t>
          </w:r>
          <w:r>
            <w:rPr>
              <w:rFonts w:hint="default" w:ascii="Times New Roman" w:hAnsi="Times New Roman" w:eastAsia="方正仿宋_GBK" w:cs="Times New Roman"/>
              <w:snapToGrid w:val="0"/>
              <w:color w:val="auto"/>
              <w:sz w:val="21"/>
              <w:szCs w:val="21"/>
              <w:lang w:val="en-US" w:eastAsia="zh-CN"/>
            </w:rPr>
            <w:t>4</w:t>
          </w:r>
          <w:r>
            <w:rPr>
              <w:rFonts w:hint="default" w:ascii="Times New Roman" w:hAnsi="Times New Roman" w:eastAsia="方正仿宋_GBK" w:cs="Times New Roman"/>
              <w:snapToGrid w:val="0"/>
              <w:color w:val="auto"/>
              <w:sz w:val="21"/>
              <w:szCs w:val="21"/>
            </w:rPr>
            <w:t>坚持</w:t>
          </w:r>
          <w:r>
            <w:rPr>
              <w:rFonts w:hint="default" w:ascii="Times New Roman" w:hAnsi="Times New Roman" w:eastAsia="方正仿宋_GBK" w:cs="Times New Roman"/>
              <w:snapToGrid w:val="0"/>
              <w:color w:val="auto"/>
              <w:sz w:val="21"/>
              <w:szCs w:val="21"/>
              <w:lang w:val="en-US" w:eastAsia="zh-CN"/>
            </w:rPr>
            <w:t>产业</w:t>
          </w:r>
          <w:r>
            <w:rPr>
              <w:rFonts w:hint="default" w:ascii="Times New Roman" w:hAnsi="Times New Roman" w:eastAsia="方正仿宋_GBK" w:cs="Times New Roman"/>
              <w:snapToGrid w:val="0"/>
              <w:color w:val="auto"/>
              <w:sz w:val="21"/>
              <w:szCs w:val="21"/>
            </w:rPr>
            <w:t>转型发展，绿色经济成为新增长极</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_Toc31000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35</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20BEFFEF">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_Toc14729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rPr>
            <w:t>2.2.</w:t>
          </w:r>
          <w:r>
            <w:rPr>
              <w:rFonts w:hint="default" w:ascii="Times New Roman" w:hAnsi="Times New Roman" w:eastAsia="方正仿宋_GBK" w:cs="Times New Roman"/>
              <w:snapToGrid w:val="0"/>
              <w:color w:val="auto"/>
              <w:sz w:val="21"/>
              <w:szCs w:val="21"/>
              <w:lang w:val="en-US" w:eastAsia="zh-CN"/>
            </w:rPr>
            <w:t>5</w:t>
          </w:r>
          <w:r>
            <w:rPr>
              <w:rFonts w:hint="default" w:ascii="Times New Roman" w:hAnsi="Times New Roman" w:eastAsia="方正仿宋_GBK" w:cs="Times New Roman"/>
              <w:snapToGrid w:val="0"/>
              <w:color w:val="auto"/>
              <w:sz w:val="21"/>
              <w:szCs w:val="21"/>
            </w:rPr>
            <w:t>坚持</w:t>
          </w:r>
          <w:r>
            <w:rPr>
              <w:rFonts w:hint="default" w:ascii="Times New Roman" w:hAnsi="Times New Roman" w:eastAsia="方正仿宋_GBK" w:cs="Times New Roman"/>
              <w:snapToGrid w:val="0"/>
              <w:color w:val="auto"/>
              <w:sz w:val="21"/>
              <w:szCs w:val="21"/>
              <w:lang w:val="en-US" w:eastAsia="zh-CN"/>
            </w:rPr>
            <w:t>城乡</w:t>
          </w:r>
          <w:r>
            <w:rPr>
              <w:rFonts w:hint="default" w:ascii="Times New Roman" w:hAnsi="Times New Roman" w:eastAsia="方正仿宋_GBK" w:cs="Times New Roman"/>
              <w:snapToGrid w:val="0"/>
              <w:color w:val="auto"/>
              <w:sz w:val="21"/>
              <w:szCs w:val="21"/>
            </w:rPr>
            <w:t>协同共进，城乡人居环境</w:t>
          </w:r>
          <w:r>
            <w:rPr>
              <w:rFonts w:hint="default" w:ascii="Times New Roman" w:hAnsi="Times New Roman" w:eastAsia="方正仿宋_GBK" w:cs="Times New Roman"/>
              <w:snapToGrid w:val="0"/>
              <w:color w:val="auto"/>
              <w:sz w:val="21"/>
              <w:szCs w:val="21"/>
              <w:lang w:val="en-US" w:eastAsia="zh-CN"/>
            </w:rPr>
            <w:t>持续</w:t>
          </w:r>
          <w:r>
            <w:rPr>
              <w:rFonts w:hint="default" w:ascii="Times New Roman" w:hAnsi="Times New Roman" w:eastAsia="方正仿宋_GBK" w:cs="Times New Roman"/>
              <w:snapToGrid w:val="0"/>
              <w:color w:val="auto"/>
              <w:sz w:val="21"/>
              <w:szCs w:val="21"/>
            </w:rPr>
            <w:t>改善</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_Toc14729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37</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032FA5C0">
          <w:pPr>
            <w:pStyle w:val="20"/>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_Toc31343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lang w:val="en-US" w:eastAsia="zh-CN"/>
            </w:rPr>
            <w:t>3形势分析</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_Toc31343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39</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21BA4158">
          <w:pPr>
            <w:pStyle w:val="21"/>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_Toc385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lang w:val="en-US" w:eastAsia="zh-CN"/>
            </w:rPr>
            <w:t>3.1存在问题</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_Toc385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39</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0C025774">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_Toc23982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lang w:val="en-US" w:eastAsia="zh-CN"/>
            </w:rPr>
            <w:t>3.1.1产业高质量绿色发展压力仍然较大</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_Toc23982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39</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555087C9">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_Toc18665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lang w:val="en-US" w:eastAsia="zh-CN"/>
            </w:rPr>
            <w:t>3.1.2污染防治工作任务依然艰巨</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_Toc18665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40</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07006391">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_Toc19488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lang w:val="en-US" w:eastAsia="zh-CN"/>
            </w:rPr>
            <w:t>3.1.3城乡环保设施等公共基础设施建设滞后</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_Toc19488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40</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6FFB18C9">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_Toc26425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lang w:val="en-US" w:eastAsia="zh-CN"/>
            </w:rPr>
            <w:t>3.1.4资源开发与环境保护压力较大</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_Toc26425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40</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7FD9D46C">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_Toc3429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lang w:val="en-US" w:eastAsia="zh-CN"/>
            </w:rPr>
            <w:t>3.1.5治理体系和治理能力现代化尚未形成</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_Toc3429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41</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09FE19C4">
          <w:pPr>
            <w:pStyle w:val="21"/>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_Toc17261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lang w:val="en-US" w:eastAsia="zh-CN"/>
            </w:rPr>
            <w:t>3.2机遇</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_Toc17261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41</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7EFCDA65">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_Toc15075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lang w:val="en-US" w:eastAsia="zh-CN"/>
            </w:rPr>
            <w:t>3.2.1国家发展战略带来的政策机遇</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_Toc15075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41</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71EC4CF0">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_Toc3650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lang w:val="en-US" w:eastAsia="zh-CN"/>
            </w:rPr>
            <w:t>3.2.2云南省发展战略带来的机遇</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_Toc3650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42</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522479CC">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_Toc5004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lang w:val="en-US" w:eastAsia="zh-CN"/>
            </w:rPr>
            <w:t>3.2.3滇中城市群发展带来的机遇</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_Toc5004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43</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098FCD54">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_Toc16238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lang w:val="en-US" w:eastAsia="zh-CN"/>
            </w:rPr>
            <w:t>3.2.4玉溪市生态建设和环境保护带来的发展机遇</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_Toc16238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43</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3A88CC32">
          <w:pPr>
            <w:pStyle w:val="21"/>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_Toc6842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lang w:val="en-US" w:eastAsia="zh-CN"/>
            </w:rPr>
            <w:t>3.3挑战</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_Toc6842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44</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2F5BF0A0">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_Toc30059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lang w:val="en-US" w:eastAsia="zh-CN"/>
            </w:rPr>
            <w:t>3.3.1产业转型升级，绿色高质量发展的挑战</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_Toc30059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44</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36C57C33">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_Toc17224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lang w:val="en-US" w:eastAsia="zh-CN"/>
            </w:rPr>
            <w:t>3.3.2生态保护与经济发展的挑战</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_Toc17224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44</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6FDE8132">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_Toc5330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lang w:val="en-US" w:eastAsia="zh-CN"/>
            </w:rPr>
            <w:t>3.3.3实现碳达峰碳中和的挑战</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_Toc5330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45</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34992FAC">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_Toc12296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lang w:val="en-US" w:eastAsia="zh-CN"/>
            </w:rPr>
            <w:t>3.3.4生物多样性保护面临的挑战</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_Toc12296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45</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1ACFBA65">
          <w:pPr>
            <w:pStyle w:val="20"/>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_Toc11095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lang w:val="en-US" w:eastAsia="zh-CN"/>
            </w:rPr>
            <w:t>4规划总则</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_Toc11095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47</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3DCF6DD5">
          <w:pPr>
            <w:pStyle w:val="21"/>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_Toc7491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lang w:val="en-US" w:eastAsia="zh-CN"/>
            </w:rPr>
            <w:t>4.1指导思想</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_Toc7491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47</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391D994B">
          <w:pPr>
            <w:pStyle w:val="21"/>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_Toc31720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lang w:val="en-US" w:eastAsia="zh-CN"/>
            </w:rPr>
            <w:t>4.2规划原则</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_Toc31720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47</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36401198">
          <w:pPr>
            <w:pStyle w:val="21"/>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_Toc25323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lang w:val="en-US" w:eastAsia="zh-CN"/>
            </w:rPr>
            <w:t>4.3编制依据</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_Toc25323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48</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1EF007C1">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_Toc1149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lang w:val="en-US" w:eastAsia="zh-CN"/>
            </w:rPr>
            <w:t>4.3.1法律法规</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_Toc1149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48</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613D1F5C">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_Toc15779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lang w:val="en-US" w:eastAsia="zh-CN"/>
            </w:rPr>
            <w:t>4.3.2政策文件</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_Toc15779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49</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0E7DB550">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_Toc5011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lang w:val="en-US" w:eastAsia="zh-CN"/>
            </w:rPr>
            <w:t>4.3.3规划计划</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_Toc5011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53</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4CD0CB88">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_Toc15564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lang w:val="en-US" w:eastAsia="zh-CN"/>
            </w:rPr>
            <w:t>4.3.4相关技术文件</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_Toc15564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55</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220F2DD6">
          <w:pPr>
            <w:pStyle w:val="21"/>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_Toc29298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lang w:val="en-US" w:eastAsia="zh-CN"/>
            </w:rPr>
            <w:t>4.4规划范围与期限</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_Toc29298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56</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61E7E44D">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_Toc26169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lang w:val="en-US" w:eastAsia="zh-CN"/>
            </w:rPr>
            <w:t>4.4.1规划范围</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_Toc26169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56</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73A23A3A">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_Toc4779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lang w:val="en-US" w:eastAsia="zh-CN"/>
            </w:rPr>
            <w:t>4.4.2规划时限</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_Toc4779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56</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6896C477">
          <w:pPr>
            <w:pStyle w:val="21"/>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_Toc25653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lang w:val="en-US" w:eastAsia="zh-CN"/>
            </w:rPr>
            <w:t>4.5定位分析</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_Toc25653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56</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55311F9A">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_Toc24683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lang w:val="en-US" w:eastAsia="zh-CN"/>
            </w:rPr>
            <w:t>4.5.1上位规划</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_Toc24683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56</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745ADB12">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_Toc30971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lang w:val="en-US" w:eastAsia="zh-CN"/>
            </w:rPr>
            <w:t>4.5.2示范创建定位</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_Toc30971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57</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75BF7C34">
          <w:pPr>
            <w:pStyle w:val="21"/>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_Toc10400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lang w:val="en-US" w:eastAsia="zh-CN"/>
            </w:rPr>
            <w:t>4.6规划目标</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_Toc10400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58</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126F37B6">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_Toc2786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lang w:val="en-US" w:eastAsia="zh-CN"/>
            </w:rPr>
            <w:t>4.6.1总体目标</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_Toc2786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58</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7C24E1BE">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_Toc14590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lang w:val="en-US" w:eastAsia="zh-CN"/>
            </w:rPr>
            <w:t>4.6.2阶段目标</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_Toc14590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59</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4150C144">
          <w:pPr>
            <w:pStyle w:val="21"/>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_Toc30389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lang w:val="en-US" w:eastAsia="zh-CN"/>
            </w:rPr>
            <w:t>4.7规划指标</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_Toc30389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60</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0B73CED2">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_Toc20832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lang w:val="en-US" w:eastAsia="zh-CN"/>
            </w:rPr>
            <w:t>4.7.1指标现状</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_Toc20832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60</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522347B1">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_Toc538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lang w:val="en-US" w:eastAsia="zh-CN"/>
            </w:rPr>
            <w:t>4.7.2指标目标及可达性分析</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_Toc538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74</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11670695">
          <w:pPr>
            <w:pStyle w:val="20"/>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_Toc31016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lang w:val="en-US" w:eastAsia="zh-CN"/>
            </w:rPr>
            <w:t>5严格落实政策，健全生态制度体系</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_Toc31016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81</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1E933322">
          <w:pPr>
            <w:pStyle w:val="21"/>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_Toc22011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lang w:val="en-US" w:eastAsia="zh-CN"/>
            </w:rPr>
            <w:t>5.1健全完善自然资源资产产权和资源总量管理全面节约制度</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_Toc22011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81</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531E74F6">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_Toc8315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lang w:val="en-US" w:eastAsia="zh-CN"/>
            </w:rPr>
            <w:t>5.1.1健全自然资源资产产权制度和用途管制制度</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_Toc8315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81</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1B15E70B">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_Toc26944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lang w:val="en-US" w:eastAsia="zh-CN"/>
            </w:rPr>
            <w:t>5.1.2健全土地节约集约使用制度</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_Toc26944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81</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1CAB03D8">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_Toc29844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lang w:val="en-US" w:eastAsia="zh-CN"/>
            </w:rPr>
            <w:t>5.1.3施行最严格水资源管理制度</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_Toc29844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82</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40C9BCCF">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_Toc18018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lang w:val="en-US" w:eastAsia="zh-CN"/>
            </w:rPr>
            <w:t>5.1.4强化落实能源消费总量管理和节约制度</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_Toc18018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83</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75B64D02">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_Toc18309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lang w:val="en-US" w:eastAsia="zh-CN"/>
            </w:rPr>
            <w:t>5.1.5完善资源循环利用制度</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_Toc18309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83</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723429E0">
          <w:pPr>
            <w:pStyle w:val="21"/>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_Toc10917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lang w:val="en-US" w:eastAsia="zh-CN"/>
            </w:rPr>
            <w:t>5.2建立健全国土空间开发保护制度和空间规划体系</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_Toc10917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84</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55BEC622">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_Toc12058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lang w:val="en-US" w:eastAsia="zh-CN"/>
            </w:rPr>
            <w:t>5.2.1建立统一的确权登记系统</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_Toc12058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84</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264BCEA6">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_Toc13296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lang w:val="en-US" w:eastAsia="zh-CN"/>
            </w:rPr>
            <w:t>5.2.2健全国土空间用途管制制度</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_Toc13296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84</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3F1E00F5">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_Toc23485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lang w:val="en-US" w:eastAsia="zh-CN"/>
            </w:rPr>
            <w:t>5.2.3健全自然保护地保护机制</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_Toc23485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85</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19826F23">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_Toc15008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lang w:val="en-US" w:eastAsia="zh-CN"/>
            </w:rPr>
            <w:t>5.2.4建立空间规划体系</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_Toc15008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85</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7D7943DC">
          <w:pPr>
            <w:pStyle w:val="21"/>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_Toc28551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lang w:val="en-US" w:eastAsia="zh-CN"/>
            </w:rPr>
            <w:t>5.3健全资源有偿使用和生态补偿制度</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_Toc28551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85</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792294AF">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_Toc7888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rPr>
            <w:t>5.</w:t>
          </w:r>
          <w:r>
            <w:rPr>
              <w:rFonts w:hint="default" w:ascii="Times New Roman" w:hAnsi="Times New Roman" w:eastAsia="方正仿宋_GBK" w:cs="Times New Roman"/>
              <w:snapToGrid w:val="0"/>
              <w:color w:val="auto"/>
              <w:sz w:val="21"/>
              <w:szCs w:val="21"/>
              <w:lang w:val="en-US" w:eastAsia="zh-CN"/>
            </w:rPr>
            <w:t>3</w:t>
          </w:r>
          <w:r>
            <w:rPr>
              <w:rFonts w:hint="default" w:ascii="Times New Roman" w:hAnsi="Times New Roman" w:eastAsia="方正仿宋_GBK" w:cs="Times New Roman"/>
              <w:snapToGrid w:val="0"/>
              <w:color w:val="auto"/>
              <w:sz w:val="21"/>
              <w:szCs w:val="21"/>
            </w:rPr>
            <w:t>.1</w:t>
          </w:r>
          <w:r>
            <w:rPr>
              <w:rFonts w:hint="default" w:ascii="Times New Roman" w:hAnsi="Times New Roman" w:eastAsia="方正仿宋_GBK" w:cs="Times New Roman"/>
              <w:color w:val="auto"/>
              <w:sz w:val="21"/>
              <w:szCs w:val="21"/>
              <w:lang w:val="en-US" w:eastAsia="zh-CN"/>
            </w:rPr>
            <w:t>加快自然资源及其产品价格改革</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_Toc7888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85</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5131C633">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_Toc7915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rPr>
            <w:t>5.</w:t>
          </w:r>
          <w:r>
            <w:rPr>
              <w:rFonts w:hint="default" w:ascii="Times New Roman" w:hAnsi="Times New Roman" w:eastAsia="方正仿宋_GBK" w:cs="Times New Roman"/>
              <w:snapToGrid w:val="0"/>
              <w:color w:val="auto"/>
              <w:sz w:val="21"/>
              <w:szCs w:val="21"/>
              <w:lang w:val="en-US" w:eastAsia="zh-CN"/>
            </w:rPr>
            <w:t>3</w:t>
          </w:r>
          <w:r>
            <w:rPr>
              <w:rFonts w:hint="default" w:ascii="Times New Roman" w:hAnsi="Times New Roman" w:eastAsia="方正仿宋_GBK" w:cs="Times New Roman"/>
              <w:snapToGrid w:val="0"/>
              <w:color w:val="auto"/>
              <w:sz w:val="21"/>
              <w:szCs w:val="21"/>
            </w:rPr>
            <w:t>.</w:t>
          </w:r>
          <w:r>
            <w:rPr>
              <w:rFonts w:hint="default" w:ascii="Times New Roman" w:hAnsi="Times New Roman" w:eastAsia="方正仿宋_GBK" w:cs="Times New Roman"/>
              <w:snapToGrid w:val="0"/>
              <w:color w:val="auto"/>
              <w:sz w:val="21"/>
              <w:szCs w:val="21"/>
              <w:lang w:val="en-US" w:eastAsia="zh-CN"/>
            </w:rPr>
            <w:t>2完善土地有偿使用制度</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_Toc7915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86</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4B5AC38D">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_Toc19681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rPr>
            <w:t>5.</w:t>
          </w:r>
          <w:r>
            <w:rPr>
              <w:rFonts w:hint="default" w:ascii="Times New Roman" w:hAnsi="Times New Roman" w:eastAsia="方正仿宋_GBK" w:cs="Times New Roman"/>
              <w:snapToGrid w:val="0"/>
              <w:color w:val="auto"/>
              <w:sz w:val="21"/>
              <w:szCs w:val="21"/>
              <w:lang w:val="en-US" w:eastAsia="zh-CN"/>
            </w:rPr>
            <w:t>3</w:t>
          </w:r>
          <w:r>
            <w:rPr>
              <w:rFonts w:hint="default" w:ascii="Times New Roman" w:hAnsi="Times New Roman" w:eastAsia="方正仿宋_GBK" w:cs="Times New Roman"/>
              <w:snapToGrid w:val="0"/>
              <w:color w:val="auto"/>
              <w:sz w:val="21"/>
              <w:szCs w:val="21"/>
            </w:rPr>
            <w:t>.</w:t>
          </w:r>
          <w:r>
            <w:rPr>
              <w:rFonts w:hint="default" w:ascii="Times New Roman" w:hAnsi="Times New Roman" w:eastAsia="方正仿宋_GBK" w:cs="Times New Roman"/>
              <w:snapToGrid w:val="0"/>
              <w:color w:val="auto"/>
              <w:sz w:val="21"/>
              <w:szCs w:val="21"/>
              <w:lang w:val="en-US" w:eastAsia="zh-CN"/>
            </w:rPr>
            <w:t>3完善矿产资源有偿使用制度</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_Toc19681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86</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5B873B5F">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_Toc28572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rPr>
            <w:t>5.3.4探索完善生态补偿制度</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_Toc28572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86</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2AE035D4">
          <w:pPr>
            <w:pStyle w:val="21"/>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_Toc6986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lang w:val="en-US" w:eastAsia="zh-CN"/>
            </w:rPr>
            <w:t>5.4建立健全环境治理体系</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_Toc6986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87</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4D1C260A">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_Toc20367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rPr>
            <w:t>5.</w:t>
          </w:r>
          <w:r>
            <w:rPr>
              <w:rFonts w:hint="default" w:ascii="Times New Roman" w:hAnsi="Times New Roman" w:eastAsia="方正仿宋_GBK" w:cs="Times New Roman"/>
              <w:snapToGrid w:val="0"/>
              <w:color w:val="auto"/>
              <w:sz w:val="21"/>
              <w:szCs w:val="21"/>
              <w:lang w:val="en-US" w:eastAsia="zh-CN"/>
            </w:rPr>
            <w:t>4</w:t>
          </w:r>
          <w:r>
            <w:rPr>
              <w:rFonts w:hint="default" w:ascii="Times New Roman" w:hAnsi="Times New Roman" w:eastAsia="方正仿宋_GBK" w:cs="Times New Roman"/>
              <w:snapToGrid w:val="0"/>
              <w:color w:val="auto"/>
              <w:sz w:val="21"/>
              <w:szCs w:val="21"/>
            </w:rPr>
            <w:t>.1严格执行生态环境准入制度</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_Toc20367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87</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021620E2">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_Toc29698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rPr>
            <w:t>5.</w:t>
          </w:r>
          <w:r>
            <w:rPr>
              <w:rFonts w:hint="default" w:ascii="Times New Roman" w:hAnsi="Times New Roman" w:eastAsia="方正仿宋_GBK" w:cs="Times New Roman"/>
              <w:snapToGrid w:val="0"/>
              <w:color w:val="auto"/>
              <w:sz w:val="21"/>
              <w:szCs w:val="21"/>
              <w:lang w:val="en-US" w:eastAsia="zh-CN"/>
            </w:rPr>
            <w:t>4</w:t>
          </w:r>
          <w:r>
            <w:rPr>
              <w:rFonts w:hint="default" w:ascii="Times New Roman" w:hAnsi="Times New Roman" w:eastAsia="方正仿宋_GBK" w:cs="Times New Roman"/>
              <w:snapToGrid w:val="0"/>
              <w:color w:val="auto"/>
              <w:sz w:val="21"/>
              <w:szCs w:val="21"/>
            </w:rPr>
            <w:t>.2深入执行环境影响评价与排污许可制度</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_Toc29698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87</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38EF9B31">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_Toc19801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rPr>
            <w:t>5.</w:t>
          </w:r>
          <w:r>
            <w:rPr>
              <w:rFonts w:hint="default" w:ascii="Times New Roman" w:hAnsi="Times New Roman" w:eastAsia="方正仿宋_GBK" w:cs="Times New Roman"/>
              <w:snapToGrid w:val="0"/>
              <w:color w:val="auto"/>
              <w:sz w:val="21"/>
              <w:szCs w:val="21"/>
              <w:lang w:val="en-US" w:eastAsia="zh-CN"/>
            </w:rPr>
            <w:t>4</w:t>
          </w:r>
          <w:r>
            <w:rPr>
              <w:rFonts w:hint="default" w:ascii="Times New Roman" w:hAnsi="Times New Roman" w:eastAsia="方正仿宋_GBK" w:cs="Times New Roman"/>
              <w:snapToGrid w:val="0"/>
              <w:color w:val="auto"/>
              <w:sz w:val="21"/>
              <w:szCs w:val="21"/>
            </w:rPr>
            <w:t>.3严格落实污染物排放总量控制制度</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_Toc19801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88</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1A26009E">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_Toc3571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rPr>
            <w:t>5.</w:t>
          </w:r>
          <w:r>
            <w:rPr>
              <w:rFonts w:hint="default" w:ascii="Times New Roman" w:hAnsi="Times New Roman" w:eastAsia="方正仿宋_GBK" w:cs="Times New Roman"/>
              <w:snapToGrid w:val="0"/>
              <w:color w:val="auto"/>
              <w:sz w:val="21"/>
              <w:szCs w:val="21"/>
              <w:lang w:val="en-US" w:eastAsia="zh-CN"/>
            </w:rPr>
            <w:t>4</w:t>
          </w:r>
          <w:r>
            <w:rPr>
              <w:rFonts w:hint="default" w:ascii="Times New Roman" w:hAnsi="Times New Roman" w:eastAsia="方正仿宋_GBK" w:cs="Times New Roman"/>
              <w:snapToGrid w:val="0"/>
              <w:color w:val="auto"/>
              <w:sz w:val="21"/>
              <w:szCs w:val="21"/>
            </w:rPr>
            <w:t>.4健全落实环境信息公开制度</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_Toc3571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88</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431F2B3D">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_Toc17463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rPr>
            <w:t>5.</w:t>
          </w:r>
          <w:r>
            <w:rPr>
              <w:rFonts w:hint="default" w:ascii="Times New Roman" w:hAnsi="Times New Roman" w:eastAsia="方正仿宋_GBK" w:cs="Times New Roman"/>
              <w:snapToGrid w:val="0"/>
              <w:color w:val="auto"/>
              <w:sz w:val="21"/>
              <w:szCs w:val="21"/>
              <w:lang w:val="en-US" w:eastAsia="zh-CN"/>
            </w:rPr>
            <w:t>4</w:t>
          </w:r>
          <w:r>
            <w:rPr>
              <w:rFonts w:hint="default" w:ascii="Times New Roman" w:hAnsi="Times New Roman" w:eastAsia="方正仿宋_GBK" w:cs="Times New Roman"/>
              <w:snapToGrid w:val="0"/>
              <w:color w:val="auto"/>
              <w:sz w:val="21"/>
              <w:szCs w:val="21"/>
            </w:rPr>
            <w:t>.5深化生态环境监管制度</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_Toc17463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89</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0B16BD4F">
          <w:pPr>
            <w:pStyle w:val="21"/>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_Toc24415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lang w:val="en-US" w:eastAsia="zh-CN"/>
            </w:rPr>
            <w:t>5.5健全环境治理和生态保护市场体系</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_Toc24415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92</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01061DA4">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_Toc30753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rPr>
            <w:t>5.</w:t>
          </w:r>
          <w:r>
            <w:rPr>
              <w:rFonts w:hint="default" w:ascii="Times New Roman" w:hAnsi="Times New Roman" w:eastAsia="方正仿宋_GBK" w:cs="Times New Roman"/>
              <w:snapToGrid w:val="0"/>
              <w:color w:val="auto"/>
              <w:sz w:val="21"/>
              <w:szCs w:val="21"/>
              <w:lang w:val="en-US" w:eastAsia="zh-CN"/>
            </w:rPr>
            <w:t>5</w:t>
          </w:r>
          <w:r>
            <w:rPr>
              <w:rFonts w:hint="default" w:ascii="Times New Roman" w:hAnsi="Times New Roman" w:eastAsia="方正仿宋_GBK" w:cs="Times New Roman"/>
              <w:snapToGrid w:val="0"/>
              <w:color w:val="auto"/>
              <w:sz w:val="21"/>
              <w:szCs w:val="21"/>
            </w:rPr>
            <w:t>.</w:t>
          </w:r>
          <w:r>
            <w:rPr>
              <w:rFonts w:hint="default" w:ascii="Times New Roman" w:hAnsi="Times New Roman" w:eastAsia="方正仿宋_GBK" w:cs="Times New Roman"/>
              <w:snapToGrid w:val="0"/>
              <w:color w:val="auto"/>
              <w:sz w:val="21"/>
              <w:szCs w:val="21"/>
              <w:lang w:val="en-US" w:eastAsia="zh-CN"/>
            </w:rPr>
            <w:t>1</w:t>
          </w:r>
          <w:r>
            <w:rPr>
              <w:rFonts w:hint="default" w:ascii="Times New Roman" w:hAnsi="Times New Roman" w:eastAsia="方正仿宋_GBK" w:cs="Times New Roman"/>
              <w:snapToGrid w:val="0"/>
              <w:color w:val="auto"/>
              <w:sz w:val="21"/>
              <w:szCs w:val="21"/>
            </w:rPr>
            <w:t>培育环境治理和生态保护市场主体</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_Toc30753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92</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7AA6C02B">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_Toc22065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lang w:val="en-US" w:eastAsia="zh-CN"/>
            </w:rPr>
            <w:t>5.5.2推行用能权和碳排放权交易制度</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_Toc22065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92</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427214C5">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_Toc11048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lang w:val="en-US" w:eastAsia="zh-CN"/>
            </w:rPr>
            <w:t>5.5.3推行排污权交易制度</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_Toc11048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92</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229E27A4">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_Toc26786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lang w:val="en-US" w:eastAsia="zh-CN"/>
            </w:rPr>
            <w:t>5.5.4推行水权交易制度</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_Toc26786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92</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749A64D1">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_Toc24418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lang w:val="en-US" w:eastAsia="zh-CN"/>
            </w:rPr>
            <w:t>5.5.5建立绿色金融体系</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_Toc24418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93</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64EFC929">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_Toc30388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rPr>
            <w:t>5.</w:t>
          </w:r>
          <w:r>
            <w:rPr>
              <w:rFonts w:hint="default" w:ascii="Times New Roman" w:hAnsi="Times New Roman" w:eastAsia="方正仿宋_GBK" w:cs="Times New Roman"/>
              <w:snapToGrid w:val="0"/>
              <w:color w:val="auto"/>
              <w:sz w:val="21"/>
              <w:szCs w:val="21"/>
              <w:lang w:val="en-US" w:eastAsia="zh-CN"/>
            </w:rPr>
            <w:t>5</w:t>
          </w:r>
          <w:r>
            <w:rPr>
              <w:rFonts w:hint="default" w:ascii="Times New Roman" w:hAnsi="Times New Roman" w:eastAsia="方正仿宋_GBK" w:cs="Times New Roman"/>
              <w:snapToGrid w:val="0"/>
              <w:color w:val="auto"/>
              <w:sz w:val="21"/>
              <w:szCs w:val="21"/>
            </w:rPr>
            <w:t>.</w:t>
          </w:r>
          <w:r>
            <w:rPr>
              <w:rFonts w:hint="default" w:ascii="Times New Roman" w:hAnsi="Times New Roman" w:eastAsia="方正仿宋_GBK" w:cs="Times New Roman"/>
              <w:snapToGrid w:val="0"/>
              <w:color w:val="auto"/>
              <w:sz w:val="21"/>
              <w:szCs w:val="21"/>
              <w:lang w:val="en-US" w:eastAsia="zh-CN"/>
            </w:rPr>
            <w:t>6</w:t>
          </w:r>
          <w:r>
            <w:rPr>
              <w:rFonts w:hint="default" w:ascii="Times New Roman" w:hAnsi="Times New Roman" w:eastAsia="方正仿宋_GBK" w:cs="Times New Roman"/>
              <w:snapToGrid w:val="0"/>
              <w:color w:val="auto"/>
              <w:sz w:val="21"/>
              <w:szCs w:val="21"/>
            </w:rPr>
            <w:t>健全生态产品价值实现支撑机制</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_Toc30388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93</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343F5E3B">
          <w:pPr>
            <w:pStyle w:val="21"/>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_Toc24953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lang w:val="en-US" w:eastAsia="zh-CN"/>
            </w:rPr>
            <w:t>5.6完善生态文明绩效评价考核和责任追究制度</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_Toc24953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94</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4835EDF8">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_Toc25774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rPr>
            <w:t>5.</w:t>
          </w:r>
          <w:r>
            <w:rPr>
              <w:rFonts w:hint="default" w:ascii="Times New Roman" w:hAnsi="Times New Roman" w:eastAsia="方正仿宋_GBK" w:cs="Times New Roman"/>
              <w:snapToGrid w:val="0"/>
              <w:color w:val="auto"/>
              <w:sz w:val="21"/>
              <w:szCs w:val="21"/>
              <w:lang w:val="en-US" w:eastAsia="zh-CN"/>
            </w:rPr>
            <w:t>6</w:t>
          </w:r>
          <w:r>
            <w:rPr>
              <w:rFonts w:hint="default" w:ascii="Times New Roman" w:hAnsi="Times New Roman" w:eastAsia="方正仿宋_GBK" w:cs="Times New Roman"/>
              <w:snapToGrid w:val="0"/>
              <w:color w:val="auto"/>
              <w:sz w:val="21"/>
              <w:szCs w:val="21"/>
            </w:rPr>
            <w:t>.1完善生态文明建设目标责任制度</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_Toc25774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94</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46F63289">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_Toc20342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rPr>
            <w:t>5.</w:t>
          </w:r>
          <w:r>
            <w:rPr>
              <w:rFonts w:hint="default" w:ascii="Times New Roman" w:hAnsi="Times New Roman" w:eastAsia="方正仿宋_GBK" w:cs="Times New Roman"/>
              <w:snapToGrid w:val="0"/>
              <w:color w:val="auto"/>
              <w:sz w:val="21"/>
              <w:szCs w:val="21"/>
              <w:lang w:val="en-US" w:eastAsia="zh-CN"/>
            </w:rPr>
            <w:t>6</w:t>
          </w:r>
          <w:r>
            <w:rPr>
              <w:rFonts w:hint="default" w:ascii="Times New Roman" w:hAnsi="Times New Roman" w:eastAsia="方正仿宋_GBK" w:cs="Times New Roman"/>
              <w:snapToGrid w:val="0"/>
              <w:color w:val="auto"/>
              <w:sz w:val="21"/>
              <w:szCs w:val="21"/>
            </w:rPr>
            <w:t>.2完善生态环境损害责任追究制度</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_Toc20342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94</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5D046189">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_Toc13592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rPr>
            <w:t>5.</w:t>
          </w:r>
          <w:r>
            <w:rPr>
              <w:rFonts w:hint="default" w:ascii="Times New Roman" w:hAnsi="Times New Roman" w:eastAsia="方正仿宋_GBK" w:cs="Times New Roman"/>
              <w:snapToGrid w:val="0"/>
              <w:color w:val="auto"/>
              <w:sz w:val="21"/>
              <w:szCs w:val="21"/>
              <w:lang w:val="en-US" w:eastAsia="zh-CN"/>
            </w:rPr>
            <w:t>6</w:t>
          </w:r>
          <w:r>
            <w:rPr>
              <w:rFonts w:hint="default" w:ascii="Times New Roman" w:hAnsi="Times New Roman" w:eastAsia="方正仿宋_GBK" w:cs="Times New Roman"/>
              <w:snapToGrid w:val="0"/>
              <w:color w:val="auto"/>
              <w:sz w:val="21"/>
              <w:szCs w:val="21"/>
            </w:rPr>
            <w:t>.3健全自然资源资产离任审计制度</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_Toc13592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95</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6FA1B53C">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_Toc18609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rPr>
            <w:t>5.</w:t>
          </w:r>
          <w:r>
            <w:rPr>
              <w:rFonts w:hint="default" w:ascii="Times New Roman" w:hAnsi="Times New Roman" w:eastAsia="方正仿宋_GBK" w:cs="Times New Roman"/>
              <w:snapToGrid w:val="0"/>
              <w:color w:val="auto"/>
              <w:sz w:val="21"/>
              <w:szCs w:val="21"/>
              <w:lang w:val="en-US" w:eastAsia="zh-CN"/>
            </w:rPr>
            <w:t>6</w:t>
          </w:r>
          <w:r>
            <w:rPr>
              <w:rFonts w:hint="default" w:ascii="Times New Roman" w:hAnsi="Times New Roman" w:eastAsia="方正仿宋_GBK" w:cs="Times New Roman"/>
              <w:snapToGrid w:val="0"/>
              <w:color w:val="auto"/>
              <w:sz w:val="21"/>
              <w:szCs w:val="21"/>
            </w:rPr>
            <w:t>.4健全生态环境损害赔偿制度</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_Toc18609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95</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00325100">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_Toc23833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rPr>
            <w:t>5.</w:t>
          </w:r>
          <w:r>
            <w:rPr>
              <w:rFonts w:hint="default" w:ascii="Times New Roman" w:hAnsi="Times New Roman" w:eastAsia="方正仿宋_GBK" w:cs="Times New Roman"/>
              <w:snapToGrid w:val="0"/>
              <w:color w:val="auto"/>
              <w:sz w:val="21"/>
              <w:szCs w:val="21"/>
              <w:lang w:val="en-US" w:eastAsia="zh-CN"/>
            </w:rPr>
            <w:t>6</w:t>
          </w:r>
          <w:r>
            <w:rPr>
              <w:rFonts w:hint="default" w:ascii="Times New Roman" w:hAnsi="Times New Roman" w:eastAsia="方正仿宋_GBK" w:cs="Times New Roman"/>
              <w:snapToGrid w:val="0"/>
              <w:color w:val="auto"/>
              <w:sz w:val="21"/>
              <w:szCs w:val="21"/>
            </w:rPr>
            <w:t>.5落实企业生态环境保护责任</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_Toc23833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96</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323F185B">
          <w:pPr>
            <w:pStyle w:val="20"/>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_Toc7226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lang w:val="en-US" w:eastAsia="zh-CN"/>
            </w:rPr>
            <w:t>6坚持全面统筹，建设生态安全体系</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_Toc7226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98</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6FDC37B9">
          <w:pPr>
            <w:pStyle w:val="21"/>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_Toc27641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lang w:val="en-US" w:eastAsia="zh-CN"/>
            </w:rPr>
            <w:t>6.1稳定保持水生态环境质量</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_Toc27641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98</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0EC948E9">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_Toc3789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bCs/>
              <w:snapToGrid w:val="0"/>
              <w:color w:val="auto"/>
              <w:kern w:val="2"/>
              <w:sz w:val="21"/>
              <w:szCs w:val="21"/>
              <w:highlight w:val="none"/>
              <w:lang w:val="en-US" w:eastAsia="zh-CN" w:bidi="ar-SA"/>
            </w:rPr>
            <w:t>6.1.1保障水环境安全</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_Toc3789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98</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03905C3C">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_Toc973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bCs/>
              <w:snapToGrid w:val="0"/>
              <w:color w:val="auto"/>
              <w:kern w:val="2"/>
              <w:sz w:val="21"/>
              <w:szCs w:val="21"/>
              <w:highlight w:val="none"/>
              <w:lang w:val="en-US" w:eastAsia="zh-CN" w:bidi="ar-SA"/>
            </w:rPr>
            <w:t>6.1.2积极推动水生态保护与修复</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_Toc973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101</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117A1B60">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_Toc4421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bCs/>
              <w:snapToGrid w:val="0"/>
              <w:color w:val="auto"/>
              <w:kern w:val="2"/>
              <w:sz w:val="21"/>
              <w:szCs w:val="21"/>
              <w:highlight w:val="none"/>
              <w:lang w:val="en-US" w:eastAsia="zh-CN" w:bidi="ar-SA"/>
            </w:rPr>
            <w:t>6.1.3强化水资源保护与管理</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_Toc4421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102</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2E91C7E8">
          <w:pPr>
            <w:pStyle w:val="21"/>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_Toc21662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lang w:val="en-US" w:eastAsia="zh-CN"/>
            </w:rPr>
            <w:t>6.2持续改善大气环境质量</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_Toc21662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104</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2AE3D501">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_Toc29635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bCs/>
              <w:snapToGrid w:val="0"/>
              <w:color w:val="auto"/>
              <w:kern w:val="2"/>
              <w:sz w:val="21"/>
              <w:szCs w:val="21"/>
              <w:highlight w:val="none"/>
              <w:lang w:val="en-US" w:eastAsia="zh-CN" w:bidi="ar-SA"/>
            </w:rPr>
            <w:t>6.2.1协同温室气体和污染物治理</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_Toc29635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104</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441C4F50">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_Toc5496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bCs/>
              <w:snapToGrid w:val="0"/>
              <w:color w:val="auto"/>
              <w:kern w:val="2"/>
              <w:sz w:val="21"/>
              <w:szCs w:val="21"/>
              <w:highlight w:val="none"/>
              <w:lang w:val="en-US" w:eastAsia="zh-CN" w:bidi="ar-SA"/>
            </w:rPr>
            <w:t>6.2.2加强大气面源污染治理</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_Toc5496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104</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3620C83A">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_Toc17118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bCs/>
              <w:snapToGrid w:val="0"/>
              <w:color w:val="auto"/>
              <w:kern w:val="2"/>
              <w:sz w:val="21"/>
              <w:szCs w:val="21"/>
              <w:highlight w:val="none"/>
              <w:lang w:val="en-US" w:eastAsia="zh-CN" w:bidi="ar-SA"/>
            </w:rPr>
            <w:t>6.2.3深化工业企业污染防控</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_Toc17118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105</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6C9D33FB">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_Toc4937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bCs/>
              <w:snapToGrid w:val="0"/>
              <w:color w:val="auto"/>
              <w:kern w:val="2"/>
              <w:sz w:val="21"/>
              <w:szCs w:val="21"/>
              <w:highlight w:val="none"/>
              <w:lang w:val="en-US" w:eastAsia="zh-CN" w:bidi="ar-SA"/>
            </w:rPr>
            <w:t>6.2.4强化移动源污染防治</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_Toc4937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106</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6AE97525">
          <w:pPr>
            <w:pStyle w:val="21"/>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_Toc10144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lang w:val="en-US" w:eastAsia="zh-CN"/>
            </w:rPr>
            <w:t>6.3严格管控土壤环境质量</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_Toc10144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107</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28F3C769">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_Toc27522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bCs/>
              <w:snapToGrid w:val="0"/>
              <w:color w:val="auto"/>
              <w:kern w:val="2"/>
              <w:sz w:val="21"/>
              <w:szCs w:val="21"/>
              <w:highlight w:val="none"/>
              <w:lang w:val="en-US" w:eastAsia="zh-CN" w:bidi="ar-SA"/>
            </w:rPr>
            <w:t>6.3.1推动土壤污染防治和安全利用</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_Toc27522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107</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36574E4E">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_Toc10266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bCs/>
              <w:snapToGrid w:val="0"/>
              <w:color w:val="auto"/>
              <w:kern w:val="2"/>
              <w:sz w:val="21"/>
              <w:szCs w:val="21"/>
              <w:highlight w:val="none"/>
              <w:lang w:val="en-US" w:eastAsia="zh-CN" w:bidi="ar-SA"/>
            </w:rPr>
            <w:t>6.3.2加强地下水污染防治</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_Toc10266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109</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1EE8727E">
          <w:pPr>
            <w:pStyle w:val="21"/>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_Toc30920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lang w:val="en-US" w:eastAsia="zh-CN"/>
            </w:rPr>
            <w:t>6.4提高声环境质量</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_Toc30920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111</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76A5A128">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_Toc21965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bCs/>
              <w:snapToGrid w:val="0"/>
              <w:color w:val="auto"/>
              <w:kern w:val="2"/>
              <w:sz w:val="21"/>
              <w:szCs w:val="21"/>
              <w:highlight w:val="none"/>
              <w:lang w:val="en-US" w:eastAsia="zh-CN" w:bidi="ar-SA"/>
            </w:rPr>
            <w:t>6.4.1加大噪声污染监管力度</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_Toc21965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111</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5171528C">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_Toc27202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bCs/>
              <w:snapToGrid w:val="0"/>
              <w:color w:val="auto"/>
              <w:kern w:val="2"/>
              <w:sz w:val="21"/>
              <w:szCs w:val="21"/>
              <w:highlight w:val="none"/>
              <w:lang w:val="en-US" w:eastAsia="zh-CN" w:bidi="ar-SA"/>
            </w:rPr>
            <w:t>6.4.2严控各类噪声源</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_Toc27202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112</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61DDA474">
          <w:pPr>
            <w:pStyle w:val="21"/>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_Toc8261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lang w:val="en-US" w:eastAsia="zh-CN"/>
            </w:rPr>
            <w:t>6.5强化生态系统保护与修复</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_Toc8261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113</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3CE17ABC">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_Toc583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bCs/>
              <w:snapToGrid w:val="0"/>
              <w:color w:val="auto"/>
              <w:kern w:val="2"/>
              <w:sz w:val="21"/>
              <w:szCs w:val="21"/>
              <w:highlight w:val="none"/>
              <w:lang w:val="en-US" w:eastAsia="zh-CN" w:bidi="ar-SA"/>
            </w:rPr>
            <w:t>6.5.1提升生态系统质量和稳定性</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_Toc583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113</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460BEBA6">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_Toc30097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bCs/>
              <w:snapToGrid w:val="0"/>
              <w:color w:val="auto"/>
              <w:kern w:val="2"/>
              <w:sz w:val="21"/>
              <w:szCs w:val="21"/>
              <w:highlight w:val="none"/>
              <w:lang w:val="en-US" w:eastAsia="zh-CN" w:bidi="ar-SA"/>
            </w:rPr>
            <w:t>6.5.2加强生物多样性保护</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_Toc30097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115</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7C78FD9D">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_Toc8049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bCs/>
              <w:snapToGrid w:val="0"/>
              <w:color w:val="auto"/>
              <w:kern w:val="2"/>
              <w:sz w:val="21"/>
              <w:szCs w:val="21"/>
              <w:highlight w:val="none"/>
              <w:lang w:val="en-US" w:eastAsia="zh-CN" w:bidi="ar-SA"/>
            </w:rPr>
            <w:t>6.5.3全面实施生态修复</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_Toc8049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116</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22DD8949">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_Toc26499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bCs/>
              <w:snapToGrid w:val="0"/>
              <w:color w:val="auto"/>
              <w:kern w:val="2"/>
              <w:sz w:val="21"/>
              <w:szCs w:val="21"/>
              <w:highlight w:val="none"/>
              <w:lang w:val="en-US" w:eastAsia="zh-CN" w:bidi="ar-SA"/>
            </w:rPr>
            <w:t>6.5.4持续开展国土山川大绿化行动</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_Toc26499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117</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2A60AA3D">
          <w:pPr>
            <w:pStyle w:val="21"/>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_Toc2920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lang w:val="en-US" w:eastAsia="zh-CN"/>
            </w:rPr>
            <w:t>6.6积极应对气候变化</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_Toc2920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118</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0BF43A04">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_Toc984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bCs/>
              <w:snapToGrid w:val="0"/>
              <w:color w:val="auto"/>
              <w:kern w:val="2"/>
              <w:sz w:val="21"/>
              <w:szCs w:val="21"/>
              <w:highlight w:val="none"/>
              <w:lang w:val="en-US" w:eastAsia="zh-CN" w:bidi="ar-SA"/>
            </w:rPr>
            <w:t>6.6.1制定碳达峰行动方案</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_Toc984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118</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3B8170EF">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_Toc9439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bCs/>
              <w:snapToGrid w:val="0"/>
              <w:color w:val="auto"/>
              <w:kern w:val="2"/>
              <w:sz w:val="21"/>
              <w:szCs w:val="21"/>
              <w:highlight w:val="none"/>
              <w:lang w:val="en-US" w:eastAsia="zh-CN" w:bidi="ar-SA"/>
            </w:rPr>
            <w:t>6.6.2持续加强减污降碳</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_Toc9439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119</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663281E7">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_Toc16055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bCs/>
              <w:snapToGrid w:val="0"/>
              <w:color w:val="auto"/>
              <w:kern w:val="2"/>
              <w:sz w:val="21"/>
              <w:szCs w:val="21"/>
              <w:highlight w:val="none"/>
              <w:lang w:val="en-US" w:eastAsia="zh-CN" w:bidi="ar-SA"/>
            </w:rPr>
            <w:t>6.6.3积极发展生态降碳</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_Toc16055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120</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0326CB97">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_Toc26262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bCs/>
              <w:snapToGrid w:val="0"/>
              <w:color w:val="auto"/>
              <w:kern w:val="2"/>
              <w:sz w:val="21"/>
              <w:szCs w:val="21"/>
              <w:highlight w:val="none"/>
              <w:lang w:val="en-US" w:eastAsia="zh-CN" w:bidi="ar-SA"/>
            </w:rPr>
            <w:t>6.6.4提高适应气候变化能力</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_Toc26262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121</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1FD79BAD">
          <w:pPr>
            <w:pStyle w:val="21"/>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_Toc2611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lang w:val="en-US" w:eastAsia="zh-CN"/>
            </w:rPr>
            <w:t>6.7加强生态环境风险防范</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_Toc2611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121</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63FC44CB">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_Toc7012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bCs/>
              <w:snapToGrid w:val="0"/>
              <w:color w:val="auto"/>
              <w:kern w:val="2"/>
              <w:sz w:val="21"/>
              <w:szCs w:val="21"/>
              <w:highlight w:val="none"/>
              <w:lang w:val="en-US" w:eastAsia="zh-CN" w:bidi="ar-SA"/>
            </w:rPr>
            <w:t>6.7.1完善生态环境风险和应急管理体系</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_Toc7012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121</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75F16C33">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_Toc20374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bCs/>
              <w:snapToGrid w:val="0"/>
              <w:color w:val="auto"/>
              <w:kern w:val="2"/>
              <w:sz w:val="21"/>
              <w:szCs w:val="21"/>
              <w:highlight w:val="none"/>
              <w:lang w:val="en-US" w:eastAsia="zh-CN" w:bidi="ar-SA"/>
            </w:rPr>
            <w:t>6.7.2加强危险废物、医疗废物收集处理</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_Toc20374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123</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36F4BF91">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_Toc5919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bCs/>
              <w:snapToGrid w:val="0"/>
              <w:color w:val="auto"/>
              <w:kern w:val="2"/>
              <w:sz w:val="21"/>
              <w:szCs w:val="21"/>
              <w:highlight w:val="none"/>
              <w:lang w:val="en-US" w:eastAsia="zh-CN" w:bidi="ar-SA"/>
            </w:rPr>
            <w:t>6.7.3提高固体废弃物综合利用水平</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_Toc5919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124</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2182162E">
          <w:pPr>
            <w:pStyle w:val="20"/>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_Toc21018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lang w:val="en-US" w:eastAsia="zh-CN"/>
            </w:rPr>
            <w:t>7严格空间管控，建设生态空间体系</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_Toc21018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126</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6288A685">
          <w:pPr>
            <w:pStyle w:val="21"/>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_Toc28243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lang w:val="en-US" w:eastAsia="zh-CN"/>
            </w:rPr>
            <w:t>7.1严格生态空间用途管制</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_Toc28243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126</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23C1D035">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_Toc27742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bCs/>
              <w:snapToGrid w:val="0"/>
              <w:color w:val="auto"/>
              <w:kern w:val="2"/>
              <w:sz w:val="21"/>
              <w:szCs w:val="21"/>
              <w:highlight w:val="none"/>
              <w:lang w:val="en-US" w:eastAsia="zh-CN" w:bidi="ar-SA"/>
            </w:rPr>
            <w:t>7.1.1落实“三线一单”生态环境分区管控</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_Toc27742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126</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4BB35DD0">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_Toc2954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bCs/>
              <w:snapToGrid w:val="0"/>
              <w:color w:val="auto"/>
              <w:kern w:val="2"/>
              <w:sz w:val="21"/>
              <w:szCs w:val="21"/>
              <w:highlight w:val="none"/>
              <w:lang w:val="en-US" w:eastAsia="zh-CN" w:bidi="ar-SA"/>
            </w:rPr>
            <w:t>7.1.2生态保护红线和生态空间</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_Toc2954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132</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2EC6CBA5">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_Toc28105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bCs/>
              <w:snapToGrid w:val="0"/>
              <w:color w:val="auto"/>
              <w:kern w:val="2"/>
              <w:sz w:val="21"/>
              <w:szCs w:val="21"/>
              <w:highlight w:val="none"/>
              <w:lang w:val="en-US" w:eastAsia="zh-CN" w:bidi="ar-SA"/>
            </w:rPr>
            <w:t>7.1.3永久基本农田和农业空间</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_Toc28105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133</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280FFA75">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_Toc9396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bCs/>
              <w:snapToGrid w:val="0"/>
              <w:color w:val="auto"/>
              <w:kern w:val="2"/>
              <w:sz w:val="21"/>
              <w:szCs w:val="21"/>
              <w:highlight w:val="none"/>
              <w:lang w:val="en-US" w:eastAsia="zh-CN" w:bidi="ar-SA"/>
            </w:rPr>
            <w:t>7.1.4城镇开发边界线和城镇空间</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_Toc9396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134</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1E367C61">
          <w:pPr>
            <w:pStyle w:val="21"/>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_Toc20523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lang w:val="en-US" w:eastAsia="zh-CN"/>
            </w:rPr>
            <w:t>7</w:t>
          </w:r>
          <w:r>
            <w:rPr>
              <w:rFonts w:hint="default" w:ascii="Times New Roman" w:hAnsi="Times New Roman" w:eastAsia="方正仿宋_GBK" w:cs="Times New Roman"/>
              <w:color w:val="auto"/>
              <w:sz w:val="21"/>
              <w:szCs w:val="21"/>
              <w:lang w:val="zh-CN" w:eastAsia="zh-CN"/>
            </w:rPr>
            <w:t>.</w:t>
          </w:r>
          <w:r>
            <w:rPr>
              <w:rFonts w:hint="default" w:ascii="Times New Roman" w:hAnsi="Times New Roman" w:eastAsia="方正仿宋_GBK" w:cs="Times New Roman"/>
              <w:color w:val="auto"/>
              <w:sz w:val="21"/>
              <w:szCs w:val="21"/>
              <w:lang w:val="en-US" w:eastAsia="zh-CN"/>
            </w:rPr>
            <w:t>2</w:t>
          </w:r>
          <w:r>
            <w:rPr>
              <w:rFonts w:hint="default" w:ascii="Times New Roman" w:hAnsi="Times New Roman" w:eastAsia="方正仿宋_GBK" w:cs="Times New Roman"/>
              <w:color w:val="auto"/>
              <w:sz w:val="21"/>
              <w:szCs w:val="21"/>
              <w:lang w:val="zh-CN" w:eastAsia="zh-CN"/>
            </w:rPr>
            <w:t>构建自然保护地体系</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_Toc20523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135</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271E2360">
          <w:pPr>
            <w:pStyle w:val="21"/>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_Toc24979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lang w:val="zh-CN" w:eastAsia="zh-CN"/>
            </w:rPr>
            <w:t>7.</w:t>
          </w:r>
          <w:r>
            <w:rPr>
              <w:rFonts w:hint="default" w:ascii="Times New Roman" w:hAnsi="Times New Roman" w:eastAsia="方正仿宋_GBK" w:cs="Times New Roman"/>
              <w:color w:val="auto"/>
              <w:sz w:val="21"/>
              <w:szCs w:val="21"/>
              <w:lang w:val="en-US" w:eastAsia="zh-CN"/>
            </w:rPr>
            <w:t>3</w:t>
          </w:r>
          <w:r>
            <w:rPr>
              <w:rFonts w:hint="default" w:ascii="Times New Roman" w:hAnsi="Times New Roman" w:eastAsia="方正仿宋_GBK" w:cs="Times New Roman"/>
              <w:color w:val="auto"/>
              <w:sz w:val="21"/>
              <w:szCs w:val="21"/>
              <w:lang w:val="zh-CN" w:eastAsia="zh-CN"/>
            </w:rPr>
            <w:t>持续优化国土空间布局</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_Toc24979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136</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4DD82873">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_Toc9379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bCs/>
              <w:snapToGrid w:val="0"/>
              <w:color w:val="auto"/>
              <w:kern w:val="2"/>
              <w:sz w:val="21"/>
              <w:szCs w:val="21"/>
              <w:highlight w:val="none"/>
              <w:lang w:val="en-US" w:eastAsia="zh-CN" w:bidi="ar-SA"/>
            </w:rPr>
            <w:t>7.3.1加速融入滇中城市群一体化发展</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_Toc9379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136</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7BA40724">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_Toc7559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bCs/>
              <w:snapToGrid w:val="0"/>
              <w:color w:val="auto"/>
              <w:kern w:val="2"/>
              <w:sz w:val="21"/>
              <w:szCs w:val="21"/>
              <w:highlight w:val="none"/>
              <w:lang w:val="en-US" w:eastAsia="zh-CN" w:bidi="ar-SA"/>
            </w:rPr>
            <w:t>7.3.2优化生产力空间布局</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_Toc7559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137</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5ED38D1A">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_Toc13518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bCs/>
              <w:snapToGrid w:val="0"/>
              <w:color w:val="auto"/>
              <w:kern w:val="2"/>
              <w:sz w:val="21"/>
              <w:szCs w:val="21"/>
              <w:highlight w:val="none"/>
              <w:lang w:val="en-US" w:eastAsia="zh-CN" w:bidi="ar-SA"/>
            </w:rPr>
            <w:t>7.3.3巩固“两</w:t>
          </w:r>
          <w:r>
            <w:rPr>
              <w:rFonts w:hint="default" w:ascii="Times New Roman" w:hAnsi="Times New Roman" w:eastAsia="方正仿宋_GBK" w:cs="Times New Roman"/>
              <w:bCs/>
              <w:snapToGrid w:val="0"/>
              <w:color w:val="auto"/>
              <w:kern w:val="2"/>
              <w:sz w:val="21"/>
              <w:szCs w:val="21"/>
              <w:highlight w:val="none"/>
              <w:lang w:eastAsia="zh-CN" w:bidi="ar-SA"/>
            </w:rPr>
            <w:t>山</w:t>
          </w:r>
          <w:r>
            <w:rPr>
              <w:rFonts w:hint="default" w:ascii="Times New Roman" w:hAnsi="Times New Roman" w:eastAsia="方正仿宋_GBK" w:cs="Times New Roman"/>
              <w:bCs/>
              <w:snapToGrid w:val="0"/>
              <w:color w:val="auto"/>
              <w:kern w:val="2"/>
              <w:sz w:val="21"/>
              <w:szCs w:val="21"/>
              <w:highlight w:val="none"/>
              <w:lang w:val="en-US" w:eastAsia="zh-CN" w:bidi="ar-SA"/>
            </w:rPr>
            <w:t>一</w:t>
          </w:r>
          <w:r>
            <w:rPr>
              <w:rFonts w:hint="default" w:ascii="Times New Roman" w:hAnsi="Times New Roman" w:eastAsia="方正仿宋_GBK" w:cs="Times New Roman"/>
              <w:bCs/>
              <w:snapToGrid w:val="0"/>
              <w:color w:val="auto"/>
              <w:kern w:val="2"/>
              <w:sz w:val="21"/>
              <w:szCs w:val="21"/>
              <w:highlight w:val="none"/>
              <w:lang w:eastAsia="zh-CN" w:bidi="ar-SA"/>
            </w:rPr>
            <w:t>江</w:t>
          </w:r>
          <w:r>
            <w:rPr>
              <w:rFonts w:hint="default" w:ascii="Times New Roman" w:hAnsi="Times New Roman" w:eastAsia="方正仿宋_GBK" w:cs="Times New Roman"/>
              <w:bCs/>
              <w:snapToGrid w:val="0"/>
              <w:color w:val="auto"/>
              <w:kern w:val="2"/>
              <w:sz w:val="21"/>
              <w:szCs w:val="21"/>
              <w:highlight w:val="none"/>
              <w:lang w:val="en-US" w:eastAsia="zh-CN" w:bidi="ar-SA"/>
            </w:rPr>
            <w:t>多点”的生态安全格局</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_Toc13518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139</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04E471BB">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_Toc20626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bCs/>
              <w:snapToGrid w:val="0"/>
              <w:color w:val="auto"/>
              <w:kern w:val="2"/>
              <w:sz w:val="21"/>
              <w:szCs w:val="21"/>
              <w:highlight w:val="none"/>
              <w:lang w:val="en-US" w:eastAsia="zh-CN" w:bidi="ar-SA"/>
            </w:rPr>
            <w:t>7.3.4优化产业发展布局</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_Toc20626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139</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77721A59">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_Toc25138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bCs/>
              <w:snapToGrid w:val="0"/>
              <w:color w:val="auto"/>
              <w:kern w:val="2"/>
              <w:sz w:val="21"/>
              <w:szCs w:val="21"/>
              <w:highlight w:val="none"/>
              <w:lang w:val="en-US" w:eastAsia="zh-CN" w:bidi="ar-SA"/>
            </w:rPr>
            <w:t>7.3.5优化城乡发展空间</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_Toc25138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142</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59BFCB10">
          <w:pPr>
            <w:pStyle w:val="21"/>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_Toc8573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lang w:val="en-US" w:eastAsia="zh-CN"/>
            </w:rPr>
            <w:t>7.4</w:t>
          </w:r>
          <w:r>
            <w:rPr>
              <w:rFonts w:hint="default" w:ascii="Times New Roman" w:hAnsi="Times New Roman" w:eastAsia="方正仿宋_GBK" w:cs="Times New Roman"/>
              <w:color w:val="auto"/>
              <w:sz w:val="21"/>
              <w:szCs w:val="21"/>
              <w:lang w:val="zh-CN" w:eastAsia="zh-CN"/>
            </w:rPr>
            <w:t>严格管控岸线开发利用</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_Toc8573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143</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565C2F59">
          <w:pPr>
            <w:pStyle w:val="20"/>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_Toc24134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lang w:val="en-US" w:eastAsia="zh-CN"/>
            </w:rPr>
            <w:t>8坚持绿色发展，建设生态经济体系</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_Toc24134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144</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7784BBF6">
          <w:pPr>
            <w:pStyle w:val="21"/>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_Toc29272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lang w:val="zh-CN" w:eastAsia="zh-CN"/>
            </w:rPr>
            <w:t>8.1</w:t>
          </w:r>
          <w:r>
            <w:rPr>
              <w:rFonts w:hint="default" w:ascii="Times New Roman" w:hAnsi="Times New Roman" w:eastAsia="方正仿宋_GBK" w:cs="Times New Roman"/>
              <w:color w:val="auto"/>
              <w:sz w:val="21"/>
              <w:szCs w:val="21"/>
              <w:lang w:val="en-US" w:eastAsia="zh-CN"/>
            </w:rPr>
            <w:t>优化产业结构</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_Toc29272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144</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58E7D12D">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_Toc26510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rPr>
            <w:t>8.1.1改造提升传统支柱产业</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_Toc26510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144</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44DF5B22">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_Toc411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rPr>
            <w:t>8.1.2构建循环型产业体系</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_Toc411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144</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0598B3FB">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_Toc23700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rPr>
            <w:t>8.1.3构建低碳化产业体系</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_Toc23700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145</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77A73ACE">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_Toc19896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rPr>
            <w:t>8.1.4发展绿色生态环境产业</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_Toc19896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146</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7E56709C">
          <w:pPr>
            <w:pStyle w:val="21"/>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_Toc15315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lang w:val="zh-CN" w:eastAsia="zh-CN"/>
            </w:rPr>
            <w:t>8.2推进产业生态化发展</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_Toc15315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146</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31DD2F4F">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_Toc5600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rPr>
            <w:t>8.2.1推进工业绿色化改造</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_Toc5600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146</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72173A94">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_Toc8139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rPr>
            <w:t>8.2.2推进园区循环化改造</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_Toc8139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149</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3609C422">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_Toc27206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rPr>
            <w:t>8.2.3推进农业绿色化发展</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_Toc27206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155</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11F1F4AD">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_Toc210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rPr>
            <w:t>8.2.4推进固体废弃物综合利用</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_Toc210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160</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15B3E36F">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_Toc3879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lang w:val="zh-CN"/>
            </w:rPr>
            <w:t>8.</w:t>
          </w:r>
          <w:r>
            <w:rPr>
              <w:rFonts w:hint="default" w:ascii="Times New Roman" w:hAnsi="Times New Roman" w:eastAsia="方正仿宋_GBK" w:cs="Times New Roman"/>
              <w:snapToGrid w:val="0"/>
              <w:color w:val="auto"/>
              <w:sz w:val="21"/>
              <w:szCs w:val="21"/>
            </w:rPr>
            <w:t>2.5提升水资源利用效率</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_Toc3879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160</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2ECCC210">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_Toc4711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lang w:val="zh-CN"/>
            </w:rPr>
            <w:t>8.</w:t>
          </w:r>
          <w:r>
            <w:rPr>
              <w:rFonts w:hint="default" w:ascii="Times New Roman" w:hAnsi="Times New Roman" w:eastAsia="方正仿宋_GBK" w:cs="Times New Roman"/>
              <w:snapToGrid w:val="0"/>
              <w:color w:val="auto"/>
              <w:sz w:val="21"/>
              <w:szCs w:val="21"/>
            </w:rPr>
            <w:t>2.6提升清洁化水平</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_Toc4711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161</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5F9D38C4">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_Toc20830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rPr>
            <w:t>8.2.7打造中国花腰傣文化旅游目的地</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_Toc20830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162</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6B6ABDB1">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_Toc7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rPr>
            <w:t>8.2.8积极推进生态产品价值实现</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_Toc7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164</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24EDBA7C">
          <w:pPr>
            <w:pStyle w:val="21"/>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_Toc8271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lang w:val="zh-CN" w:eastAsia="zh-CN"/>
            </w:rPr>
            <w:t>8.3推进区域融合发展</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_Toc8271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165</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257D4181">
          <w:pPr>
            <w:pStyle w:val="21"/>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_Toc11743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lang w:val="zh-CN" w:eastAsia="zh-CN"/>
            </w:rPr>
            <w:t>8.4构建清洁低碳现代能源体系</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_Toc11743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166</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5271CEA2">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_Toc8296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lang w:val="zh-CN"/>
            </w:rPr>
            <w:t>8.</w:t>
          </w:r>
          <w:r>
            <w:rPr>
              <w:rFonts w:hint="default" w:ascii="Times New Roman" w:hAnsi="Times New Roman" w:eastAsia="方正仿宋_GBK" w:cs="Times New Roman"/>
              <w:snapToGrid w:val="0"/>
              <w:color w:val="auto"/>
              <w:sz w:val="21"/>
              <w:szCs w:val="21"/>
            </w:rPr>
            <w:t>4</w:t>
          </w:r>
          <w:r>
            <w:rPr>
              <w:rFonts w:hint="default" w:ascii="Times New Roman" w:hAnsi="Times New Roman" w:eastAsia="方正仿宋_GBK" w:cs="Times New Roman"/>
              <w:snapToGrid w:val="0"/>
              <w:color w:val="auto"/>
              <w:sz w:val="21"/>
              <w:szCs w:val="21"/>
              <w:lang w:val="zh-CN"/>
            </w:rPr>
            <w:t>.1加快推进能源基础设施建设</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_Toc8296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166</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13D899CF">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_Toc972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lang w:val="zh-CN"/>
            </w:rPr>
            <w:t>8.</w:t>
          </w:r>
          <w:r>
            <w:rPr>
              <w:rFonts w:hint="default" w:ascii="Times New Roman" w:hAnsi="Times New Roman" w:eastAsia="方正仿宋_GBK" w:cs="Times New Roman"/>
              <w:snapToGrid w:val="0"/>
              <w:color w:val="auto"/>
              <w:sz w:val="21"/>
              <w:szCs w:val="21"/>
            </w:rPr>
            <w:t>4</w:t>
          </w:r>
          <w:r>
            <w:rPr>
              <w:rFonts w:hint="default" w:ascii="Times New Roman" w:hAnsi="Times New Roman" w:eastAsia="方正仿宋_GBK" w:cs="Times New Roman"/>
              <w:snapToGrid w:val="0"/>
              <w:color w:val="auto"/>
              <w:sz w:val="21"/>
              <w:szCs w:val="21"/>
              <w:lang w:val="zh-CN"/>
            </w:rPr>
            <w:t>.2控制能源消费总量</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_Toc972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166</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0552B7C8">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_Toc17048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lang w:val="zh-CN"/>
            </w:rPr>
            <w:t>8.</w:t>
          </w:r>
          <w:r>
            <w:rPr>
              <w:rFonts w:hint="default" w:ascii="Times New Roman" w:hAnsi="Times New Roman" w:eastAsia="方正仿宋_GBK" w:cs="Times New Roman"/>
              <w:snapToGrid w:val="0"/>
              <w:color w:val="auto"/>
              <w:sz w:val="21"/>
              <w:szCs w:val="21"/>
            </w:rPr>
            <w:t>4</w:t>
          </w:r>
          <w:r>
            <w:rPr>
              <w:rFonts w:hint="default" w:ascii="Times New Roman" w:hAnsi="Times New Roman" w:eastAsia="方正仿宋_GBK" w:cs="Times New Roman"/>
              <w:snapToGrid w:val="0"/>
              <w:color w:val="auto"/>
              <w:sz w:val="21"/>
              <w:szCs w:val="21"/>
              <w:lang w:val="zh-CN"/>
            </w:rPr>
            <w:t>.3抓好重点领域节能工作</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_Toc17048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167</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10413A93">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_Toc15742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rPr>
            <w:t>8.4.4推动能源清洁低碳转型</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_Toc15742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168</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69BFDA0F">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_Toc4187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rPr>
            <w:t>8.4.5推动能源消费绿色低碳转型</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_Toc4187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168</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15AF2E19">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_Toc20683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lang w:val="zh-CN"/>
            </w:rPr>
            <w:t>8.</w:t>
          </w:r>
          <w:r>
            <w:rPr>
              <w:rFonts w:hint="default" w:ascii="Times New Roman" w:hAnsi="Times New Roman" w:eastAsia="方正仿宋_GBK" w:cs="Times New Roman"/>
              <w:snapToGrid w:val="0"/>
              <w:color w:val="auto"/>
              <w:sz w:val="21"/>
              <w:szCs w:val="21"/>
            </w:rPr>
            <w:t>4</w:t>
          </w:r>
          <w:r>
            <w:rPr>
              <w:rFonts w:hint="default" w:ascii="Times New Roman" w:hAnsi="Times New Roman" w:eastAsia="方正仿宋_GBK" w:cs="Times New Roman"/>
              <w:snapToGrid w:val="0"/>
              <w:color w:val="auto"/>
              <w:sz w:val="21"/>
              <w:szCs w:val="21"/>
              <w:lang w:val="zh-CN"/>
            </w:rPr>
            <w:t>.</w:t>
          </w:r>
          <w:r>
            <w:rPr>
              <w:rFonts w:hint="default" w:ascii="Times New Roman" w:hAnsi="Times New Roman" w:eastAsia="方正仿宋_GBK" w:cs="Times New Roman"/>
              <w:snapToGrid w:val="0"/>
              <w:color w:val="auto"/>
              <w:sz w:val="21"/>
              <w:szCs w:val="21"/>
            </w:rPr>
            <w:t>6持续</w:t>
          </w:r>
          <w:r>
            <w:rPr>
              <w:rFonts w:hint="default" w:ascii="Times New Roman" w:hAnsi="Times New Roman" w:eastAsia="方正仿宋_GBK" w:cs="Times New Roman"/>
              <w:snapToGrid w:val="0"/>
              <w:color w:val="auto"/>
              <w:sz w:val="21"/>
              <w:szCs w:val="21"/>
              <w:lang w:val="zh-CN"/>
            </w:rPr>
            <w:t>调整农村能源结构</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_Toc20683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168</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41252D03">
          <w:pPr>
            <w:pStyle w:val="20"/>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_Toc6480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lang w:val="en-US" w:eastAsia="zh-CN"/>
            </w:rPr>
            <w:t>9提升人居环境，打造生态生活体系</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_Toc6480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169</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41B42C6D">
          <w:pPr>
            <w:pStyle w:val="21"/>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_Toc17262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lang w:val="zh-CN" w:eastAsia="zh-CN"/>
            </w:rPr>
            <w:t>9.1城乡环境一体化建设</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_Toc17262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169</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0AED9DB6">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_Toc5760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lang w:val="zh-CN"/>
            </w:rPr>
            <w:t>9.1.1加快推进两污设施建设</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_Toc5760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169</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7BD71CA7">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_Toc21433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lang w:val="zh-CN"/>
            </w:rPr>
            <w:t>9.1.2保障饮用水安全</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_Toc21433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171</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771F502A">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_Toc14512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lang w:val="zh-CN"/>
            </w:rPr>
            <w:t>9.1.3加快绿美城市建设</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_Toc14512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173</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45C418B7">
          <w:pPr>
            <w:pStyle w:val="21"/>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_Toc13334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lang w:val="zh-CN" w:eastAsia="zh-CN"/>
            </w:rPr>
            <w:t>9.2绿色城镇化及生态城区</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_Toc13334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177</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244A5821">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_Toc633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lang w:val="zh-CN"/>
            </w:rPr>
            <w:t>9.2.1加快建设美丽县城</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_Toc633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177</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3F7D6F9C">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_Toc22338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lang w:val="zh-CN"/>
            </w:rPr>
            <w:t>9.2.2积极支持小城镇发展</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_Toc22338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179</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144FA3D2">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_Toc21505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lang w:val="zh-CN"/>
            </w:rPr>
            <w:t>9.2.3发展绿色生态旅游服务业</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_Toc21505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180</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2F8BCDEB">
          <w:pPr>
            <w:pStyle w:val="21"/>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_Toc31654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lang w:val="zh-CN" w:eastAsia="zh-CN"/>
            </w:rPr>
            <w:t>9.3乡村振兴和美丽乡村建设</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_Toc31654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182</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138D3007">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_Toc15745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lang w:val="zh-CN"/>
            </w:rPr>
            <w:t>9.3.1全面实施乡村振兴战略</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_Toc15745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182</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15B9E007">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_Toc5890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lang w:val="zh-CN"/>
            </w:rPr>
            <w:t>9.3.2农业农村环境综合整治</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_Toc5890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183</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4F3554E5">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_Toc495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lang w:val="zh-CN"/>
            </w:rPr>
            <w:t>9.3.3推进生态宜居美丽乡村建设</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_Toc495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186</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53CA7CE2">
          <w:pPr>
            <w:pStyle w:val="21"/>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_Toc3829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lang w:val="zh-CN" w:eastAsia="zh-CN"/>
            </w:rPr>
            <w:t>9.4践行简约绿色低碳生活</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_Toc3829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187</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7344847F">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_Toc15919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lang w:val="zh-CN"/>
            </w:rPr>
            <w:t>9.4.1提升绿色建筑水平</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_Toc15919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187</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5EE348AD">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_Toc11918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lang w:val="zh-CN"/>
            </w:rPr>
            <w:t>9.4.2倡导绿色出行</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_Toc11918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188</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4EB36F51">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_Toc8313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lang w:val="zh-CN"/>
            </w:rPr>
            <w:t>9.4.3持续巩固政府绿色采购</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_Toc8313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188</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450524E3">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_Toc2580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lang w:val="zh-CN"/>
            </w:rPr>
            <w:t>9.4.4不断推进生活垃圾分类减量化行动</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_Toc2580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189</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30816B44">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_Toc13797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lang w:val="zh-CN"/>
            </w:rPr>
            <w:t>9.4.5积极开展“限塑”活动</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_Toc13797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189</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07E0474B">
          <w:pPr>
            <w:pStyle w:val="20"/>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_Toc17530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lang w:val="en-US" w:eastAsia="zh-CN"/>
            </w:rPr>
            <w:t>10弘扬生态理念，构建生态文化体系</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_Toc17530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191</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05EA70AF">
          <w:pPr>
            <w:pStyle w:val="21"/>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_Toc16079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lang w:val="zh-CN" w:eastAsia="zh-CN"/>
            </w:rPr>
            <w:t>10.1加强生态文化载体建设</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_Toc16079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191</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5F61DBE3">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_Toc2307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rPr>
            <w:t>10.1.1深挖特色文化生态理念</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_Toc2307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191</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557DC88D">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_Toc15486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rPr>
            <w:t>10.1.2夯实公共文化服务供给</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_Toc15486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192</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5AA3FF51">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_Toc29373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rPr>
            <w:t>10.1.3创建现代生态文化体系</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_Toc29373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193</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5979AF1F">
          <w:pPr>
            <w:pStyle w:val="21"/>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_Toc2334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lang w:val="zh-CN" w:eastAsia="zh-CN"/>
            </w:rPr>
            <w:t>10.2强化生态文明宣传教育</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_Toc2334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194</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5ECFA7E0">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_Toc22803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rPr>
            <w:t>10.2.1丰富生态文明宣传教育渠道</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_Toc22803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194</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64DB3FED">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_Toc13462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rPr>
            <w:t>10.2.2全面开展生态文明教育培训</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_Toc13462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195</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65BEEE3A">
          <w:pPr>
            <w:pStyle w:val="21"/>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_Toc29950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lang w:val="zh-CN" w:eastAsia="zh-CN"/>
            </w:rPr>
            <w:t>10.3推动生态文明共建共享</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_Toc29950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198</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38F3B150">
          <w:pPr>
            <w:pStyle w:val="21"/>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_Toc31815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lang w:val="zh-CN" w:eastAsia="zh-CN"/>
            </w:rPr>
            <w:t>10.4绿色细胞工程建设</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_Toc31815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199</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04736C44">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_Toc12220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rPr>
            <w:t>10.4.1巩固现有生态创建成果</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_Toc12220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199</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0AADB535">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_Toc1635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rPr>
            <w:t>10.4.2持续推进生态创建活动</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_Toc1635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199</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7390A2E5">
          <w:pPr>
            <w:pStyle w:val="20"/>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_Toc2192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lang w:val="en-US" w:eastAsia="zh-CN"/>
            </w:rPr>
            <w:t>11重点工程</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_Toc2192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200</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6E982FC0">
          <w:pPr>
            <w:pStyle w:val="21"/>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_Toc9233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lang w:val="zh-CN" w:eastAsia="zh-CN"/>
            </w:rPr>
            <w:t>11.1重点工程</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_Toc9233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200</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0A4B74E5">
          <w:pPr>
            <w:pStyle w:val="21"/>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_Toc3618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lang w:val="zh-CN" w:eastAsia="zh-CN"/>
            </w:rPr>
            <w:t>11.2规划效益分析</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_Toc3618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209</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70E88B9E">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_Toc29215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rPr>
            <w:t>11.2.1环境效益</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_Toc29215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209</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42B605E3">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_Toc6089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rPr>
            <w:t>11.2.2经济效益</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_Toc6089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209</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03CB9733">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_Toc18781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rPr>
            <w:t>11.2.3社会效益</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_Toc18781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210</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6168AAD7">
          <w:pPr>
            <w:pStyle w:val="20"/>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_Toc18073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lang w:val="en-US" w:eastAsia="zh-CN"/>
            </w:rPr>
            <w:t>12保障措施</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_Toc18073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211</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0A12CCE5">
          <w:pPr>
            <w:pStyle w:val="21"/>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_Toc27627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lang w:val="zh-CN" w:eastAsia="zh-CN"/>
            </w:rPr>
            <w:t>12.</w:t>
          </w:r>
          <w:r>
            <w:rPr>
              <w:rFonts w:hint="default" w:ascii="Times New Roman" w:hAnsi="Times New Roman" w:eastAsia="方正仿宋_GBK" w:cs="Times New Roman"/>
              <w:color w:val="auto"/>
              <w:sz w:val="21"/>
              <w:szCs w:val="21"/>
              <w:lang w:val="en-US" w:eastAsia="zh-CN"/>
            </w:rPr>
            <w:t>1</w:t>
          </w:r>
          <w:r>
            <w:rPr>
              <w:rFonts w:hint="default" w:ascii="Times New Roman" w:hAnsi="Times New Roman" w:eastAsia="方正仿宋_GBK" w:cs="Times New Roman"/>
              <w:color w:val="auto"/>
              <w:sz w:val="21"/>
              <w:szCs w:val="21"/>
              <w:lang w:val="zh-CN" w:eastAsia="zh-CN"/>
            </w:rPr>
            <w:t>组织领导</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_Toc27627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211</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351ED65F">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_Toc27661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rPr>
            <w:t>12.</w:t>
          </w:r>
          <w:r>
            <w:rPr>
              <w:rFonts w:hint="default" w:ascii="Times New Roman" w:hAnsi="Times New Roman" w:eastAsia="方正仿宋_GBK" w:cs="Times New Roman"/>
              <w:snapToGrid w:val="0"/>
              <w:color w:val="auto"/>
              <w:sz w:val="21"/>
              <w:szCs w:val="21"/>
              <w:lang w:val="en-US" w:eastAsia="zh-CN"/>
            </w:rPr>
            <w:t>1</w:t>
          </w:r>
          <w:r>
            <w:rPr>
              <w:rFonts w:hint="default" w:ascii="Times New Roman" w:hAnsi="Times New Roman" w:eastAsia="方正仿宋_GBK" w:cs="Times New Roman"/>
              <w:snapToGrid w:val="0"/>
              <w:color w:val="auto"/>
              <w:sz w:val="21"/>
              <w:szCs w:val="21"/>
            </w:rPr>
            <w:t>.1加强组织领导</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_Toc27661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211</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618CDEFA">
          <w:pPr>
            <w:pStyle w:val="15"/>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_Toc1488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snapToGrid w:val="0"/>
              <w:color w:val="auto"/>
              <w:sz w:val="21"/>
              <w:szCs w:val="21"/>
            </w:rPr>
            <w:t>12.</w:t>
          </w:r>
          <w:r>
            <w:rPr>
              <w:rFonts w:hint="default" w:ascii="Times New Roman" w:hAnsi="Times New Roman" w:eastAsia="方正仿宋_GBK" w:cs="Times New Roman"/>
              <w:snapToGrid w:val="0"/>
              <w:color w:val="auto"/>
              <w:sz w:val="21"/>
              <w:szCs w:val="21"/>
              <w:lang w:val="en-US" w:eastAsia="zh-CN"/>
            </w:rPr>
            <w:t>1</w:t>
          </w:r>
          <w:r>
            <w:rPr>
              <w:rFonts w:hint="default" w:ascii="Times New Roman" w:hAnsi="Times New Roman" w:eastAsia="方正仿宋_GBK" w:cs="Times New Roman"/>
              <w:snapToGrid w:val="0"/>
              <w:color w:val="auto"/>
              <w:sz w:val="21"/>
              <w:szCs w:val="21"/>
            </w:rPr>
            <w:t>.2建立健全目标责任制</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_Toc1488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211</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45B85640">
          <w:pPr>
            <w:pStyle w:val="21"/>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_Toc27325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lang w:val="zh-CN" w:eastAsia="zh-CN"/>
            </w:rPr>
            <w:t>12.</w:t>
          </w:r>
          <w:r>
            <w:rPr>
              <w:rFonts w:hint="default" w:ascii="Times New Roman" w:hAnsi="Times New Roman" w:eastAsia="方正仿宋_GBK" w:cs="Times New Roman"/>
              <w:color w:val="auto"/>
              <w:sz w:val="21"/>
              <w:szCs w:val="21"/>
              <w:lang w:val="en-US" w:eastAsia="zh-CN"/>
            </w:rPr>
            <w:t>2</w:t>
          </w:r>
          <w:r>
            <w:rPr>
              <w:rFonts w:hint="default" w:ascii="Times New Roman" w:hAnsi="Times New Roman" w:eastAsia="方正仿宋_GBK" w:cs="Times New Roman"/>
              <w:color w:val="auto"/>
              <w:sz w:val="21"/>
              <w:szCs w:val="21"/>
              <w:lang w:val="zh-CN" w:eastAsia="zh-CN"/>
            </w:rPr>
            <w:t>监督考核</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_Toc27325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211</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4BFE9FF4">
          <w:pPr>
            <w:pStyle w:val="21"/>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_Toc25410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lang w:val="zh-CN" w:eastAsia="zh-CN"/>
            </w:rPr>
            <w:t>12.</w:t>
          </w:r>
          <w:r>
            <w:rPr>
              <w:rFonts w:hint="default" w:ascii="Times New Roman" w:hAnsi="Times New Roman" w:eastAsia="方正仿宋_GBK" w:cs="Times New Roman"/>
              <w:color w:val="auto"/>
              <w:sz w:val="21"/>
              <w:szCs w:val="21"/>
              <w:lang w:val="en-US" w:eastAsia="zh-CN"/>
            </w:rPr>
            <w:t>3</w:t>
          </w:r>
          <w:r>
            <w:rPr>
              <w:rFonts w:hint="default" w:ascii="Times New Roman" w:hAnsi="Times New Roman" w:eastAsia="方正仿宋_GBK" w:cs="Times New Roman"/>
              <w:color w:val="auto"/>
              <w:sz w:val="21"/>
              <w:szCs w:val="21"/>
              <w:lang w:val="zh-CN" w:eastAsia="zh-CN"/>
            </w:rPr>
            <w:t>资金保障</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_Toc25410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212</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6882FAA6">
          <w:pPr>
            <w:pStyle w:val="21"/>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rPr>
              <w:rFonts w:hint="default" w:ascii="Times New Roman" w:hAnsi="Times New Roman" w:eastAsia="方正仿宋_GBK" w:cs="Times New Roman"/>
              <w:color w:val="auto"/>
              <w:sz w:val="21"/>
              <w:szCs w:val="21"/>
            </w:rPr>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_Toc2560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lang w:val="zh-CN" w:eastAsia="zh-CN"/>
            </w:rPr>
            <w:t>12.</w:t>
          </w:r>
          <w:r>
            <w:rPr>
              <w:rFonts w:hint="default" w:ascii="Times New Roman" w:hAnsi="Times New Roman" w:eastAsia="方正仿宋_GBK" w:cs="Times New Roman"/>
              <w:color w:val="auto"/>
              <w:sz w:val="21"/>
              <w:szCs w:val="21"/>
              <w:lang w:val="en-US" w:eastAsia="zh-CN"/>
            </w:rPr>
            <w:t>4</w:t>
          </w:r>
          <w:r>
            <w:rPr>
              <w:rFonts w:hint="default" w:ascii="Times New Roman" w:hAnsi="Times New Roman" w:eastAsia="方正仿宋_GBK" w:cs="Times New Roman"/>
              <w:color w:val="auto"/>
              <w:sz w:val="21"/>
              <w:szCs w:val="21"/>
              <w:lang w:val="zh-CN" w:eastAsia="zh-CN"/>
            </w:rPr>
            <w:t>科技支撑</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_Toc2560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213</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25D36C41">
          <w:pPr>
            <w:pStyle w:val="21"/>
            <w:keepNext w:val="0"/>
            <w:keepLines w:val="0"/>
            <w:pageBreakBefore w:val="0"/>
            <w:widowControl w:val="0"/>
            <w:tabs>
              <w:tab w:val="right" w:leader="dot" w:pos="8306"/>
            </w:tabs>
            <w:kinsoku/>
            <w:wordWrap/>
            <w:overflowPunct/>
            <w:topLinePunct w:val="0"/>
            <w:autoSpaceDE/>
            <w:autoSpaceDN/>
            <w:bidi w:val="0"/>
            <w:adjustRightInd/>
            <w:snapToGrid/>
            <w:spacing w:line="300" w:lineRule="exact"/>
            <w:textAlignment w:val="auto"/>
          </w:pP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HYPERLINK \l _Toc4690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lang w:val="zh-CN" w:eastAsia="zh-CN"/>
            </w:rPr>
            <w:t>12.</w:t>
          </w:r>
          <w:r>
            <w:rPr>
              <w:rFonts w:hint="default" w:ascii="Times New Roman" w:hAnsi="Times New Roman" w:eastAsia="方正仿宋_GBK" w:cs="Times New Roman"/>
              <w:color w:val="auto"/>
              <w:sz w:val="21"/>
              <w:szCs w:val="21"/>
              <w:lang w:val="en-US" w:eastAsia="zh-CN"/>
            </w:rPr>
            <w:t>5</w:t>
          </w:r>
          <w:r>
            <w:rPr>
              <w:rFonts w:hint="default" w:ascii="Times New Roman" w:hAnsi="Times New Roman" w:eastAsia="方正仿宋_GBK" w:cs="Times New Roman"/>
              <w:color w:val="auto"/>
              <w:sz w:val="21"/>
              <w:szCs w:val="21"/>
              <w:lang w:val="zh-CN" w:eastAsia="zh-CN"/>
            </w:rPr>
            <w:t>社会参与</w:t>
          </w:r>
          <w:r>
            <w:rPr>
              <w:rFonts w:hint="default" w:ascii="Times New Roman" w:hAnsi="Times New Roman" w:eastAsia="方正仿宋_GBK" w:cs="Times New Roman"/>
              <w:color w:val="auto"/>
              <w:sz w:val="21"/>
              <w:szCs w:val="21"/>
            </w:rPr>
            <w:tab/>
          </w:r>
          <w:r>
            <w:rPr>
              <w:rFonts w:hint="default" w:ascii="Times New Roman" w:hAnsi="Times New Roman" w:eastAsia="方正仿宋_GBK" w:cs="Times New Roman"/>
              <w:color w:val="auto"/>
              <w:sz w:val="21"/>
              <w:szCs w:val="21"/>
            </w:rPr>
            <w:fldChar w:fldCharType="begin"/>
          </w:r>
          <w:r>
            <w:rPr>
              <w:rFonts w:hint="default" w:ascii="Times New Roman" w:hAnsi="Times New Roman" w:eastAsia="方正仿宋_GBK" w:cs="Times New Roman"/>
              <w:color w:val="auto"/>
              <w:sz w:val="21"/>
              <w:szCs w:val="21"/>
            </w:rPr>
            <w:instrText xml:space="preserve"> PAGEREF _Toc4690 \h </w:instrText>
          </w:r>
          <w:r>
            <w:rPr>
              <w:rFonts w:hint="default" w:ascii="Times New Roman" w:hAnsi="Times New Roman" w:eastAsia="方正仿宋_GBK" w:cs="Times New Roman"/>
              <w:color w:val="auto"/>
              <w:sz w:val="21"/>
              <w:szCs w:val="21"/>
            </w:rPr>
            <w:fldChar w:fldCharType="separate"/>
          </w:r>
          <w:r>
            <w:rPr>
              <w:rFonts w:hint="default" w:ascii="Times New Roman" w:hAnsi="Times New Roman" w:eastAsia="方正仿宋_GBK" w:cs="Times New Roman"/>
              <w:color w:val="auto"/>
              <w:sz w:val="21"/>
              <w:szCs w:val="21"/>
            </w:rPr>
            <w:t>214</w:t>
          </w:r>
          <w:r>
            <w:rPr>
              <w:rFonts w:hint="default" w:ascii="Times New Roman" w:hAnsi="Times New Roman" w:eastAsia="方正仿宋_GBK" w:cs="Times New Roman"/>
              <w:color w:val="auto"/>
              <w:sz w:val="21"/>
              <w:szCs w:val="21"/>
            </w:rPr>
            <w:fldChar w:fldCharType="end"/>
          </w:r>
          <w:r>
            <w:rPr>
              <w:rFonts w:hint="default" w:ascii="Times New Roman" w:hAnsi="Times New Roman" w:eastAsia="方正仿宋_GBK" w:cs="Times New Roman"/>
              <w:color w:val="auto"/>
              <w:sz w:val="21"/>
              <w:szCs w:val="21"/>
            </w:rPr>
            <w:fldChar w:fldCharType="end"/>
          </w:r>
        </w:p>
        <w:p w14:paraId="3FF92DDD">
          <w:pPr>
            <w:spacing w:line="480" w:lineRule="exact"/>
            <w:jc w:val="center"/>
            <w:rPr>
              <w:rFonts w:ascii="Times New Roman" w:hAnsi="Times New Roman" w:eastAsia="仿宋" w:cs="Times New Roman"/>
              <w:color w:val="FF0000"/>
            </w:rPr>
          </w:pPr>
          <w:r>
            <w:rPr>
              <w:rFonts w:ascii="Times New Roman" w:hAnsi="Times New Roman" w:eastAsia="仿宋" w:cs="Times New Roman"/>
              <w:color w:val="FF0000"/>
            </w:rPr>
            <w:fldChar w:fldCharType="end"/>
          </w:r>
        </w:p>
      </w:sdtContent>
    </w:sdt>
    <w:p w14:paraId="1A9D305E">
      <w:pPr>
        <w:pStyle w:val="3"/>
        <w:spacing w:before="340" w:after="330" w:line="276" w:lineRule="auto"/>
        <w:rPr>
          <w:rFonts w:ascii="Times New Roman" w:hAnsi="Times New Roman" w:eastAsia="仿宋" w:cs="Times New Roman"/>
          <w:color w:val="auto"/>
          <w:sz w:val="30"/>
          <w:szCs w:val="30"/>
        </w:rPr>
        <w:sectPr>
          <w:footerReference r:id="rId7" w:type="default"/>
          <w:pgSz w:w="11906" w:h="16838"/>
          <w:pgMar w:top="1440" w:right="1800" w:bottom="1440" w:left="1800" w:header="851" w:footer="992" w:gutter="0"/>
          <w:cols w:space="425" w:num="1"/>
          <w:docGrid w:type="lines" w:linePitch="312" w:charSpace="0"/>
        </w:sectPr>
      </w:pPr>
      <w:bookmarkStart w:id="10" w:name="_Toc13959"/>
      <w:bookmarkStart w:id="11" w:name="_Toc15580"/>
      <w:bookmarkStart w:id="12" w:name="_Toc30375"/>
    </w:p>
    <w:p w14:paraId="5AB7E54C">
      <w:pPr>
        <w:pStyle w:val="3"/>
        <w:spacing w:before="340" w:after="330" w:line="276" w:lineRule="auto"/>
        <w:rPr>
          <w:rFonts w:ascii="Times New Roman" w:hAnsi="Times New Roman" w:eastAsia="仿宋" w:cs="Times New Roman"/>
          <w:color w:val="auto"/>
          <w:sz w:val="24"/>
          <w:szCs w:val="24"/>
        </w:rPr>
      </w:pPr>
      <w:r>
        <w:rPr>
          <w:rFonts w:ascii="Times New Roman" w:hAnsi="Times New Roman" w:eastAsia="仿宋" w:cs="Times New Roman"/>
          <w:color w:val="auto"/>
          <w:sz w:val="30"/>
          <w:szCs w:val="30"/>
        </w:rPr>
        <w:t>附图</w:t>
      </w:r>
      <w:bookmarkEnd w:id="10"/>
      <w:bookmarkEnd w:id="11"/>
      <w:bookmarkEnd w:id="12"/>
    </w:p>
    <w:p w14:paraId="42032691">
      <w:pPr>
        <w:pStyle w:val="11"/>
        <w:spacing w:after="0" w:line="480" w:lineRule="exact"/>
        <w:rPr>
          <w:rFonts w:ascii="Times New Roman" w:hAnsi="Times New Roman" w:eastAsia="仿宋" w:cs="Times New Roman"/>
          <w:color w:val="auto"/>
          <w:sz w:val="28"/>
          <w:szCs w:val="28"/>
        </w:rPr>
      </w:pPr>
      <w:r>
        <w:rPr>
          <w:rFonts w:ascii="Times New Roman" w:hAnsi="Times New Roman" w:eastAsia="仿宋" w:cs="Times New Roman"/>
          <w:color w:val="auto"/>
          <w:sz w:val="28"/>
          <w:szCs w:val="28"/>
        </w:rPr>
        <w:t>附图1地理位置图</w:t>
      </w:r>
    </w:p>
    <w:p w14:paraId="3DAD1DD6">
      <w:pPr>
        <w:pStyle w:val="11"/>
        <w:spacing w:after="0" w:line="480" w:lineRule="exact"/>
        <w:rPr>
          <w:rFonts w:ascii="Times New Roman" w:hAnsi="Times New Roman" w:eastAsia="仿宋" w:cs="Times New Roman"/>
          <w:color w:val="auto"/>
          <w:sz w:val="28"/>
          <w:szCs w:val="28"/>
        </w:rPr>
      </w:pPr>
      <w:r>
        <w:rPr>
          <w:rFonts w:ascii="Times New Roman" w:hAnsi="Times New Roman" w:eastAsia="仿宋" w:cs="Times New Roman"/>
          <w:color w:val="auto"/>
          <w:sz w:val="28"/>
          <w:szCs w:val="28"/>
        </w:rPr>
        <w:t>附图2</w:t>
      </w:r>
      <w:r>
        <w:rPr>
          <w:rFonts w:hint="eastAsia" w:ascii="Times New Roman" w:hAnsi="Times New Roman" w:eastAsia="仿宋" w:cs="Times New Roman"/>
          <w:color w:val="auto"/>
          <w:sz w:val="28"/>
          <w:szCs w:val="28"/>
        </w:rPr>
        <w:t>新平在云南省生态安全格局中的位置</w:t>
      </w:r>
    </w:p>
    <w:p w14:paraId="471B97DB">
      <w:pPr>
        <w:pStyle w:val="11"/>
        <w:spacing w:after="0" w:line="480" w:lineRule="exact"/>
        <w:rPr>
          <w:rFonts w:ascii="Times New Roman" w:hAnsi="Times New Roman" w:eastAsia="仿宋" w:cs="Times New Roman"/>
          <w:color w:val="auto"/>
          <w:sz w:val="28"/>
          <w:szCs w:val="28"/>
        </w:rPr>
      </w:pPr>
      <w:r>
        <w:rPr>
          <w:rFonts w:ascii="Times New Roman" w:hAnsi="Times New Roman" w:eastAsia="仿宋" w:cs="Times New Roman"/>
          <w:color w:val="auto"/>
          <w:sz w:val="28"/>
          <w:szCs w:val="28"/>
        </w:rPr>
        <w:t>附图3行政区划图</w:t>
      </w:r>
    </w:p>
    <w:p w14:paraId="42DE6648">
      <w:pPr>
        <w:pStyle w:val="11"/>
        <w:spacing w:after="0" w:line="480" w:lineRule="exact"/>
        <w:rPr>
          <w:rFonts w:ascii="Times New Roman" w:hAnsi="Times New Roman" w:eastAsia="仿宋" w:cs="Times New Roman"/>
          <w:color w:val="auto"/>
          <w:sz w:val="28"/>
          <w:szCs w:val="28"/>
        </w:rPr>
      </w:pPr>
      <w:r>
        <w:rPr>
          <w:rFonts w:ascii="Times New Roman" w:hAnsi="Times New Roman" w:eastAsia="仿宋" w:cs="Times New Roman"/>
          <w:color w:val="auto"/>
          <w:sz w:val="28"/>
          <w:szCs w:val="28"/>
        </w:rPr>
        <w:t>附图4地形分布图</w:t>
      </w:r>
    </w:p>
    <w:p w14:paraId="3FA2E788">
      <w:pPr>
        <w:pStyle w:val="11"/>
        <w:spacing w:after="0" w:line="480" w:lineRule="exact"/>
        <w:rPr>
          <w:rFonts w:ascii="Times New Roman" w:hAnsi="Times New Roman" w:eastAsia="仿宋" w:cs="Times New Roman"/>
          <w:color w:val="auto"/>
          <w:sz w:val="28"/>
          <w:szCs w:val="28"/>
        </w:rPr>
      </w:pPr>
      <w:r>
        <w:rPr>
          <w:rFonts w:ascii="Times New Roman" w:hAnsi="Times New Roman" w:eastAsia="仿宋" w:cs="Times New Roman"/>
          <w:color w:val="auto"/>
          <w:sz w:val="28"/>
          <w:szCs w:val="28"/>
        </w:rPr>
        <w:t>附图5水系分布图</w:t>
      </w:r>
    </w:p>
    <w:p w14:paraId="082CFE37">
      <w:pPr>
        <w:pStyle w:val="11"/>
        <w:spacing w:after="0" w:line="480" w:lineRule="exact"/>
        <w:rPr>
          <w:rFonts w:ascii="Times New Roman" w:hAnsi="Times New Roman" w:eastAsia="仿宋" w:cs="Times New Roman"/>
          <w:color w:val="auto"/>
          <w:sz w:val="28"/>
          <w:szCs w:val="28"/>
        </w:rPr>
      </w:pPr>
      <w:r>
        <w:rPr>
          <w:rFonts w:ascii="Times New Roman" w:hAnsi="Times New Roman" w:eastAsia="仿宋" w:cs="Times New Roman"/>
          <w:color w:val="auto"/>
          <w:sz w:val="28"/>
          <w:szCs w:val="28"/>
        </w:rPr>
        <w:t>附图6生态环境质量现状图</w:t>
      </w:r>
    </w:p>
    <w:p w14:paraId="68D78D83">
      <w:pPr>
        <w:pStyle w:val="11"/>
        <w:spacing w:after="0" w:line="480" w:lineRule="exact"/>
        <w:rPr>
          <w:rFonts w:ascii="Times New Roman" w:hAnsi="Times New Roman" w:eastAsia="仿宋" w:cs="Times New Roman"/>
          <w:color w:val="auto"/>
          <w:sz w:val="28"/>
          <w:szCs w:val="28"/>
        </w:rPr>
      </w:pPr>
      <w:r>
        <w:rPr>
          <w:rFonts w:ascii="Times New Roman" w:hAnsi="Times New Roman" w:eastAsia="仿宋" w:cs="Times New Roman"/>
          <w:color w:val="auto"/>
          <w:sz w:val="28"/>
          <w:szCs w:val="28"/>
        </w:rPr>
        <w:t>附图7自然保护地分布图</w:t>
      </w:r>
    </w:p>
    <w:p w14:paraId="262F685B">
      <w:pPr>
        <w:pStyle w:val="11"/>
        <w:spacing w:after="0" w:line="480" w:lineRule="exact"/>
        <w:rPr>
          <w:rFonts w:ascii="Times New Roman" w:hAnsi="Times New Roman" w:eastAsia="仿宋" w:cs="Times New Roman"/>
          <w:color w:val="auto"/>
          <w:sz w:val="28"/>
          <w:szCs w:val="28"/>
        </w:rPr>
      </w:pPr>
      <w:r>
        <w:rPr>
          <w:rFonts w:ascii="Times New Roman" w:hAnsi="Times New Roman" w:eastAsia="仿宋" w:cs="Times New Roman"/>
          <w:color w:val="auto"/>
          <w:sz w:val="28"/>
          <w:szCs w:val="28"/>
        </w:rPr>
        <w:t>附图8</w:t>
      </w:r>
      <w:r>
        <w:rPr>
          <w:rFonts w:hint="eastAsia" w:ascii="Times New Roman" w:hAnsi="Times New Roman" w:eastAsia="仿宋" w:cs="Times New Roman"/>
          <w:color w:val="auto"/>
          <w:sz w:val="28"/>
          <w:szCs w:val="28"/>
        </w:rPr>
        <w:t>绿孔雀与西黑冠长臂猿分布图</w:t>
      </w:r>
    </w:p>
    <w:p w14:paraId="18AA3C0A">
      <w:pPr>
        <w:pStyle w:val="11"/>
        <w:spacing w:after="0" w:line="480" w:lineRule="exact"/>
        <w:rPr>
          <w:rFonts w:ascii="Times New Roman" w:hAnsi="Times New Roman" w:eastAsia="仿宋" w:cs="Times New Roman"/>
          <w:color w:val="auto"/>
          <w:sz w:val="28"/>
          <w:szCs w:val="28"/>
        </w:rPr>
      </w:pPr>
      <w:r>
        <w:rPr>
          <w:rFonts w:ascii="Times New Roman" w:hAnsi="Times New Roman" w:eastAsia="仿宋" w:cs="Times New Roman"/>
          <w:color w:val="auto"/>
          <w:sz w:val="28"/>
          <w:szCs w:val="28"/>
        </w:rPr>
        <w:t>附图</w:t>
      </w:r>
      <w:r>
        <w:rPr>
          <w:rFonts w:hint="eastAsia" w:ascii="Times New Roman" w:hAnsi="Times New Roman" w:eastAsia="仿宋" w:cs="Times New Roman"/>
          <w:color w:val="auto"/>
          <w:sz w:val="28"/>
          <w:szCs w:val="28"/>
          <w:lang w:val="en-US" w:eastAsia="zh-CN"/>
        </w:rPr>
        <w:t>9</w:t>
      </w:r>
      <w:r>
        <w:rPr>
          <w:rFonts w:hint="eastAsia" w:ascii="Times New Roman" w:hAnsi="Times New Roman" w:eastAsia="仿宋" w:cs="Times New Roman"/>
          <w:color w:val="auto"/>
          <w:sz w:val="28"/>
          <w:szCs w:val="28"/>
        </w:rPr>
        <w:t>生态保护红线分布图</w:t>
      </w:r>
    </w:p>
    <w:p w14:paraId="6D65EFF5">
      <w:pPr>
        <w:pStyle w:val="11"/>
        <w:spacing w:after="0" w:line="480" w:lineRule="exact"/>
        <w:rPr>
          <w:rFonts w:hint="eastAsia" w:ascii="Times New Roman" w:hAnsi="Times New Roman" w:eastAsia="仿宋" w:cs="Times New Roman"/>
          <w:color w:val="auto"/>
          <w:sz w:val="28"/>
          <w:szCs w:val="28"/>
        </w:rPr>
      </w:pPr>
      <w:r>
        <w:rPr>
          <w:rFonts w:ascii="Times New Roman" w:hAnsi="Times New Roman" w:eastAsia="仿宋" w:cs="Times New Roman"/>
          <w:color w:val="auto"/>
          <w:sz w:val="28"/>
          <w:szCs w:val="28"/>
        </w:rPr>
        <w:t>附图</w:t>
      </w:r>
      <w:r>
        <w:rPr>
          <w:rFonts w:hint="eastAsia" w:ascii="Times New Roman" w:hAnsi="Times New Roman" w:eastAsia="仿宋" w:cs="Times New Roman"/>
          <w:color w:val="auto"/>
          <w:sz w:val="28"/>
          <w:szCs w:val="28"/>
          <w:lang w:val="en-US" w:eastAsia="zh-CN"/>
        </w:rPr>
        <w:t>10</w:t>
      </w:r>
      <w:r>
        <w:rPr>
          <w:rFonts w:hint="eastAsia" w:ascii="Times New Roman" w:hAnsi="Times New Roman" w:eastAsia="仿宋" w:cs="Times New Roman"/>
          <w:color w:val="auto"/>
          <w:sz w:val="28"/>
          <w:szCs w:val="28"/>
        </w:rPr>
        <w:t>空间发展布局示意图</w:t>
      </w:r>
    </w:p>
    <w:p w14:paraId="4686C2E5">
      <w:pPr>
        <w:pStyle w:val="11"/>
        <w:spacing w:after="0" w:line="480" w:lineRule="exact"/>
        <w:rPr>
          <w:rFonts w:ascii="Times New Roman" w:hAnsi="Times New Roman" w:eastAsia="仿宋" w:cs="Times New Roman"/>
          <w:color w:val="auto"/>
          <w:sz w:val="28"/>
          <w:szCs w:val="28"/>
        </w:rPr>
      </w:pPr>
      <w:r>
        <w:rPr>
          <w:rFonts w:ascii="Times New Roman" w:hAnsi="Times New Roman" w:eastAsia="仿宋" w:cs="Times New Roman"/>
          <w:color w:val="auto"/>
          <w:sz w:val="28"/>
          <w:szCs w:val="28"/>
        </w:rPr>
        <w:t>附图11</w:t>
      </w:r>
      <w:r>
        <w:rPr>
          <w:rFonts w:hint="eastAsia" w:ascii="Times New Roman" w:hAnsi="Times New Roman" w:eastAsia="仿宋" w:cs="Times New Roman"/>
          <w:color w:val="auto"/>
          <w:sz w:val="28"/>
          <w:szCs w:val="28"/>
        </w:rPr>
        <w:t>生态安全格局示意图</w:t>
      </w:r>
    </w:p>
    <w:p w14:paraId="2FE94A3D">
      <w:pPr>
        <w:pStyle w:val="11"/>
        <w:spacing w:after="0" w:line="480" w:lineRule="exact"/>
        <w:rPr>
          <w:rFonts w:ascii="Times New Roman" w:hAnsi="Times New Roman" w:eastAsia="仿宋" w:cs="Times New Roman"/>
          <w:color w:val="auto"/>
          <w:sz w:val="28"/>
          <w:szCs w:val="28"/>
        </w:rPr>
      </w:pPr>
      <w:r>
        <w:rPr>
          <w:rFonts w:ascii="Times New Roman" w:hAnsi="Times New Roman" w:eastAsia="仿宋" w:cs="Times New Roman"/>
          <w:color w:val="auto"/>
          <w:sz w:val="28"/>
          <w:szCs w:val="28"/>
        </w:rPr>
        <w:t>附图12</w:t>
      </w:r>
      <w:r>
        <w:rPr>
          <w:rFonts w:hint="eastAsia" w:ascii="Times New Roman" w:hAnsi="Times New Roman" w:eastAsia="仿宋" w:cs="Times New Roman"/>
          <w:color w:val="auto"/>
          <w:sz w:val="28"/>
          <w:szCs w:val="28"/>
        </w:rPr>
        <w:t>农业发展布局示意图</w:t>
      </w:r>
    </w:p>
    <w:p w14:paraId="1A2F2339">
      <w:pPr>
        <w:pStyle w:val="11"/>
        <w:spacing w:after="0" w:line="480" w:lineRule="exact"/>
        <w:rPr>
          <w:rFonts w:hint="eastAsia" w:ascii="Times New Roman" w:hAnsi="Times New Roman" w:eastAsia="仿宋" w:cs="Times New Roman"/>
          <w:color w:val="auto"/>
          <w:sz w:val="28"/>
          <w:szCs w:val="28"/>
          <w:lang w:val="en-US" w:eastAsia="zh-CN"/>
        </w:rPr>
      </w:pPr>
      <w:r>
        <w:rPr>
          <w:rFonts w:ascii="Times New Roman" w:hAnsi="Times New Roman" w:eastAsia="仿宋" w:cs="Times New Roman"/>
          <w:color w:val="auto"/>
          <w:sz w:val="28"/>
          <w:szCs w:val="28"/>
        </w:rPr>
        <w:t>附图13</w:t>
      </w:r>
      <w:r>
        <w:rPr>
          <w:rFonts w:hint="eastAsia" w:ascii="Times New Roman" w:hAnsi="Times New Roman" w:eastAsia="仿宋" w:cs="Times New Roman"/>
          <w:color w:val="auto"/>
          <w:sz w:val="28"/>
          <w:szCs w:val="28"/>
        </w:rPr>
        <w:t>工业发展布局示意</w:t>
      </w:r>
      <w:r>
        <w:rPr>
          <w:rFonts w:hint="eastAsia" w:ascii="Times New Roman" w:hAnsi="Times New Roman" w:eastAsia="仿宋" w:cs="Times New Roman"/>
          <w:color w:val="auto"/>
          <w:sz w:val="28"/>
          <w:szCs w:val="28"/>
          <w:lang w:val="en-US" w:eastAsia="zh-CN"/>
        </w:rPr>
        <w:t>图</w:t>
      </w:r>
    </w:p>
    <w:p w14:paraId="7FC64E0E">
      <w:pPr>
        <w:pStyle w:val="11"/>
        <w:spacing w:after="0" w:line="480" w:lineRule="exact"/>
        <w:rPr>
          <w:rFonts w:ascii="Times New Roman" w:hAnsi="Times New Roman" w:eastAsia="仿宋" w:cs="Times New Roman"/>
          <w:color w:val="auto"/>
          <w:sz w:val="28"/>
          <w:szCs w:val="28"/>
        </w:rPr>
      </w:pPr>
      <w:r>
        <w:rPr>
          <w:rFonts w:ascii="Times New Roman" w:hAnsi="Times New Roman" w:eastAsia="仿宋" w:cs="Times New Roman"/>
          <w:color w:val="auto"/>
          <w:sz w:val="28"/>
          <w:szCs w:val="28"/>
        </w:rPr>
        <w:t>附图14</w:t>
      </w:r>
      <w:r>
        <w:rPr>
          <w:rFonts w:hint="eastAsia" w:ascii="Times New Roman" w:hAnsi="Times New Roman" w:eastAsia="仿宋" w:cs="Times New Roman"/>
          <w:color w:val="auto"/>
          <w:sz w:val="28"/>
          <w:szCs w:val="28"/>
        </w:rPr>
        <w:t>旅游产业布局示意图</w:t>
      </w:r>
    </w:p>
    <w:p w14:paraId="082DCB1C">
      <w:pPr>
        <w:pStyle w:val="11"/>
        <w:spacing w:after="0" w:line="480" w:lineRule="exact"/>
        <w:rPr>
          <w:rFonts w:ascii="Times New Roman" w:hAnsi="Times New Roman" w:eastAsia="仿宋" w:cs="Times New Roman"/>
          <w:color w:val="auto"/>
          <w:sz w:val="28"/>
          <w:szCs w:val="28"/>
        </w:rPr>
      </w:pPr>
      <w:r>
        <w:rPr>
          <w:rFonts w:ascii="Times New Roman" w:hAnsi="Times New Roman" w:eastAsia="仿宋" w:cs="Times New Roman"/>
          <w:color w:val="auto"/>
          <w:sz w:val="28"/>
          <w:szCs w:val="28"/>
        </w:rPr>
        <w:t>附图15</w:t>
      </w:r>
      <w:r>
        <w:rPr>
          <w:rFonts w:hint="eastAsia" w:ascii="Times New Roman" w:hAnsi="Times New Roman" w:eastAsia="仿宋" w:cs="Times New Roman"/>
          <w:color w:val="auto"/>
          <w:sz w:val="28"/>
          <w:szCs w:val="28"/>
        </w:rPr>
        <w:t>环境功能区划图</w:t>
      </w:r>
    </w:p>
    <w:p w14:paraId="426C4B85">
      <w:pPr>
        <w:pStyle w:val="11"/>
        <w:spacing w:after="0" w:line="480" w:lineRule="exact"/>
        <w:rPr>
          <w:rFonts w:ascii="Times New Roman" w:hAnsi="Times New Roman" w:eastAsia="仿宋" w:cs="Times New Roman"/>
          <w:color w:val="auto"/>
          <w:sz w:val="28"/>
          <w:szCs w:val="28"/>
        </w:rPr>
      </w:pPr>
      <w:r>
        <w:rPr>
          <w:rFonts w:ascii="Times New Roman" w:hAnsi="Times New Roman" w:eastAsia="仿宋" w:cs="Times New Roman"/>
          <w:color w:val="auto"/>
          <w:sz w:val="28"/>
          <w:szCs w:val="28"/>
        </w:rPr>
        <w:t>附图1</w:t>
      </w:r>
      <w:r>
        <w:rPr>
          <w:rFonts w:hint="eastAsia" w:ascii="Times New Roman" w:hAnsi="Times New Roman" w:eastAsia="仿宋" w:cs="Times New Roman"/>
          <w:color w:val="auto"/>
          <w:sz w:val="28"/>
          <w:szCs w:val="28"/>
          <w:lang w:val="en-US" w:eastAsia="zh-CN"/>
        </w:rPr>
        <w:t>6</w:t>
      </w:r>
      <w:r>
        <w:rPr>
          <w:rFonts w:hint="eastAsia" w:ascii="Times New Roman" w:hAnsi="Times New Roman" w:eastAsia="仿宋" w:cs="Times New Roman"/>
          <w:color w:val="auto"/>
          <w:sz w:val="28"/>
          <w:szCs w:val="28"/>
        </w:rPr>
        <w:t>声环境功能区划图</w:t>
      </w:r>
    </w:p>
    <w:p w14:paraId="77F750ED">
      <w:pPr>
        <w:pStyle w:val="14"/>
        <w:ind w:left="2560"/>
        <w:rPr>
          <w:rFonts w:ascii="Times New Roman" w:hAnsi="Times New Roman" w:eastAsia="仿宋" w:cs="Times New Roman"/>
          <w:color w:val="FF0000"/>
        </w:rPr>
      </w:pPr>
    </w:p>
    <w:p w14:paraId="4B685415">
      <w:pPr>
        <w:pStyle w:val="14"/>
        <w:ind w:left="2560"/>
        <w:rPr>
          <w:rFonts w:ascii="Times New Roman" w:hAnsi="Times New Roman" w:eastAsia="仿宋" w:cs="Times New Roman"/>
          <w:color w:val="FF0000"/>
        </w:rPr>
      </w:pPr>
    </w:p>
    <w:p w14:paraId="0ECB0503">
      <w:pPr>
        <w:pStyle w:val="14"/>
        <w:ind w:left="2560"/>
        <w:rPr>
          <w:rFonts w:ascii="Times New Roman" w:hAnsi="Times New Roman" w:eastAsia="仿宋" w:cs="Times New Roman"/>
          <w:color w:val="FF0000"/>
        </w:rPr>
      </w:pPr>
    </w:p>
    <w:p w14:paraId="47F8B4EB">
      <w:pPr>
        <w:pStyle w:val="14"/>
        <w:ind w:left="2560"/>
        <w:rPr>
          <w:rFonts w:ascii="Times New Roman" w:hAnsi="Times New Roman" w:eastAsia="仿宋" w:cs="Times New Roman"/>
          <w:color w:val="FF0000"/>
        </w:rPr>
      </w:pPr>
    </w:p>
    <w:p w14:paraId="05222C2E">
      <w:pPr>
        <w:pStyle w:val="14"/>
        <w:ind w:left="2560"/>
        <w:rPr>
          <w:rFonts w:ascii="Times New Roman" w:hAnsi="Times New Roman" w:eastAsia="仿宋" w:cs="Times New Roman"/>
          <w:color w:val="FF0000"/>
        </w:rPr>
      </w:pPr>
    </w:p>
    <w:p w14:paraId="469A2AEF">
      <w:pPr>
        <w:rPr>
          <w:rFonts w:ascii="Times New Roman" w:hAnsi="Times New Roman" w:eastAsia="仿宋" w:cs="Times New Roman"/>
          <w:color w:val="FF0000"/>
        </w:rPr>
        <w:sectPr>
          <w:pgSz w:w="11906" w:h="16838"/>
          <w:pgMar w:top="1440" w:right="1800" w:bottom="1440" w:left="1800" w:header="851" w:footer="992" w:gutter="0"/>
          <w:cols w:space="425" w:num="1"/>
          <w:docGrid w:type="lines" w:linePitch="312" w:charSpace="0"/>
        </w:sectPr>
      </w:pPr>
    </w:p>
    <w:bookmarkEnd w:id="9"/>
    <w:p w14:paraId="3DEC39CA">
      <w:pPr>
        <w:pStyle w:val="3"/>
        <w:spacing w:before="0" w:after="0" w:line="276" w:lineRule="auto"/>
        <w:jc w:val="center"/>
        <w:rPr>
          <w:rFonts w:ascii="Times New Roman" w:hAnsi="Times New Roman" w:eastAsia="仿宋" w:cs="Times New Roman"/>
          <w:color w:val="auto"/>
          <w:sz w:val="44"/>
        </w:rPr>
      </w:pPr>
      <w:bookmarkStart w:id="13" w:name="_Toc15666"/>
      <w:bookmarkStart w:id="14" w:name="_Toc98890317"/>
      <w:bookmarkStart w:id="15" w:name="_Toc20414"/>
      <w:bookmarkStart w:id="16" w:name="_Toc98890316"/>
      <w:bookmarkStart w:id="17" w:name="_Toc88472013"/>
      <w:bookmarkStart w:id="18" w:name="_Toc7699"/>
      <w:bookmarkStart w:id="19" w:name="_Toc12867"/>
      <w:bookmarkStart w:id="20" w:name="_Toc88472012"/>
      <w:bookmarkStart w:id="21" w:name="_Toc12635"/>
      <w:r>
        <w:rPr>
          <w:rFonts w:ascii="Times New Roman" w:hAnsi="Times New Roman" w:eastAsia="仿宋" w:cs="Times New Roman"/>
          <w:color w:val="auto"/>
          <w:sz w:val="44"/>
        </w:rPr>
        <w:t>1规划背景与意义</w:t>
      </w:r>
      <w:bookmarkEnd w:id="13"/>
    </w:p>
    <w:p w14:paraId="7457D5ED">
      <w:pPr>
        <w:pStyle w:val="4"/>
        <w:spacing w:before="260" w:after="260" w:line="276" w:lineRule="auto"/>
        <w:ind w:firstLine="0"/>
        <w:rPr>
          <w:rFonts w:ascii="Times New Roman" w:hAnsi="Times New Roman" w:eastAsia="仿宋" w:cs="Times New Roman"/>
          <w:color w:val="auto"/>
          <w:sz w:val="32"/>
        </w:rPr>
      </w:pPr>
      <w:bookmarkStart w:id="22" w:name="_Toc11822"/>
      <w:bookmarkStart w:id="23" w:name="_Toc98890292"/>
      <w:r>
        <w:rPr>
          <w:rFonts w:ascii="Times New Roman" w:hAnsi="Times New Roman" w:eastAsia="仿宋" w:cs="Times New Roman"/>
          <w:color w:val="auto"/>
          <w:sz w:val="32"/>
        </w:rPr>
        <w:t>1.1规划背景</w:t>
      </w:r>
      <w:bookmarkEnd w:id="22"/>
      <w:bookmarkEnd w:id="23"/>
    </w:p>
    <w:p w14:paraId="33CF7964">
      <w:pPr>
        <w:pStyle w:val="5"/>
        <w:spacing w:before="120" w:after="120" w:line="360" w:lineRule="auto"/>
        <w:ind w:firstLine="0" w:firstLineChars="0"/>
        <w:rPr>
          <w:rFonts w:eastAsia="仿宋"/>
          <w:snapToGrid w:val="0"/>
          <w:color w:val="auto"/>
          <w:sz w:val="28"/>
        </w:rPr>
      </w:pPr>
      <w:bookmarkStart w:id="24" w:name="_Toc10028"/>
      <w:bookmarkStart w:id="25" w:name="_Toc98890293"/>
      <w:r>
        <w:rPr>
          <w:rFonts w:eastAsia="仿宋"/>
          <w:snapToGrid w:val="0"/>
          <w:color w:val="auto"/>
          <w:sz w:val="28"/>
        </w:rPr>
        <w:t>1.1.1</w:t>
      </w:r>
      <w:r>
        <w:rPr>
          <w:rFonts w:hint="eastAsia" w:eastAsia="仿宋"/>
          <w:snapToGrid w:val="0"/>
          <w:color w:val="auto"/>
          <w:sz w:val="28"/>
        </w:rPr>
        <w:t>国家生态文明建设战略部署</w:t>
      </w:r>
      <w:bookmarkEnd w:id="24"/>
    </w:p>
    <w:bookmarkEnd w:id="25"/>
    <w:p w14:paraId="36261674">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方正仿宋_GBK" w:cs="Times New Roman"/>
          <w:color w:val="auto"/>
          <w:sz w:val="28"/>
          <w:szCs w:val="28"/>
          <w:shd w:val="clear" w:color="auto" w:fill="auto"/>
          <w:lang w:val="en-US" w:eastAsia="zh-CN"/>
        </w:rPr>
      </w:pPr>
      <w:r>
        <w:rPr>
          <w:rFonts w:hint="default" w:ascii="Times New Roman" w:hAnsi="Times New Roman" w:eastAsia="方正仿宋_GBK" w:cs="Times New Roman"/>
          <w:color w:val="auto"/>
          <w:sz w:val="28"/>
          <w:szCs w:val="28"/>
          <w:shd w:val="clear" w:color="auto" w:fill="auto"/>
          <w:lang w:eastAsia="zh-CN"/>
        </w:rPr>
        <w:t>党的十八大以来，以习近平同志为核心的党中央始终把生态文明建设放在治国理政的突出位置，把生态文明建设作为统筹推进“五位一体”总体布局和协调推进“四个全面”战略布局的重要内容，融入到经济建设、政治建设、文化建设、社会建设的各方面和全过程，</w:t>
      </w:r>
      <w:r>
        <w:rPr>
          <w:rFonts w:hint="default" w:ascii="Times New Roman" w:hAnsi="Times New Roman" w:eastAsia="方正仿宋_GBK" w:cs="Times New Roman"/>
          <w:color w:val="auto"/>
          <w:sz w:val="28"/>
          <w:szCs w:val="28"/>
          <w:shd w:val="clear" w:color="auto" w:fill="auto"/>
          <w:lang w:val="en-US" w:eastAsia="zh-CN"/>
        </w:rPr>
        <w:t>并</w:t>
      </w:r>
      <w:r>
        <w:rPr>
          <w:rFonts w:hint="default" w:ascii="Times New Roman" w:hAnsi="Times New Roman" w:eastAsia="方正仿宋_GBK" w:cs="Times New Roman"/>
          <w:color w:val="auto"/>
          <w:sz w:val="28"/>
          <w:szCs w:val="28"/>
          <w:shd w:val="clear" w:color="auto" w:fill="auto"/>
          <w:lang w:eastAsia="zh-CN"/>
        </w:rPr>
        <w:t>将生态文明建设写入党章，生态文明建设发生历史性变革，取得历史性成就。党的十九大进一步把“坚持人与自然和谐共生”作为新时代中国特色社会主义建设的基本方略之一，提出生态文明建设是中华民族永续发展的千年大计、人与自然是生命共同体等重要论断，并将“绿水青山就是金山银山”的发展理念细化为多方面的具体部署，把生态环境根本好转、建设美丽中国作为社会主义现代化的目标之一。</w:t>
      </w:r>
      <w:r>
        <w:rPr>
          <w:rFonts w:hint="default" w:ascii="Times New Roman" w:hAnsi="Times New Roman" w:eastAsia="方正仿宋_GBK" w:cs="Times New Roman"/>
          <w:color w:val="auto"/>
          <w:sz w:val="28"/>
          <w:szCs w:val="28"/>
          <w:shd w:val="clear" w:color="auto" w:fill="auto"/>
          <w:lang w:val="en-US" w:eastAsia="zh-CN"/>
        </w:rPr>
        <w:t>党的二十大报告中专门针对推动绿色发展，促进人与自然和谐共生，作出了新谋划新部署。</w:t>
      </w:r>
      <w:r>
        <w:rPr>
          <w:rFonts w:hint="default" w:ascii="Times New Roman" w:hAnsi="Times New Roman" w:eastAsia="方正仿宋_GBK" w:cs="Times New Roman"/>
          <w:color w:val="auto"/>
          <w:sz w:val="28"/>
          <w:szCs w:val="28"/>
          <w:shd w:val="clear" w:color="auto" w:fill="auto"/>
          <w:lang w:eastAsia="zh-CN"/>
        </w:rPr>
        <w:t>2018年3月生态文明被写入宪法，拥有了强有力的法律效力。2018年5月，在全国生态环境保护大会上，提出并确立了习近平生态文明思想，为新时代生态文明建设提供了根本遵循。2019年，党的十九届四中全会将生态文明制度体系作为坚持和完善中国特色社会主义制度的重要组成部分，生态文明四梁八柱性质的制度体系基本形成。2020年，党的十九届五中全会强调要“坚持绿水青山就是金山银山理念”“促进经济社会发展全面绿色转型，建设人与自然和谐共生的现代化”，对深入实施可持续发展战略、完善生态文明领域统筹协调机制、加快推进绿色低碳发展等作出重要部署，为推进生态文明建设、共筑美丽中国注入强大动力。2021年11月，</w:t>
      </w:r>
      <w:bookmarkStart w:id="765" w:name="_GoBack"/>
      <w:bookmarkEnd w:id="765"/>
      <w:r>
        <w:rPr>
          <w:rFonts w:hint="eastAsia" w:ascii="Times New Roman" w:hAnsi="Times New Roman" w:eastAsia="方正仿宋_GBK" w:cs="Times New Roman"/>
          <w:color w:val="auto"/>
          <w:sz w:val="28"/>
          <w:szCs w:val="28"/>
          <w:shd w:val="clear" w:color="auto" w:fill="auto"/>
          <w:lang w:eastAsia="zh-CN"/>
        </w:rPr>
        <w:t>中共中央、国务院</w:t>
      </w:r>
      <w:r>
        <w:rPr>
          <w:rFonts w:hint="default" w:ascii="Times New Roman" w:hAnsi="Times New Roman" w:eastAsia="方正仿宋_GBK" w:cs="Times New Roman"/>
          <w:color w:val="auto"/>
          <w:sz w:val="28"/>
          <w:szCs w:val="28"/>
          <w:shd w:val="clear" w:color="auto" w:fill="auto"/>
          <w:lang w:eastAsia="zh-CN"/>
        </w:rPr>
        <w:t>发的《关于深入打好污染防治攻坚战的意见》明确，深入打好污染防治攻坚战，紧盯污染防治重点领域和关键环节，促进生态环境质量持续改善，有利于推动生态文明建设实现新进步，朝着美丽中国建设目标前行。</w:t>
      </w:r>
      <w:r>
        <w:rPr>
          <w:rFonts w:hint="default" w:ascii="Times New Roman" w:hAnsi="Times New Roman" w:eastAsia="方正仿宋_GBK" w:cs="Times New Roman"/>
          <w:color w:val="auto"/>
          <w:sz w:val="28"/>
          <w:szCs w:val="28"/>
          <w:shd w:val="clear" w:color="auto" w:fill="auto"/>
          <w:lang w:val="en-US" w:eastAsia="zh-CN"/>
        </w:rPr>
        <w:t>2022年10月，在中国共产党第二十次全国代表大会上，习近平总书记指出，尊重自然、顺应自然、保护自然，是全面建设社会主义现代化国家的内在要求，必须牢固树立和践行绿水青山就是金山银山的理念，站在人与自然和谐共生的高度谋划发展，要推进美丽中国建设，坚持山水林田湖草沙一体化保护和系统治理，统筹产业结构调整、污染治理、生态保护、应对气候变化，协同推进降碳、减污、扩绿、增长，推进生态优先、节约集约、绿色低碳发展。</w:t>
      </w:r>
    </w:p>
    <w:p w14:paraId="5BEFCE0F">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方正仿宋_GBK" w:cs="Times New Roman"/>
          <w:color w:val="FF0000"/>
          <w:sz w:val="28"/>
          <w:szCs w:val="28"/>
          <w:shd w:val="clear" w:color="auto" w:fill="auto"/>
          <w:lang w:eastAsia="zh-CN"/>
        </w:rPr>
      </w:pPr>
      <w:r>
        <w:rPr>
          <w:rFonts w:hint="default" w:ascii="Times New Roman" w:hAnsi="Times New Roman" w:eastAsia="方正仿宋_GBK" w:cs="Times New Roman"/>
          <w:color w:val="auto"/>
          <w:sz w:val="28"/>
          <w:szCs w:val="28"/>
          <w:shd w:val="clear" w:color="auto" w:fill="auto"/>
          <w:lang w:eastAsia="zh-CN"/>
        </w:rPr>
        <w:t>生态文明示范建设是深入贯彻落实习近平生态文明思想的重要</w:t>
      </w:r>
      <w:r>
        <w:rPr>
          <w:rFonts w:hint="default" w:ascii="Times New Roman" w:hAnsi="Times New Roman" w:eastAsia="方正仿宋_GBK" w:cs="Times New Roman"/>
          <w:color w:val="auto"/>
          <w:sz w:val="28"/>
          <w:szCs w:val="28"/>
          <w:shd w:val="clear" w:color="auto" w:fill="auto"/>
          <w:lang w:val="en-US" w:eastAsia="zh-CN"/>
        </w:rPr>
        <w:t>内容</w:t>
      </w:r>
      <w:r>
        <w:rPr>
          <w:rFonts w:hint="default" w:ascii="Times New Roman" w:hAnsi="Times New Roman" w:eastAsia="方正仿宋_GBK" w:cs="Times New Roman"/>
          <w:color w:val="auto"/>
          <w:sz w:val="28"/>
          <w:szCs w:val="28"/>
          <w:shd w:val="clear" w:color="auto" w:fill="auto"/>
          <w:lang w:eastAsia="zh-CN"/>
        </w:rPr>
        <w:t>，是加强生态环境保护、推进环境领域治理体系和治理能力现代化的重要抓手，是践行新发展理念、推进高质量发展的重要载体。2013年，出台了《关于大力推进生态文明建设示范区工作的意见》</w:t>
      </w:r>
      <w:r>
        <w:rPr>
          <w:rFonts w:hint="eastAsia" w:ascii="Times New Roman" w:hAnsi="Times New Roman" w:eastAsia="方正仿宋_GBK" w:cs="Times New Roman"/>
          <w:color w:val="auto"/>
          <w:sz w:val="28"/>
          <w:szCs w:val="28"/>
          <w:shd w:val="clear" w:color="auto" w:fill="auto"/>
          <w:lang w:eastAsia="zh-CN"/>
        </w:rPr>
        <w:t>（</w:t>
      </w:r>
      <w:r>
        <w:rPr>
          <w:rFonts w:hint="default" w:ascii="Times New Roman" w:hAnsi="Times New Roman" w:eastAsia="方正仿宋_GBK" w:cs="Times New Roman"/>
          <w:color w:val="auto"/>
          <w:sz w:val="28"/>
          <w:szCs w:val="28"/>
          <w:shd w:val="clear" w:color="auto" w:fill="auto"/>
          <w:lang w:eastAsia="zh-CN"/>
        </w:rPr>
        <w:t>环发〔2013〕121号</w:t>
      </w:r>
      <w:r>
        <w:rPr>
          <w:rFonts w:hint="eastAsia" w:ascii="Times New Roman" w:hAnsi="Times New Roman" w:eastAsia="方正仿宋_GBK" w:cs="Times New Roman"/>
          <w:color w:val="auto"/>
          <w:sz w:val="28"/>
          <w:szCs w:val="28"/>
          <w:shd w:val="clear" w:color="auto" w:fill="auto"/>
          <w:lang w:eastAsia="zh-CN"/>
        </w:rPr>
        <w:t>）</w:t>
      </w:r>
      <w:r>
        <w:rPr>
          <w:rFonts w:hint="default" w:ascii="Times New Roman" w:hAnsi="Times New Roman" w:eastAsia="方正仿宋_GBK" w:cs="Times New Roman"/>
          <w:color w:val="auto"/>
          <w:sz w:val="28"/>
          <w:szCs w:val="28"/>
          <w:shd w:val="clear" w:color="auto" w:fill="auto"/>
          <w:lang w:eastAsia="zh-CN"/>
        </w:rPr>
        <w:t>，2016年正式发布《国家生态文明建设示范区管理规程</w:t>
      </w:r>
      <w:r>
        <w:rPr>
          <w:rFonts w:hint="eastAsia" w:ascii="Times New Roman" w:hAnsi="Times New Roman" w:eastAsia="方正仿宋_GBK" w:cs="Times New Roman"/>
          <w:color w:val="auto"/>
          <w:sz w:val="28"/>
          <w:szCs w:val="28"/>
          <w:shd w:val="clear" w:color="auto" w:fill="auto"/>
          <w:lang w:eastAsia="zh-CN"/>
        </w:rPr>
        <w:t>（</w:t>
      </w:r>
      <w:r>
        <w:rPr>
          <w:rFonts w:hint="default" w:ascii="Times New Roman" w:hAnsi="Times New Roman" w:eastAsia="方正仿宋_GBK" w:cs="Times New Roman"/>
          <w:color w:val="auto"/>
          <w:sz w:val="28"/>
          <w:szCs w:val="28"/>
          <w:shd w:val="clear" w:color="auto" w:fill="auto"/>
          <w:lang w:eastAsia="zh-CN"/>
        </w:rPr>
        <w:t>试行</w:t>
      </w:r>
      <w:r>
        <w:rPr>
          <w:rFonts w:hint="eastAsia" w:ascii="Times New Roman" w:hAnsi="Times New Roman" w:eastAsia="方正仿宋_GBK" w:cs="Times New Roman"/>
          <w:color w:val="auto"/>
          <w:sz w:val="28"/>
          <w:szCs w:val="28"/>
          <w:shd w:val="clear" w:color="auto" w:fill="auto"/>
          <w:lang w:eastAsia="zh-CN"/>
        </w:rPr>
        <w:t>）</w:t>
      </w:r>
      <w:r>
        <w:rPr>
          <w:rFonts w:hint="default" w:ascii="Times New Roman" w:hAnsi="Times New Roman" w:eastAsia="方正仿宋_GBK" w:cs="Times New Roman"/>
          <w:color w:val="auto"/>
          <w:sz w:val="28"/>
          <w:szCs w:val="28"/>
          <w:shd w:val="clear" w:color="auto" w:fill="auto"/>
          <w:lang w:eastAsia="zh-CN"/>
        </w:rPr>
        <w:t>》《国家生态文明建设示范县、市指标</w:t>
      </w:r>
      <w:r>
        <w:rPr>
          <w:rFonts w:hint="eastAsia" w:ascii="Times New Roman" w:hAnsi="Times New Roman" w:eastAsia="方正仿宋_GBK" w:cs="Times New Roman"/>
          <w:color w:val="auto"/>
          <w:sz w:val="28"/>
          <w:szCs w:val="28"/>
          <w:shd w:val="clear" w:color="auto" w:fill="auto"/>
          <w:lang w:eastAsia="zh-CN"/>
        </w:rPr>
        <w:t>（</w:t>
      </w:r>
      <w:r>
        <w:rPr>
          <w:rFonts w:hint="default" w:ascii="Times New Roman" w:hAnsi="Times New Roman" w:eastAsia="方正仿宋_GBK" w:cs="Times New Roman"/>
          <w:color w:val="auto"/>
          <w:sz w:val="28"/>
          <w:szCs w:val="28"/>
          <w:shd w:val="clear" w:color="auto" w:fill="auto"/>
          <w:lang w:eastAsia="zh-CN"/>
        </w:rPr>
        <w:t>试行</w:t>
      </w:r>
      <w:r>
        <w:rPr>
          <w:rFonts w:hint="eastAsia" w:ascii="Times New Roman" w:hAnsi="Times New Roman" w:eastAsia="方正仿宋_GBK" w:cs="Times New Roman"/>
          <w:color w:val="auto"/>
          <w:sz w:val="28"/>
          <w:szCs w:val="28"/>
          <w:shd w:val="clear" w:color="auto" w:fill="auto"/>
          <w:lang w:eastAsia="zh-CN"/>
        </w:rPr>
        <w:t>）</w:t>
      </w:r>
      <w:r>
        <w:rPr>
          <w:rFonts w:hint="default" w:ascii="Times New Roman" w:hAnsi="Times New Roman" w:eastAsia="方正仿宋_GBK" w:cs="Times New Roman"/>
          <w:color w:val="auto"/>
          <w:sz w:val="28"/>
          <w:szCs w:val="28"/>
          <w:shd w:val="clear" w:color="auto" w:fill="auto"/>
          <w:lang w:eastAsia="zh-CN"/>
        </w:rPr>
        <w:t>》</w:t>
      </w:r>
      <w:r>
        <w:rPr>
          <w:rFonts w:hint="eastAsia" w:ascii="Times New Roman" w:hAnsi="Times New Roman" w:eastAsia="方正仿宋_GBK" w:cs="Times New Roman"/>
          <w:color w:val="auto"/>
          <w:sz w:val="28"/>
          <w:szCs w:val="28"/>
          <w:shd w:val="clear" w:color="auto" w:fill="auto"/>
          <w:lang w:eastAsia="zh-CN"/>
        </w:rPr>
        <w:t>（</w:t>
      </w:r>
      <w:r>
        <w:rPr>
          <w:rFonts w:hint="default" w:ascii="Times New Roman" w:hAnsi="Times New Roman" w:eastAsia="方正仿宋_GBK" w:cs="Times New Roman"/>
          <w:color w:val="auto"/>
          <w:sz w:val="28"/>
          <w:szCs w:val="28"/>
          <w:shd w:val="clear" w:color="auto" w:fill="auto"/>
          <w:lang w:eastAsia="zh-CN"/>
        </w:rPr>
        <w:t>环生态〔2016〕4号</w:t>
      </w:r>
      <w:r>
        <w:rPr>
          <w:rFonts w:hint="eastAsia" w:ascii="Times New Roman" w:hAnsi="Times New Roman" w:eastAsia="方正仿宋_GBK" w:cs="Times New Roman"/>
          <w:color w:val="auto"/>
          <w:sz w:val="28"/>
          <w:szCs w:val="28"/>
          <w:shd w:val="clear" w:color="auto" w:fill="auto"/>
          <w:lang w:eastAsia="zh-CN"/>
        </w:rPr>
        <w:t>）</w:t>
      </w:r>
      <w:r>
        <w:rPr>
          <w:rFonts w:hint="default" w:ascii="Times New Roman" w:hAnsi="Times New Roman" w:eastAsia="方正仿宋_GBK" w:cs="Times New Roman"/>
          <w:color w:val="auto"/>
          <w:sz w:val="28"/>
          <w:szCs w:val="28"/>
          <w:shd w:val="clear" w:color="auto" w:fill="auto"/>
          <w:lang w:eastAsia="zh-CN"/>
        </w:rPr>
        <w:t>。2019年9月，生态环境部印发了《关于印发</w:t>
      </w:r>
      <w:r>
        <w:rPr>
          <w:rFonts w:hint="eastAsia" w:ascii="Times New Roman" w:hAnsi="Times New Roman" w:eastAsia="方正仿宋_GBK" w:cs="Times New Roman"/>
          <w:color w:val="auto"/>
          <w:sz w:val="28"/>
          <w:szCs w:val="28"/>
          <w:shd w:val="clear" w:color="auto" w:fill="auto"/>
          <w:lang w:eastAsia="zh-CN"/>
        </w:rPr>
        <w:t>〈</w:t>
      </w:r>
      <w:r>
        <w:rPr>
          <w:rFonts w:hint="default" w:ascii="Times New Roman" w:hAnsi="Times New Roman" w:eastAsia="方正仿宋_GBK" w:cs="Times New Roman"/>
          <w:color w:val="auto"/>
          <w:sz w:val="28"/>
          <w:szCs w:val="28"/>
          <w:shd w:val="clear" w:color="auto" w:fill="auto"/>
          <w:lang w:eastAsia="zh-CN"/>
        </w:rPr>
        <w:t>国家生态文明建设示范市县建设指标</w:t>
      </w:r>
      <w:r>
        <w:rPr>
          <w:rFonts w:hint="eastAsia" w:ascii="Times New Roman" w:hAnsi="Times New Roman" w:eastAsia="方正仿宋_GBK" w:cs="Times New Roman"/>
          <w:color w:val="auto"/>
          <w:sz w:val="28"/>
          <w:szCs w:val="28"/>
          <w:shd w:val="clear" w:color="auto" w:fill="auto"/>
          <w:lang w:eastAsia="zh-CN"/>
        </w:rPr>
        <w:t>〉〈</w:t>
      </w:r>
      <w:r>
        <w:rPr>
          <w:rFonts w:hint="default" w:ascii="Times New Roman" w:hAnsi="Times New Roman" w:eastAsia="方正仿宋_GBK" w:cs="Times New Roman"/>
          <w:color w:val="auto"/>
          <w:sz w:val="28"/>
          <w:szCs w:val="28"/>
          <w:shd w:val="clear" w:color="auto" w:fill="auto"/>
          <w:lang w:eastAsia="zh-CN"/>
        </w:rPr>
        <w:t>国家生态文明建设示范市县管理规程</w:t>
      </w:r>
      <w:r>
        <w:rPr>
          <w:rFonts w:hint="eastAsia" w:ascii="Times New Roman" w:hAnsi="Times New Roman" w:eastAsia="方正仿宋_GBK" w:cs="Times New Roman"/>
          <w:color w:val="auto"/>
          <w:sz w:val="28"/>
          <w:szCs w:val="28"/>
          <w:shd w:val="clear" w:color="auto" w:fill="auto"/>
          <w:lang w:eastAsia="zh-CN"/>
        </w:rPr>
        <w:t>〉</w:t>
      </w:r>
      <w:r>
        <w:rPr>
          <w:rFonts w:hint="default" w:ascii="Times New Roman" w:hAnsi="Times New Roman" w:eastAsia="方正仿宋_GBK" w:cs="Times New Roman"/>
          <w:color w:val="auto"/>
          <w:sz w:val="28"/>
          <w:szCs w:val="28"/>
          <w:shd w:val="clear" w:color="auto" w:fill="auto"/>
          <w:lang w:eastAsia="zh-CN"/>
        </w:rPr>
        <w:t>和</w:t>
      </w:r>
      <w:r>
        <w:rPr>
          <w:rFonts w:hint="eastAsia" w:ascii="Times New Roman" w:hAnsi="Times New Roman" w:eastAsia="方正仿宋_GBK" w:cs="Times New Roman"/>
          <w:color w:val="auto"/>
          <w:sz w:val="28"/>
          <w:szCs w:val="28"/>
          <w:shd w:val="clear" w:color="auto" w:fill="auto"/>
          <w:lang w:eastAsia="zh-CN"/>
        </w:rPr>
        <w:t>〈</w:t>
      </w:r>
      <w:r>
        <w:rPr>
          <w:rFonts w:hint="default" w:ascii="Times New Roman" w:hAnsi="Times New Roman" w:eastAsia="方正仿宋_GBK" w:cs="Times New Roman"/>
          <w:color w:val="auto"/>
          <w:sz w:val="28"/>
          <w:szCs w:val="28"/>
          <w:shd w:val="clear" w:color="auto" w:fill="auto"/>
          <w:lang w:eastAsia="zh-CN"/>
        </w:rPr>
        <w:t>“绿水青山就是金山银山”实践创新基地建设管理规程</w:t>
      </w:r>
      <w:r>
        <w:rPr>
          <w:rFonts w:hint="eastAsia" w:ascii="Times New Roman" w:hAnsi="Times New Roman" w:eastAsia="方正仿宋_GBK" w:cs="Times New Roman"/>
          <w:color w:val="auto"/>
          <w:sz w:val="28"/>
          <w:szCs w:val="28"/>
          <w:shd w:val="clear" w:color="auto" w:fill="auto"/>
          <w:lang w:eastAsia="zh-CN"/>
        </w:rPr>
        <w:t>（</w:t>
      </w:r>
      <w:r>
        <w:rPr>
          <w:rFonts w:hint="default" w:ascii="Times New Roman" w:hAnsi="Times New Roman" w:eastAsia="方正仿宋_GBK" w:cs="Times New Roman"/>
          <w:color w:val="auto"/>
          <w:sz w:val="28"/>
          <w:szCs w:val="28"/>
          <w:shd w:val="clear" w:color="auto" w:fill="auto"/>
          <w:lang w:eastAsia="zh-CN"/>
        </w:rPr>
        <w:t>试行</w:t>
      </w:r>
      <w:r>
        <w:rPr>
          <w:rFonts w:hint="eastAsia" w:ascii="Times New Roman" w:hAnsi="Times New Roman" w:eastAsia="方正仿宋_GBK" w:cs="Times New Roman"/>
          <w:color w:val="auto"/>
          <w:sz w:val="28"/>
          <w:szCs w:val="28"/>
          <w:shd w:val="clear" w:color="auto" w:fill="auto"/>
          <w:lang w:eastAsia="zh-CN"/>
        </w:rPr>
        <w:t>）〉</w:t>
      </w:r>
      <w:r>
        <w:rPr>
          <w:rFonts w:hint="default" w:ascii="Times New Roman" w:hAnsi="Times New Roman" w:eastAsia="方正仿宋_GBK" w:cs="Times New Roman"/>
          <w:color w:val="auto"/>
          <w:sz w:val="28"/>
          <w:szCs w:val="28"/>
          <w:shd w:val="clear" w:color="auto" w:fill="auto"/>
          <w:lang w:eastAsia="zh-CN"/>
        </w:rPr>
        <w:t>的通知》</w:t>
      </w:r>
      <w:r>
        <w:rPr>
          <w:rFonts w:hint="eastAsia" w:ascii="Times New Roman" w:hAnsi="Times New Roman" w:eastAsia="方正仿宋_GBK" w:cs="Times New Roman"/>
          <w:color w:val="auto"/>
          <w:sz w:val="28"/>
          <w:szCs w:val="28"/>
          <w:shd w:val="clear" w:color="auto" w:fill="auto"/>
          <w:lang w:eastAsia="zh-CN"/>
        </w:rPr>
        <w:t>（</w:t>
      </w:r>
      <w:r>
        <w:rPr>
          <w:rFonts w:hint="default" w:ascii="Times New Roman" w:hAnsi="Times New Roman" w:eastAsia="方正仿宋_GBK" w:cs="Times New Roman"/>
          <w:color w:val="auto"/>
          <w:sz w:val="28"/>
          <w:szCs w:val="28"/>
          <w:shd w:val="clear" w:color="auto" w:fill="auto"/>
          <w:lang w:eastAsia="zh-CN"/>
        </w:rPr>
        <w:t>环办生态函〔2019〕76号</w:t>
      </w:r>
      <w:r>
        <w:rPr>
          <w:rFonts w:hint="eastAsia" w:ascii="Times New Roman" w:hAnsi="Times New Roman" w:eastAsia="方正仿宋_GBK" w:cs="Times New Roman"/>
          <w:color w:val="auto"/>
          <w:sz w:val="28"/>
          <w:szCs w:val="28"/>
          <w:shd w:val="clear" w:color="auto" w:fill="auto"/>
          <w:lang w:eastAsia="zh-CN"/>
        </w:rPr>
        <w:t>）</w:t>
      </w:r>
      <w:r>
        <w:rPr>
          <w:rFonts w:hint="default" w:ascii="Times New Roman" w:hAnsi="Times New Roman" w:eastAsia="方正仿宋_GBK" w:cs="Times New Roman"/>
          <w:color w:val="auto"/>
          <w:sz w:val="28"/>
          <w:szCs w:val="28"/>
          <w:shd w:val="clear" w:color="auto" w:fill="auto"/>
          <w:lang w:eastAsia="zh-CN"/>
        </w:rPr>
        <w:t>，2021年7月，生态环境部印发了《关于开展第五批国家生态文明建设示范区和“绿水青山就是金山银山”实践创新基地遴选工作的通知》</w:t>
      </w:r>
      <w:r>
        <w:rPr>
          <w:rFonts w:hint="eastAsia" w:ascii="Times New Roman" w:hAnsi="Times New Roman" w:eastAsia="方正仿宋_GBK" w:cs="Times New Roman"/>
          <w:color w:val="auto"/>
          <w:sz w:val="28"/>
          <w:szCs w:val="28"/>
          <w:shd w:val="clear" w:color="auto" w:fill="auto"/>
          <w:lang w:eastAsia="zh-CN"/>
        </w:rPr>
        <w:t>（</w:t>
      </w:r>
      <w:r>
        <w:rPr>
          <w:rFonts w:hint="default" w:ascii="Times New Roman" w:hAnsi="Times New Roman" w:eastAsia="方正仿宋_GBK" w:cs="Times New Roman"/>
          <w:color w:val="auto"/>
          <w:sz w:val="28"/>
          <w:szCs w:val="28"/>
          <w:shd w:val="clear" w:color="auto" w:fill="auto"/>
          <w:lang w:eastAsia="zh-CN"/>
        </w:rPr>
        <w:t>环办生态函〔2021〕353号</w:t>
      </w:r>
      <w:r>
        <w:rPr>
          <w:rFonts w:hint="eastAsia" w:ascii="Times New Roman" w:hAnsi="Times New Roman" w:eastAsia="方正仿宋_GBK" w:cs="Times New Roman"/>
          <w:color w:val="auto"/>
          <w:sz w:val="28"/>
          <w:szCs w:val="28"/>
          <w:shd w:val="clear" w:color="auto" w:fill="auto"/>
          <w:lang w:eastAsia="zh-CN"/>
        </w:rPr>
        <w:t>）</w:t>
      </w:r>
      <w:r>
        <w:rPr>
          <w:rFonts w:hint="default" w:ascii="Times New Roman" w:hAnsi="Times New Roman" w:eastAsia="方正仿宋_GBK" w:cs="Times New Roman"/>
          <w:color w:val="auto"/>
          <w:sz w:val="28"/>
          <w:szCs w:val="28"/>
          <w:shd w:val="clear" w:color="auto" w:fill="auto"/>
          <w:lang w:eastAsia="zh-CN"/>
        </w:rPr>
        <w:t>，对国家生态文明建设示范区进行了指标修订。目前已组织遴选并命名了</w:t>
      </w:r>
      <w:r>
        <w:rPr>
          <w:rFonts w:hint="default" w:ascii="Times New Roman" w:hAnsi="Times New Roman" w:eastAsia="方正仿宋_GBK" w:cs="Times New Roman"/>
          <w:color w:val="auto"/>
          <w:sz w:val="28"/>
          <w:szCs w:val="28"/>
          <w:shd w:val="clear" w:color="auto" w:fill="auto"/>
          <w:lang w:val="en-US" w:eastAsia="zh-CN"/>
        </w:rPr>
        <w:t>六</w:t>
      </w:r>
      <w:r>
        <w:rPr>
          <w:rFonts w:hint="default" w:ascii="Times New Roman" w:hAnsi="Times New Roman" w:eastAsia="方正仿宋_GBK" w:cs="Times New Roman"/>
          <w:color w:val="auto"/>
          <w:sz w:val="28"/>
          <w:szCs w:val="28"/>
          <w:shd w:val="clear" w:color="auto" w:fill="auto"/>
          <w:lang w:eastAsia="zh-CN"/>
        </w:rPr>
        <w:t>批国家生态文明建设示范区和“绿水青山就是金山银山”实践创新基地，培育了一批践行习近平生态文明思想的典型示范样板，发挥了典型引领、示范带动的良好作用。</w:t>
      </w:r>
    </w:p>
    <w:p w14:paraId="0D12FD95">
      <w:pPr>
        <w:pStyle w:val="5"/>
        <w:spacing w:before="120" w:after="120" w:line="360" w:lineRule="auto"/>
        <w:ind w:firstLine="0" w:firstLineChars="0"/>
        <w:rPr>
          <w:rFonts w:eastAsia="仿宋"/>
          <w:snapToGrid w:val="0"/>
          <w:color w:val="auto"/>
          <w:sz w:val="28"/>
        </w:rPr>
      </w:pPr>
      <w:bookmarkStart w:id="26" w:name="_Toc112155750"/>
      <w:bookmarkStart w:id="27" w:name="_Toc12945"/>
      <w:bookmarkStart w:id="28" w:name="_Toc24832"/>
      <w:r>
        <w:rPr>
          <w:rFonts w:eastAsia="仿宋"/>
          <w:snapToGrid w:val="0"/>
          <w:color w:val="auto"/>
          <w:sz w:val="28"/>
        </w:rPr>
        <w:t>1.1.</w:t>
      </w:r>
      <w:r>
        <w:rPr>
          <w:rFonts w:hint="eastAsia" w:eastAsia="仿宋"/>
          <w:snapToGrid w:val="0"/>
          <w:color w:val="auto"/>
          <w:sz w:val="28"/>
          <w:lang w:val="en-US" w:eastAsia="zh-CN"/>
        </w:rPr>
        <w:t>2</w:t>
      </w:r>
      <w:r>
        <w:rPr>
          <w:rFonts w:eastAsia="仿宋"/>
          <w:snapToGrid w:val="0"/>
          <w:color w:val="auto"/>
          <w:sz w:val="28"/>
        </w:rPr>
        <w:t>云南省高度重视生态文明建设</w:t>
      </w:r>
      <w:bookmarkEnd w:id="26"/>
      <w:bookmarkEnd w:id="27"/>
      <w:bookmarkEnd w:id="28"/>
    </w:p>
    <w:p w14:paraId="152E1CAA">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Times New Roman" w:hAnsi="Times New Roman" w:eastAsia="方正仿宋_GBK" w:cs="Times New Roman"/>
          <w:color w:val="auto"/>
          <w:sz w:val="28"/>
          <w:szCs w:val="28"/>
          <w:shd w:val="clear" w:color="auto" w:fill="auto"/>
          <w:lang w:eastAsia="zh-CN"/>
        </w:rPr>
      </w:pPr>
      <w:r>
        <w:rPr>
          <w:rFonts w:hint="eastAsia" w:ascii="Times New Roman" w:hAnsi="Times New Roman" w:eastAsia="方正仿宋_GBK" w:cs="Times New Roman"/>
          <w:color w:val="auto"/>
          <w:sz w:val="28"/>
          <w:szCs w:val="28"/>
          <w:shd w:val="clear" w:color="auto" w:fill="auto"/>
          <w:lang w:eastAsia="zh-CN"/>
        </w:rPr>
        <w:t>党的十八大以来习近平总书记两次考察云南，发表重要讲话、作出系列重要指示批示。2015年1月习近平总书记考察云南，对云南的发展提出了“一个跨越”“三个定位”和“五个着力”的要求，明确提出云南要“努力成为全国生态文明建设排头兵”的战略定位。2020年l月，习近平总书记再次亲临云南考察，殷切希望云南正确认识和把握在全国发展大局中的地位和作用，坚持新发展理念，不断增强边疆民族地区治理能力，保障和改善民生，践行初心使命，努力在建设我国民族团结进步示范区、生态文明建设排头兵、面向南亚东南亚辐射中心上不断取得新进展，谱写好中国梦的云南篇章。为全面贯彻党的十八大、十九大和十九届历次全会精神，认真贯彻落实习近平总书记系列重要讲话和考察云南重要讲话精神，统筹推进“五位一体”总体布局、协调推进“四个全面”战略布局，深化“绿水青山就是金山银山”的战略思想，坚持新发展理念，按照高质量发展要求，紧盯生态文明建设排头兵战略目标，云南省高度重视生态文明建设，先后印发了《中共云南省委云南省人民政府关于争当生态文明建设排头兵的决定》（云发〔2013〕11号）、《中共云南省委关于深入贯彻落实习近平总书记考察云南重要讲话精神闯出跨越式发展路子的决定》（云发〔2015〕9号）、《中共云南省委云南省人民政府关于努力成为生态文明建设排头兵的实施意见》（云发〔2015〕23号）、《关于贯彻落实生态文明体制改革总体方案的实施意见》（云发〔2016〕22号）、《中共云南省委办公厅云南省人民政府办公厅〈关于努力将云南建设成为中国最美丽省份的指导意见〉》（2019年），全面提升云南省生态文明建设水平。在《中共云南省委云南省人民政府关于全面加强生态环境保护坚决打好污染防治攻坚战的实施意见》（云发〔2018〕16号）中也明确要求加快推进省级生态文明建设示范区创建，大力开展绿水青山就是金山银山实践创新基地建设活动。《云南省创建生态文明建设排头兵促进条例》（云政规〔2021〕2号）明确提出县级以上人民政府应当组织开展生态文明建设示范创建活动。近年来，云南省把生态文明建设示范创建作为践行习近平生态文明思想和习近平总书记考察云南重要讲话精神的具体举措，作为深入推进生态文明排头兵建设、建成中国最美丽省份、筑牢我国西南生态安全屏障的重要抓手全力推进，按照省级引导、地方自愿、党政主导、社会参与、因地制宜、突出特色、注重实效、持续推进的原则，扎实开展各项工作，并取得积极成效。截至目前，全省16个州（市）、129个县（市、区）均开展了示范创建工作。累计有</w:t>
      </w:r>
      <w:r>
        <w:rPr>
          <w:rFonts w:hint="eastAsia" w:ascii="Times New Roman" w:hAnsi="Times New Roman" w:eastAsia="方正仿宋_GBK" w:cs="Times New Roman"/>
          <w:color w:val="auto"/>
          <w:sz w:val="28"/>
          <w:szCs w:val="28"/>
          <w:shd w:val="clear" w:color="auto" w:fill="auto"/>
          <w:lang w:val="en-US" w:eastAsia="zh-CN"/>
        </w:rPr>
        <w:t>15</w:t>
      </w:r>
      <w:r>
        <w:rPr>
          <w:rFonts w:hint="eastAsia" w:ascii="Times New Roman" w:hAnsi="Times New Roman" w:eastAsia="方正仿宋_GBK" w:cs="Times New Roman"/>
          <w:color w:val="auto"/>
          <w:sz w:val="28"/>
          <w:szCs w:val="28"/>
          <w:shd w:val="clear" w:color="auto" w:fill="auto"/>
          <w:lang w:eastAsia="zh-CN"/>
        </w:rPr>
        <w:t>个州市、县被授予国家生态文明建设示范区荣誉称号，</w:t>
      </w:r>
      <w:r>
        <w:rPr>
          <w:rFonts w:hint="eastAsia" w:ascii="Times New Roman" w:hAnsi="Times New Roman" w:eastAsia="方正仿宋_GBK" w:cs="Times New Roman"/>
          <w:color w:val="auto"/>
          <w:sz w:val="28"/>
          <w:szCs w:val="28"/>
          <w:shd w:val="clear" w:color="auto" w:fill="auto"/>
          <w:lang w:val="en-US" w:eastAsia="zh-CN"/>
        </w:rPr>
        <w:t>7</w:t>
      </w:r>
      <w:r>
        <w:rPr>
          <w:rFonts w:hint="eastAsia" w:ascii="Times New Roman" w:hAnsi="Times New Roman" w:eastAsia="方正仿宋_GBK" w:cs="Times New Roman"/>
          <w:color w:val="auto"/>
          <w:sz w:val="28"/>
          <w:szCs w:val="28"/>
          <w:shd w:val="clear" w:color="auto" w:fill="auto"/>
          <w:lang w:eastAsia="zh-CN"/>
        </w:rPr>
        <w:t>个地区被命名为“绿水青山就是金山银山”实践创新基地；1个省级生态文明州、21个省级生态文明县（市、区）和615个省级生态文明乡（镇、街道）获得省人民政府命名。</w:t>
      </w:r>
    </w:p>
    <w:p w14:paraId="1CB6D77A">
      <w:pPr>
        <w:pStyle w:val="5"/>
        <w:spacing w:before="120" w:after="120" w:line="360" w:lineRule="auto"/>
        <w:ind w:firstLine="0" w:firstLineChars="0"/>
        <w:rPr>
          <w:rFonts w:eastAsia="仿宋"/>
          <w:snapToGrid w:val="0"/>
          <w:color w:val="auto"/>
          <w:sz w:val="28"/>
        </w:rPr>
      </w:pPr>
      <w:bookmarkStart w:id="29" w:name="_Toc8845"/>
      <w:bookmarkStart w:id="30" w:name="_Toc24248"/>
      <w:bookmarkStart w:id="31" w:name="_Toc112155751"/>
      <w:r>
        <w:rPr>
          <w:rFonts w:eastAsia="仿宋"/>
          <w:snapToGrid w:val="0"/>
          <w:color w:val="auto"/>
          <w:sz w:val="28"/>
        </w:rPr>
        <w:t>1.1.</w:t>
      </w:r>
      <w:r>
        <w:rPr>
          <w:rFonts w:hint="eastAsia" w:eastAsia="仿宋"/>
          <w:snapToGrid w:val="0"/>
          <w:color w:val="auto"/>
          <w:sz w:val="28"/>
          <w:lang w:val="en-US" w:eastAsia="zh-CN"/>
        </w:rPr>
        <w:t>3玉溪市</w:t>
      </w:r>
      <w:r>
        <w:rPr>
          <w:rFonts w:eastAsia="仿宋"/>
          <w:snapToGrid w:val="0"/>
          <w:color w:val="auto"/>
          <w:sz w:val="28"/>
        </w:rPr>
        <w:t>积极推进生态文明建设</w:t>
      </w:r>
      <w:bookmarkEnd w:id="29"/>
      <w:bookmarkEnd w:id="30"/>
      <w:bookmarkEnd w:id="31"/>
    </w:p>
    <w:p w14:paraId="61997043">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方正仿宋_GBK" w:cs="Times New Roman"/>
          <w:color w:val="auto"/>
          <w:sz w:val="28"/>
          <w:szCs w:val="28"/>
          <w:shd w:val="clear" w:color="auto" w:fill="auto"/>
          <w:lang w:eastAsia="zh-CN"/>
        </w:rPr>
      </w:pPr>
      <w:r>
        <w:rPr>
          <w:rFonts w:hint="eastAsia" w:ascii="Times New Roman" w:hAnsi="Times New Roman" w:eastAsia="方正仿宋_GBK" w:cs="Times New Roman"/>
          <w:color w:val="auto"/>
          <w:sz w:val="28"/>
          <w:szCs w:val="28"/>
          <w:shd w:val="clear" w:color="auto" w:fill="auto"/>
          <w:lang w:eastAsia="zh-CN"/>
        </w:rPr>
        <w:t>为深入贯彻落实习近平生态文明思想和考察云南重要讲话近年来，玉溪市坚持把学习贯彻习近平生态文明思想和习近平总书记考察云南重要讲话精神纳入各级党委（党组）重要学习内容，在市委常委会、市政府常务会及市委理论学习中心组专题学习中，多次学习研究相关议题，每年向人大常委会报告生态环境状况和环境保护目标完成情况。市委、市政府把生态环境保护贯穿“绿色发展、工业强市、共同富裕”三大核心战略全局全过程，积极探索打造“一极两区”。建立党政主要领导任主任（组长）的生态环境保护委员会、生态环境保护督察工作领导小组等议事协调机构，全面加强对生态环境保护工作的领导。编印《玉溪市“十四五”生态建设和环境保护规划》，系统部署生态保护和修复、污染防治等重点任务。印发《玉溪市市级有关部门和单位生态环境保护责任清单》《玉溪市关于构建现代环境治理体系的工作分工方案》，将生态环境保护责任落实情况纳入全市各级各部门领导班子及成员年度考核内容，“党政同责、一岗双责”体系得到加强。在中央、省生态环境保护督察反馈问题整改过程中，玉溪市成立书记、市长任组长的整改领导小组，动真碰硬狠抓问题整改，切实把督察压力转化为治理动力，在践行作风革命效能革命过程中持续深化“玉溪之变”，坚决扛牢扛实生态环境保护政治责任。如今，各级党委、政府和部门共抓“大保护”的工作格局基本形成，群众的生态环保意识明显增强，绿水青山就是金山银山的理念成为玉溪人民的共识。通过深化生态文明体制改革，各地践行“两山”理论，推进生态文明建设步履坚实，</w:t>
      </w:r>
      <w:r>
        <w:rPr>
          <w:rFonts w:hint="default" w:ascii="Times New Roman" w:hAnsi="Times New Roman" w:eastAsia="方正仿宋_GBK" w:cs="Times New Roman"/>
          <w:color w:val="auto"/>
          <w:sz w:val="28"/>
          <w:szCs w:val="28"/>
          <w:shd w:val="clear" w:color="auto" w:fill="auto"/>
          <w:lang w:val="en-US" w:eastAsia="zh-CN"/>
        </w:rPr>
        <w:t>截至2021年，玉溪市</w:t>
      </w:r>
      <w:r>
        <w:rPr>
          <w:rFonts w:hint="default" w:ascii="Times New Roman" w:hAnsi="Times New Roman" w:eastAsia="方正仿宋_GBK" w:cs="Times New Roman"/>
          <w:color w:val="auto"/>
          <w:sz w:val="28"/>
          <w:szCs w:val="28"/>
          <w:shd w:val="clear" w:color="auto" w:fill="auto"/>
          <w:lang w:eastAsia="zh-CN"/>
        </w:rPr>
        <w:t>华宁、新平、峨山3个县被命名为省级生态文明县，华宁县被生态环境部命名为第二批国家生态文明建设示范县，获得命名的国家级生态乡（镇）4个、省级生态文明乡（镇、街道）62个、市级生态村538个。</w:t>
      </w:r>
    </w:p>
    <w:p w14:paraId="5CE49A12">
      <w:pPr>
        <w:pStyle w:val="5"/>
        <w:spacing w:before="120" w:after="120" w:line="360" w:lineRule="auto"/>
        <w:ind w:firstLine="0" w:firstLineChars="0"/>
        <w:rPr>
          <w:rFonts w:eastAsia="仿宋"/>
          <w:snapToGrid w:val="0"/>
          <w:color w:val="auto"/>
          <w:sz w:val="28"/>
        </w:rPr>
      </w:pPr>
      <w:bookmarkStart w:id="32" w:name="_Toc112155752"/>
      <w:bookmarkStart w:id="33" w:name="_Toc6894"/>
      <w:r>
        <w:rPr>
          <w:rFonts w:eastAsia="仿宋"/>
          <w:snapToGrid w:val="0"/>
          <w:color w:val="auto"/>
          <w:sz w:val="28"/>
        </w:rPr>
        <w:t>1.1.</w:t>
      </w:r>
      <w:r>
        <w:rPr>
          <w:rFonts w:hint="eastAsia" w:eastAsia="仿宋"/>
          <w:snapToGrid w:val="0"/>
          <w:color w:val="auto"/>
          <w:sz w:val="28"/>
          <w:lang w:val="en-US" w:eastAsia="zh-CN"/>
        </w:rPr>
        <w:t>4</w:t>
      </w:r>
      <w:r>
        <w:rPr>
          <w:rFonts w:hint="eastAsia" w:eastAsia="仿宋"/>
          <w:snapToGrid w:val="0"/>
          <w:color w:val="auto"/>
          <w:sz w:val="28"/>
          <w:lang w:eastAsia="zh-CN"/>
        </w:rPr>
        <w:t>新平县</w:t>
      </w:r>
      <w:r>
        <w:rPr>
          <w:rFonts w:hint="eastAsia" w:eastAsia="仿宋"/>
          <w:snapToGrid w:val="0"/>
          <w:color w:val="auto"/>
          <w:sz w:val="28"/>
          <w:lang w:val="en-US" w:eastAsia="zh-CN"/>
        </w:rPr>
        <w:t>持续</w:t>
      </w:r>
      <w:r>
        <w:rPr>
          <w:rFonts w:eastAsia="仿宋"/>
          <w:snapToGrid w:val="0"/>
          <w:color w:val="auto"/>
          <w:sz w:val="28"/>
        </w:rPr>
        <w:t>推动生态文明建设</w:t>
      </w:r>
      <w:bookmarkEnd w:id="32"/>
      <w:bookmarkEnd w:id="33"/>
    </w:p>
    <w:p w14:paraId="7973EECA">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方正仿宋_GBK" w:cs="Times New Roman"/>
          <w:color w:val="auto"/>
          <w:sz w:val="28"/>
          <w:szCs w:val="28"/>
          <w:shd w:val="clear" w:color="auto" w:fill="auto"/>
          <w:lang w:eastAsia="zh-CN"/>
        </w:rPr>
      </w:pPr>
      <w:r>
        <w:rPr>
          <w:rFonts w:hint="default" w:ascii="Times New Roman" w:hAnsi="Times New Roman" w:eastAsia="方正仿宋_GBK" w:cs="Times New Roman"/>
          <w:color w:val="auto"/>
          <w:sz w:val="28"/>
          <w:szCs w:val="28"/>
          <w:shd w:val="clear" w:color="auto" w:fill="auto"/>
          <w:lang w:eastAsia="zh-CN"/>
        </w:rPr>
        <w:t>党的十八大以来，新平县进一步厘清思路、找准定位、明确方向、突出重点，推动</w:t>
      </w:r>
      <w:r>
        <w:rPr>
          <w:rFonts w:hint="default" w:ascii="Times New Roman" w:hAnsi="Times New Roman" w:eastAsia="方正仿宋_GBK" w:cs="Times New Roman"/>
          <w:color w:val="auto"/>
          <w:sz w:val="28"/>
          <w:szCs w:val="28"/>
          <w:shd w:val="clear" w:color="auto" w:fill="auto"/>
          <w:lang w:val="en-US" w:eastAsia="zh-CN"/>
        </w:rPr>
        <w:t>新平</w:t>
      </w:r>
      <w:r>
        <w:rPr>
          <w:rFonts w:hint="default" w:ascii="Times New Roman" w:hAnsi="Times New Roman" w:eastAsia="方正仿宋_GBK" w:cs="Times New Roman"/>
          <w:color w:val="auto"/>
          <w:sz w:val="28"/>
          <w:szCs w:val="28"/>
          <w:shd w:val="clear" w:color="auto" w:fill="auto"/>
          <w:lang w:eastAsia="zh-CN"/>
        </w:rPr>
        <w:t>深度融入国家、云南省和</w:t>
      </w:r>
      <w:r>
        <w:rPr>
          <w:rFonts w:hint="default" w:ascii="Times New Roman" w:hAnsi="Times New Roman" w:eastAsia="方正仿宋_GBK" w:cs="Times New Roman"/>
          <w:color w:val="auto"/>
          <w:sz w:val="28"/>
          <w:szCs w:val="28"/>
          <w:shd w:val="clear" w:color="auto" w:fill="auto"/>
          <w:lang w:val="en-US" w:eastAsia="zh-CN"/>
        </w:rPr>
        <w:t>玉溪市</w:t>
      </w:r>
      <w:r>
        <w:rPr>
          <w:rFonts w:hint="default" w:ascii="Times New Roman" w:hAnsi="Times New Roman" w:eastAsia="方正仿宋_GBK" w:cs="Times New Roman"/>
          <w:color w:val="auto"/>
          <w:sz w:val="28"/>
          <w:szCs w:val="28"/>
          <w:shd w:val="clear" w:color="auto" w:fill="auto"/>
          <w:lang w:eastAsia="zh-CN"/>
        </w:rPr>
        <w:t>的发展大局。全面贯彻落实党的十九</w:t>
      </w:r>
      <w:r>
        <w:rPr>
          <w:rFonts w:hint="default" w:ascii="Times New Roman" w:hAnsi="Times New Roman" w:eastAsia="方正仿宋_GBK" w:cs="Times New Roman"/>
          <w:color w:val="auto"/>
          <w:sz w:val="28"/>
          <w:szCs w:val="28"/>
          <w:shd w:val="clear" w:color="auto" w:fill="auto"/>
          <w:lang w:val="en-US" w:eastAsia="zh-CN"/>
        </w:rPr>
        <w:t>大、</w:t>
      </w:r>
      <w:r>
        <w:rPr>
          <w:rFonts w:hint="eastAsia" w:ascii="Times New Roman" w:hAnsi="Times New Roman" w:eastAsia="方正仿宋_GBK" w:cs="Times New Roman"/>
          <w:color w:val="auto"/>
          <w:sz w:val="28"/>
          <w:szCs w:val="28"/>
          <w:shd w:val="clear" w:color="auto" w:fill="auto"/>
          <w:lang w:val="en-US" w:eastAsia="zh-CN"/>
        </w:rPr>
        <w:t>党的</w:t>
      </w:r>
      <w:r>
        <w:rPr>
          <w:rFonts w:hint="default" w:ascii="Times New Roman" w:hAnsi="Times New Roman" w:eastAsia="方正仿宋_GBK" w:cs="Times New Roman"/>
          <w:color w:val="auto"/>
          <w:sz w:val="28"/>
          <w:szCs w:val="28"/>
          <w:shd w:val="clear" w:color="auto" w:fill="auto"/>
          <w:lang w:val="en-US" w:eastAsia="zh-CN"/>
        </w:rPr>
        <w:t>二十大</w:t>
      </w:r>
      <w:r>
        <w:rPr>
          <w:rFonts w:hint="default" w:ascii="Times New Roman" w:hAnsi="Times New Roman" w:eastAsia="方正仿宋_GBK" w:cs="Times New Roman"/>
          <w:color w:val="auto"/>
          <w:sz w:val="28"/>
          <w:szCs w:val="28"/>
          <w:shd w:val="clear" w:color="auto" w:fill="auto"/>
          <w:lang w:eastAsia="zh-CN"/>
        </w:rPr>
        <w:t>精神、习近平总书记系列重要讲话和考察云南重要讲话精神，紧紧围绕“五位一体”总体布局和“四个全面”战略布局，牢固树立“绿水青山就是金山银山”和“保护生态环境就是保护生产力、改善生态环境就是发展生产力”的理念，贯彻落实创新、协调、</w:t>
      </w:r>
      <w:r>
        <w:rPr>
          <w:rFonts w:hint="eastAsia" w:ascii="Times New Roman" w:hAnsi="Times New Roman" w:eastAsia="方正仿宋_GBK" w:cs="Times New Roman"/>
          <w:color w:val="auto"/>
          <w:sz w:val="28"/>
          <w:szCs w:val="28"/>
          <w:shd w:val="clear" w:color="auto" w:fill="auto"/>
          <w:lang w:eastAsia="zh-CN"/>
        </w:rPr>
        <w:t>绿色、开放、共享的新发展理念</w:t>
      </w:r>
      <w:r>
        <w:rPr>
          <w:rFonts w:hint="default" w:ascii="Times New Roman" w:hAnsi="Times New Roman" w:eastAsia="方正仿宋_GBK" w:cs="Times New Roman"/>
          <w:color w:val="auto"/>
          <w:sz w:val="28"/>
          <w:szCs w:val="28"/>
          <w:shd w:val="clear" w:color="auto" w:fill="auto"/>
          <w:lang w:eastAsia="zh-CN"/>
        </w:rPr>
        <w:t>，将生态文明建设摆在全局工作的突出位置，统筹推进经济建设、政治建设、文化建设、社会建设、生态文明建设，始终坚持生态优先、绿色发展，把生态示范创建作为生态文明建设的重要载体，在城乡建设中抓好生态，在优化环境中提升生态，不断加大生态环境保护和建设力度，努力为建设最美云南和国家生态文明建设排头兵贡献砚山力量。2013年初开展了《新平彝族傣族自治县生态县建设规划（2012年</w:t>
      </w:r>
      <w:r>
        <w:rPr>
          <w:rFonts w:hint="eastAsia" w:ascii="Times New Roman" w:hAnsi="Times New Roman" w:eastAsia="方正仿宋_GBK" w:cs="Times New Roman"/>
          <w:color w:val="auto"/>
          <w:sz w:val="28"/>
          <w:szCs w:val="28"/>
          <w:shd w:val="clear" w:color="auto" w:fill="auto"/>
          <w:lang w:eastAsia="zh-CN"/>
        </w:rPr>
        <w:t>—</w:t>
      </w:r>
      <w:r>
        <w:rPr>
          <w:rFonts w:hint="default" w:ascii="Times New Roman" w:hAnsi="Times New Roman" w:eastAsia="方正仿宋_GBK" w:cs="Times New Roman"/>
          <w:color w:val="auto"/>
          <w:sz w:val="28"/>
          <w:szCs w:val="28"/>
          <w:shd w:val="clear" w:color="auto" w:fill="auto"/>
          <w:lang w:eastAsia="zh-CN"/>
        </w:rPr>
        <w:t>2020年）》</w:t>
      </w:r>
      <w:r>
        <w:rPr>
          <w:rFonts w:hint="eastAsia" w:ascii="Times New Roman" w:hAnsi="Times New Roman" w:eastAsia="方正仿宋_GBK" w:cs="Times New Roman"/>
          <w:color w:val="auto"/>
          <w:sz w:val="28"/>
          <w:szCs w:val="28"/>
          <w:shd w:val="clear" w:color="auto" w:fill="auto"/>
          <w:lang w:val="en-US" w:eastAsia="zh-CN"/>
        </w:rPr>
        <w:t>编制工作</w:t>
      </w:r>
      <w:r>
        <w:rPr>
          <w:rFonts w:hint="default" w:ascii="Times New Roman" w:hAnsi="Times New Roman" w:eastAsia="方正仿宋_GBK" w:cs="Times New Roman"/>
          <w:color w:val="auto"/>
          <w:sz w:val="28"/>
          <w:szCs w:val="28"/>
          <w:shd w:val="clear" w:color="auto" w:fill="auto"/>
          <w:lang w:eastAsia="zh-CN"/>
        </w:rPr>
        <w:t>，</w:t>
      </w:r>
      <w:r>
        <w:rPr>
          <w:rFonts w:hint="eastAsia" w:ascii="Times New Roman" w:hAnsi="Times New Roman" w:eastAsia="方正仿宋_GBK" w:cs="Times New Roman"/>
          <w:color w:val="auto"/>
          <w:sz w:val="28"/>
          <w:szCs w:val="28"/>
          <w:shd w:val="clear" w:color="auto" w:fill="auto"/>
          <w:lang w:val="en-US" w:eastAsia="zh-CN"/>
        </w:rPr>
        <w:t>并于</w:t>
      </w:r>
      <w:r>
        <w:rPr>
          <w:rFonts w:hint="default" w:ascii="Times New Roman" w:hAnsi="Times New Roman" w:eastAsia="方正仿宋_GBK" w:cs="Times New Roman"/>
          <w:color w:val="auto"/>
          <w:sz w:val="28"/>
          <w:szCs w:val="28"/>
          <w:shd w:val="clear" w:color="auto" w:fill="auto"/>
          <w:lang w:eastAsia="zh-CN"/>
        </w:rPr>
        <w:t>2013年10月31日由新平县第十六届人民代表大会常务委员会第9次会议组织审议并批准实施。2013年12月20日新平县人民政府办公室发布了《关于印发新平生态县创建工作实施方案的通知》（新政办发〔2013〕259号），</w:t>
      </w:r>
      <w:r>
        <w:rPr>
          <w:rFonts w:hint="eastAsia" w:ascii="Times New Roman" w:hAnsi="Times New Roman" w:eastAsia="方正仿宋_GBK" w:cs="Times New Roman"/>
          <w:color w:val="auto"/>
          <w:sz w:val="28"/>
          <w:szCs w:val="28"/>
          <w:shd w:val="clear" w:color="auto" w:fill="auto"/>
          <w:lang w:val="en-US" w:eastAsia="zh-CN"/>
        </w:rPr>
        <w:t>全面启动</w:t>
      </w:r>
      <w:r>
        <w:rPr>
          <w:rFonts w:hint="default" w:ascii="Times New Roman" w:hAnsi="Times New Roman" w:eastAsia="方正仿宋_GBK" w:cs="Times New Roman"/>
          <w:color w:val="auto"/>
          <w:sz w:val="28"/>
          <w:szCs w:val="28"/>
          <w:shd w:val="clear" w:color="auto" w:fill="auto"/>
          <w:lang w:eastAsia="zh-CN"/>
        </w:rPr>
        <w:t>实施新平县创建生态文明县各项工作。在县委、县政府高度重视和大力支持下，2017年3月3日，新平荣获省人民政府命名的省级生态文明县称号，成为云南省第二批被命名的省生态文明县（市、区）之一。201</w:t>
      </w:r>
      <w:r>
        <w:rPr>
          <w:rFonts w:hint="eastAsia" w:ascii="Times New Roman" w:hAnsi="Times New Roman" w:eastAsia="方正仿宋_GBK" w:cs="Times New Roman"/>
          <w:color w:val="auto"/>
          <w:sz w:val="28"/>
          <w:szCs w:val="28"/>
          <w:shd w:val="clear" w:color="auto" w:fill="auto"/>
          <w:lang w:val="en-US" w:eastAsia="zh-CN"/>
        </w:rPr>
        <w:t>8</w:t>
      </w:r>
      <w:r>
        <w:rPr>
          <w:rFonts w:hint="default" w:ascii="Times New Roman" w:hAnsi="Times New Roman" w:eastAsia="方正仿宋_GBK" w:cs="Times New Roman"/>
          <w:color w:val="auto"/>
          <w:sz w:val="28"/>
          <w:szCs w:val="28"/>
          <w:shd w:val="clear" w:color="auto" w:fill="auto"/>
          <w:lang w:eastAsia="zh-CN"/>
        </w:rPr>
        <w:t>年开展了《新平国家生态文明建设示范县规划（2017</w:t>
      </w:r>
      <w:r>
        <w:rPr>
          <w:rFonts w:hint="eastAsia" w:ascii="Times New Roman" w:hAnsi="Times New Roman" w:eastAsia="方正仿宋_GBK" w:cs="Times New Roman"/>
          <w:color w:val="auto"/>
          <w:sz w:val="28"/>
          <w:szCs w:val="28"/>
          <w:shd w:val="clear" w:color="auto" w:fill="auto"/>
          <w:lang w:eastAsia="zh-CN"/>
        </w:rPr>
        <w:t>—</w:t>
      </w:r>
      <w:r>
        <w:rPr>
          <w:rFonts w:hint="default" w:ascii="Times New Roman" w:hAnsi="Times New Roman" w:eastAsia="方正仿宋_GBK" w:cs="Times New Roman"/>
          <w:color w:val="auto"/>
          <w:sz w:val="28"/>
          <w:szCs w:val="28"/>
          <w:shd w:val="clear" w:color="auto" w:fill="auto"/>
          <w:lang w:eastAsia="zh-CN"/>
        </w:rPr>
        <w:t>2020年）》编制工作，并于2019年4月印发实施。</w:t>
      </w:r>
      <w:r>
        <w:rPr>
          <w:rFonts w:hint="eastAsia" w:ascii="Times New Roman" w:hAnsi="Times New Roman" w:eastAsia="方正仿宋_GBK" w:cs="Times New Roman"/>
          <w:color w:val="auto"/>
          <w:sz w:val="28"/>
          <w:szCs w:val="28"/>
          <w:shd w:val="clear" w:color="auto" w:fill="auto"/>
          <w:lang w:eastAsia="zh-CN"/>
        </w:rPr>
        <w:t>截至目前</w:t>
      </w:r>
      <w:r>
        <w:rPr>
          <w:rFonts w:hint="eastAsia" w:ascii="Times New Roman" w:hAnsi="Times New Roman" w:eastAsia="方正仿宋_GBK" w:cs="Times New Roman"/>
          <w:color w:val="auto"/>
          <w:sz w:val="28"/>
          <w:szCs w:val="28"/>
          <w:shd w:val="clear" w:color="auto" w:fill="auto"/>
          <w:lang w:val="en-US" w:eastAsia="zh-CN"/>
        </w:rPr>
        <w:t>，</w:t>
      </w:r>
      <w:r>
        <w:rPr>
          <w:rFonts w:hint="default" w:ascii="Times New Roman" w:hAnsi="Times New Roman" w:eastAsia="方正仿宋_GBK" w:cs="Times New Roman"/>
          <w:color w:val="auto"/>
          <w:sz w:val="28"/>
          <w:szCs w:val="28"/>
          <w:shd w:val="clear" w:color="auto" w:fill="auto"/>
          <w:lang w:eastAsia="zh-CN"/>
        </w:rPr>
        <w:t>全县认定国家森林乡村1个、省级森林乡村25个，创建省级绿色学校18所、绿色社区7个、环境教育基地2个，荣获省级生态文明县称号，桂山被命名为国家级生态文明乡镇。爱国卫生“7个专项行动”和农村人居环境整治深入开展，10个乡镇、105个村被命名为省卫生乡镇、卫生村，上榜省级美丽村庄3个。</w:t>
      </w:r>
    </w:p>
    <w:p w14:paraId="491788BE">
      <w:pPr>
        <w:pStyle w:val="4"/>
        <w:spacing w:before="260" w:after="260" w:line="276" w:lineRule="auto"/>
        <w:ind w:firstLine="0"/>
        <w:rPr>
          <w:rFonts w:ascii="Times New Roman" w:hAnsi="Times New Roman" w:eastAsia="仿宋" w:cs="Times New Roman"/>
          <w:color w:val="auto"/>
          <w:sz w:val="32"/>
        </w:rPr>
      </w:pPr>
      <w:bookmarkStart w:id="34" w:name="_Toc24892"/>
      <w:bookmarkStart w:id="35" w:name="_Toc103590068"/>
      <w:r>
        <w:rPr>
          <w:rFonts w:ascii="Times New Roman" w:hAnsi="Times New Roman" w:eastAsia="仿宋" w:cs="Times New Roman"/>
          <w:color w:val="auto"/>
          <w:sz w:val="32"/>
        </w:rPr>
        <w:t>1.2规划意义</w:t>
      </w:r>
      <w:bookmarkEnd w:id="34"/>
      <w:bookmarkEnd w:id="35"/>
    </w:p>
    <w:p w14:paraId="7ABA7263">
      <w:pPr>
        <w:pStyle w:val="5"/>
        <w:spacing w:before="120" w:after="120" w:line="360" w:lineRule="auto"/>
        <w:ind w:firstLine="0" w:firstLineChars="0"/>
        <w:rPr>
          <w:rFonts w:eastAsia="仿宋"/>
          <w:snapToGrid w:val="0"/>
          <w:color w:val="auto"/>
          <w:sz w:val="28"/>
        </w:rPr>
      </w:pPr>
      <w:bookmarkStart w:id="36" w:name="_Toc103590069"/>
      <w:bookmarkStart w:id="37" w:name="_Toc9903"/>
      <w:r>
        <w:rPr>
          <w:rFonts w:eastAsia="仿宋"/>
          <w:snapToGrid w:val="0"/>
          <w:color w:val="auto"/>
          <w:sz w:val="28"/>
        </w:rPr>
        <w:t>1.2.1</w:t>
      </w:r>
      <w:bookmarkEnd w:id="36"/>
      <w:r>
        <w:rPr>
          <w:rFonts w:eastAsia="仿宋"/>
          <w:snapToGrid w:val="0"/>
          <w:color w:val="auto"/>
          <w:sz w:val="28"/>
          <w:lang w:val="en-US" w:eastAsia="zh-CN"/>
        </w:rPr>
        <w:t>促进区域绿色发展</w:t>
      </w:r>
      <w:bookmarkEnd w:id="37"/>
    </w:p>
    <w:p w14:paraId="24532805">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方正仿宋_GBK" w:cs="Times New Roman"/>
          <w:color w:val="auto"/>
          <w:sz w:val="28"/>
          <w:szCs w:val="28"/>
          <w:shd w:val="clear" w:color="auto" w:fill="auto"/>
          <w:lang w:eastAsia="zh-CN"/>
        </w:rPr>
      </w:pPr>
      <w:r>
        <w:rPr>
          <w:rFonts w:hint="default" w:ascii="Times New Roman" w:hAnsi="Times New Roman" w:eastAsia="方正仿宋_GBK" w:cs="Times New Roman"/>
          <w:color w:val="auto"/>
          <w:sz w:val="28"/>
          <w:szCs w:val="28"/>
          <w:shd w:val="clear" w:color="auto" w:fill="auto"/>
          <w:lang w:eastAsia="zh-CN"/>
        </w:rPr>
        <w:t>《规划》基于</w:t>
      </w:r>
      <w:r>
        <w:rPr>
          <w:rFonts w:hint="eastAsia" w:ascii="Times New Roman" w:hAnsi="Times New Roman" w:eastAsia="方正仿宋_GBK" w:cs="Times New Roman"/>
          <w:color w:val="auto"/>
          <w:sz w:val="28"/>
          <w:szCs w:val="28"/>
          <w:shd w:val="clear" w:color="auto" w:fill="auto"/>
          <w:lang w:eastAsia="zh-CN"/>
        </w:rPr>
        <w:t>新平</w:t>
      </w:r>
      <w:r>
        <w:rPr>
          <w:rFonts w:hint="default" w:ascii="Times New Roman" w:hAnsi="Times New Roman" w:eastAsia="方正仿宋_GBK" w:cs="Times New Roman"/>
          <w:color w:val="auto"/>
          <w:sz w:val="28"/>
          <w:szCs w:val="28"/>
          <w:shd w:val="clear" w:color="auto" w:fill="auto"/>
          <w:lang w:eastAsia="zh-CN"/>
        </w:rPr>
        <w:t>实际，在开展生态环境与经济发展现状和趋势分析的基础上，明确生态文明建设的目标，全面谋划未来一个时期优化国土空间、加快产业转型升级、促进能源资源节约、加强生态建设和环境保护、培育生态文化和创新生态文明制度等生态文明建设重点工作，以创建生态文明建设示范区为抓手，逐步补齐</w:t>
      </w:r>
      <w:r>
        <w:rPr>
          <w:rFonts w:hint="eastAsia" w:ascii="Times New Roman" w:hAnsi="Times New Roman" w:eastAsia="方正仿宋_GBK" w:cs="Times New Roman"/>
          <w:color w:val="auto"/>
          <w:sz w:val="28"/>
          <w:szCs w:val="28"/>
          <w:shd w:val="clear" w:color="auto" w:fill="auto"/>
          <w:lang w:eastAsia="zh-CN"/>
        </w:rPr>
        <w:t>新平县</w:t>
      </w:r>
      <w:r>
        <w:rPr>
          <w:rFonts w:hint="default" w:ascii="Times New Roman" w:hAnsi="Times New Roman" w:eastAsia="方正仿宋_GBK" w:cs="Times New Roman"/>
          <w:color w:val="auto"/>
          <w:sz w:val="28"/>
          <w:szCs w:val="28"/>
          <w:shd w:val="clear" w:color="auto" w:fill="auto"/>
          <w:lang w:eastAsia="zh-CN"/>
        </w:rPr>
        <w:t>生态文明建设的短板。《规划》的实施，将进一步加强对区域能耗、水耗、大气和水污染物排放强度的约束，强化资源节约与循环利用，对重点产业的生态转型提出明确可行的操作方案和技术措施，促进园区循环化改造，提升清洁化生产水平，将为全面、系统解决生态环境问题、资源和能源消耗等提供支持，优化产业发展格局，促进</w:t>
      </w:r>
      <w:r>
        <w:rPr>
          <w:rFonts w:hint="eastAsia" w:ascii="Times New Roman" w:hAnsi="Times New Roman" w:eastAsia="方正仿宋_GBK" w:cs="Times New Roman"/>
          <w:color w:val="auto"/>
          <w:sz w:val="28"/>
          <w:szCs w:val="28"/>
          <w:shd w:val="clear" w:color="auto" w:fill="auto"/>
          <w:lang w:eastAsia="zh-CN"/>
        </w:rPr>
        <w:t>新平县</w:t>
      </w:r>
      <w:r>
        <w:rPr>
          <w:rFonts w:hint="default" w:ascii="Times New Roman" w:hAnsi="Times New Roman" w:eastAsia="方正仿宋_GBK" w:cs="Times New Roman"/>
          <w:color w:val="auto"/>
          <w:sz w:val="28"/>
          <w:szCs w:val="28"/>
          <w:shd w:val="clear" w:color="auto" w:fill="auto"/>
          <w:lang w:eastAsia="zh-CN"/>
        </w:rPr>
        <w:t>产业转型升级，推动产业生态化，构建绿色发展的现代产业体系，减轻现阶段经济下行的压力，使环境优势转化为经济优势，实现社会、经济和环境的协调发展。</w:t>
      </w:r>
    </w:p>
    <w:p w14:paraId="53BF687C">
      <w:pPr>
        <w:pStyle w:val="5"/>
        <w:spacing w:before="120" w:after="120" w:line="360" w:lineRule="auto"/>
        <w:ind w:firstLine="0" w:firstLineChars="0"/>
        <w:rPr>
          <w:rFonts w:eastAsia="仿宋"/>
          <w:snapToGrid w:val="0"/>
          <w:color w:val="auto"/>
          <w:sz w:val="28"/>
        </w:rPr>
      </w:pPr>
      <w:bookmarkStart w:id="38" w:name="_Toc12715"/>
      <w:r>
        <w:rPr>
          <w:rFonts w:eastAsia="仿宋"/>
          <w:snapToGrid w:val="0"/>
          <w:color w:val="auto"/>
          <w:sz w:val="28"/>
        </w:rPr>
        <w:t>1.2.</w:t>
      </w:r>
      <w:r>
        <w:rPr>
          <w:rFonts w:hint="eastAsia" w:eastAsia="仿宋"/>
          <w:snapToGrid w:val="0"/>
          <w:color w:val="auto"/>
          <w:sz w:val="28"/>
          <w:lang w:val="en-US" w:eastAsia="zh-CN"/>
        </w:rPr>
        <w:t>2</w:t>
      </w:r>
      <w:r>
        <w:rPr>
          <w:rFonts w:eastAsia="仿宋"/>
          <w:snapToGrid w:val="0"/>
          <w:color w:val="auto"/>
          <w:sz w:val="28"/>
        </w:rPr>
        <w:t>推进产城人融合发展</w:t>
      </w:r>
      <w:bookmarkEnd w:id="38"/>
    </w:p>
    <w:p w14:paraId="268CED0A">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default" w:ascii="Times New Roman" w:hAnsi="Times New Roman" w:eastAsia="方正仿宋_GBK" w:cs="Times New Roman"/>
          <w:color w:val="auto"/>
          <w:sz w:val="28"/>
          <w:szCs w:val="28"/>
          <w:shd w:val="clear" w:color="auto" w:fill="auto"/>
          <w:lang w:eastAsia="zh-CN"/>
        </w:rPr>
      </w:pPr>
      <w:r>
        <w:rPr>
          <w:rFonts w:hint="eastAsia" w:ascii="Times New Roman" w:hAnsi="Times New Roman" w:eastAsia="方正仿宋_GBK" w:cs="Times New Roman"/>
          <w:color w:val="auto"/>
          <w:sz w:val="28"/>
          <w:szCs w:val="28"/>
          <w:shd w:val="clear" w:color="auto" w:fill="auto"/>
          <w:lang w:eastAsia="zh-CN"/>
        </w:rPr>
        <w:t>新平县</w:t>
      </w:r>
      <w:r>
        <w:rPr>
          <w:rFonts w:hint="default" w:ascii="Times New Roman" w:hAnsi="Times New Roman" w:eastAsia="方正仿宋_GBK" w:cs="Times New Roman"/>
          <w:color w:val="auto"/>
          <w:sz w:val="28"/>
          <w:szCs w:val="28"/>
          <w:shd w:val="clear" w:color="auto" w:fill="auto"/>
          <w:lang w:eastAsia="zh-CN"/>
        </w:rPr>
        <w:t>交通、区位优越，产业相对集中，发展潜力较大，《规划》的实施将推动</w:t>
      </w:r>
      <w:r>
        <w:rPr>
          <w:rFonts w:hint="eastAsia" w:ascii="Times New Roman" w:hAnsi="Times New Roman" w:eastAsia="方正仿宋_GBK" w:cs="Times New Roman"/>
          <w:color w:val="auto"/>
          <w:sz w:val="28"/>
          <w:szCs w:val="28"/>
          <w:shd w:val="clear" w:color="auto" w:fill="auto"/>
          <w:lang w:eastAsia="zh-CN"/>
        </w:rPr>
        <w:t>新平县</w:t>
      </w:r>
      <w:r>
        <w:rPr>
          <w:rFonts w:hint="default" w:ascii="Times New Roman" w:hAnsi="Times New Roman" w:eastAsia="方正仿宋_GBK" w:cs="Times New Roman"/>
          <w:color w:val="auto"/>
          <w:sz w:val="28"/>
          <w:szCs w:val="28"/>
          <w:shd w:val="clear" w:color="auto" w:fill="auto"/>
          <w:lang w:eastAsia="zh-CN"/>
        </w:rPr>
        <w:t>生态文明建设进入更高层次，推动传统产业转型升级，突出延链补链强链，推动产业绿色发展，加快建设陆港型物流枢纽，大力发展先进制造配套产业和新型物流产业，打造产城融合示范区。通过抓好产业、片区、服务三大提升，精准引办一批用地集约、效益好、税收高的产业项目，不断培育壮大物流、电商等新业态、新模式，发挥产业带动作用，以产兴城，以城带产，产城联动，融合发展，推动现代产业、创新人才、高端要素向城区集聚，提高城市能级，以产业集聚为基础，引导乡镇强化特色定位，有效扩大就业容量，构建区域协同发展新格局。</w:t>
      </w:r>
      <w:bookmarkStart w:id="39" w:name="_Toc98890301"/>
    </w:p>
    <w:p w14:paraId="616F26C5">
      <w:pPr>
        <w:pStyle w:val="5"/>
        <w:spacing w:before="120" w:after="120" w:line="360" w:lineRule="auto"/>
        <w:ind w:firstLine="0" w:firstLineChars="0"/>
        <w:rPr>
          <w:rFonts w:eastAsia="仿宋"/>
          <w:snapToGrid w:val="0"/>
          <w:color w:val="auto"/>
          <w:sz w:val="28"/>
        </w:rPr>
      </w:pPr>
      <w:bookmarkStart w:id="40" w:name="_Toc20841"/>
      <w:r>
        <w:rPr>
          <w:rFonts w:eastAsia="仿宋"/>
          <w:snapToGrid w:val="0"/>
          <w:color w:val="auto"/>
          <w:sz w:val="28"/>
        </w:rPr>
        <w:t>1.2.</w:t>
      </w:r>
      <w:r>
        <w:rPr>
          <w:rFonts w:hint="eastAsia" w:eastAsia="仿宋"/>
          <w:snapToGrid w:val="0"/>
          <w:color w:val="auto"/>
          <w:sz w:val="28"/>
          <w:lang w:val="en-US" w:eastAsia="zh-CN"/>
        </w:rPr>
        <w:t>3</w:t>
      </w:r>
      <w:r>
        <w:rPr>
          <w:rFonts w:eastAsia="仿宋"/>
          <w:snapToGrid w:val="0"/>
          <w:color w:val="auto"/>
          <w:sz w:val="28"/>
        </w:rPr>
        <w:t>推动</w:t>
      </w:r>
      <w:r>
        <w:rPr>
          <w:rFonts w:hint="eastAsia" w:eastAsia="仿宋"/>
          <w:snapToGrid w:val="0"/>
          <w:color w:val="auto"/>
          <w:sz w:val="28"/>
        </w:rPr>
        <w:t>“</w:t>
      </w:r>
      <w:r>
        <w:rPr>
          <w:rFonts w:hint="eastAsia" w:eastAsia="仿宋"/>
          <w:snapToGrid w:val="0"/>
          <w:color w:val="auto"/>
          <w:sz w:val="28"/>
          <w:lang w:val="en-US" w:eastAsia="zh-CN"/>
        </w:rPr>
        <w:t>大美</w:t>
      </w:r>
      <w:r>
        <w:rPr>
          <w:rFonts w:hint="eastAsia" w:eastAsia="仿宋"/>
          <w:snapToGrid w:val="0"/>
          <w:color w:val="auto"/>
          <w:sz w:val="28"/>
          <w:lang w:eastAsia="zh-CN"/>
        </w:rPr>
        <w:t>新平</w:t>
      </w:r>
      <w:r>
        <w:rPr>
          <w:rFonts w:hint="eastAsia" w:eastAsia="仿宋"/>
          <w:snapToGrid w:val="0"/>
          <w:color w:val="auto"/>
          <w:sz w:val="28"/>
        </w:rPr>
        <w:t>”</w:t>
      </w:r>
      <w:r>
        <w:rPr>
          <w:rFonts w:eastAsia="仿宋"/>
          <w:snapToGrid w:val="0"/>
          <w:color w:val="auto"/>
          <w:sz w:val="28"/>
        </w:rPr>
        <w:t>宜居之城建设</w:t>
      </w:r>
      <w:bookmarkEnd w:id="40"/>
    </w:p>
    <w:p w14:paraId="5D67674F">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Times New Roman" w:hAnsi="Times New Roman" w:eastAsia="方正仿宋_GBK" w:cs="Times New Roman"/>
          <w:color w:val="auto"/>
          <w:sz w:val="28"/>
          <w:szCs w:val="28"/>
          <w:shd w:val="clear" w:color="auto" w:fill="auto"/>
          <w:lang w:eastAsia="zh-CN"/>
        </w:rPr>
      </w:pPr>
      <w:r>
        <w:rPr>
          <w:rFonts w:hint="eastAsia" w:ascii="Times New Roman" w:hAnsi="Times New Roman" w:eastAsia="方正仿宋_GBK" w:cs="Times New Roman"/>
          <w:color w:val="auto"/>
          <w:sz w:val="28"/>
          <w:szCs w:val="28"/>
          <w:shd w:val="clear" w:color="auto" w:fill="auto"/>
          <w:lang w:eastAsia="zh-CN"/>
        </w:rPr>
        <w:t>良好生态环境是最普惠的民生福祉，《规划》通过生态制度、生态空间、生态经济、生态环境、生态生活和生态文化等六大体系建设，推进生态文明建设纵深发展，持续深入推进“</w:t>
      </w:r>
      <w:r>
        <w:rPr>
          <w:rFonts w:hint="eastAsia" w:ascii="Times New Roman" w:hAnsi="Times New Roman" w:eastAsia="方正仿宋_GBK" w:cs="Times New Roman"/>
          <w:color w:val="auto"/>
          <w:sz w:val="28"/>
          <w:szCs w:val="28"/>
          <w:shd w:val="clear" w:color="auto" w:fill="auto"/>
          <w:lang w:val="en-US" w:eastAsia="zh-CN"/>
        </w:rPr>
        <w:t>大美</w:t>
      </w:r>
      <w:r>
        <w:rPr>
          <w:rFonts w:hint="eastAsia" w:ascii="Times New Roman" w:hAnsi="Times New Roman" w:eastAsia="方正仿宋_GBK" w:cs="Times New Roman"/>
          <w:color w:val="auto"/>
          <w:sz w:val="28"/>
          <w:szCs w:val="28"/>
          <w:shd w:val="clear" w:color="auto" w:fill="auto"/>
          <w:lang w:eastAsia="zh-CN"/>
        </w:rPr>
        <w:t>新平”建设和“绿美新平”行动，推进新平县国土全域绿化美化，持续改善生态环境质量，加快</w:t>
      </w:r>
      <w:r>
        <w:rPr>
          <w:rFonts w:hint="eastAsia" w:ascii="Times New Roman" w:hAnsi="Times New Roman" w:eastAsia="方正仿宋_GBK" w:cs="Times New Roman"/>
          <w:color w:val="auto"/>
          <w:sz w:val="28"/>
          <w:szCs w:val="28"/>
          <w:shd w:val="clear" w:color="auto" w:fill="auto"/>
          <w:lang w:val="en-US" w:eastAsia="zh-CN"/>
        </w:rPr>
        <w:t>全县</w:t>
      </w:r>
      <w:r>
        <w:rPr>
          <w:rFonts w:hint="eastAsia" w:ascii="Times New Roman" w:hAnsi="Times New Roman" w:eastAsia="方正仿宋_GBK" w:cs="Times New Roman"/>
          <w:color w:val="auto"/>
          <w:sz w:val="28"/>
          <w:szCs w:val="28"/>
          <w:shd w:val="clear" w:color="auto" w:fill="auto"/>
          <w:lang w:eastAsia="zh-CN"/>
        </w:rPr>
        <w:t>环境基础设施建设，持续改善人居环境，培育全民绿色低碳生活方式，传承和弘扬优秀文化，全面提升城市发展质量和宜居品质，健全城乡融合发展体制机制，推动城乡一体化发展，优化资源配置。《规划》的实施将推动“</w:t>
      </w:r>
      <w:r>
        <w:rPr>
          <w:rFonts w:hint="eastAsia" w:ascii="Times New Roman" w:hAnsi="Times New Roman" w:eastAsia="方正仿宋_GBK" w:cs="Times New Roman"/>
          <w:color w:val="auto"/>
          <w:sz w:val="28"/>
          <w:szCs w:val="28"/>
          <w:shd w:val="clear" w:color="auto" w:fill="auto"/>
          <w:lang w:val="en-US" w:eastAsia="zh-CN"/>
        </w:rPr>
        <w:t>大美</w:t>
      </w:r>
      <w:r>
        <w:rPr>
          <w:rFonts w:hint="eastAsia" w:ascii="Times New Roman" w:hAnsi="Times New Roman" w:eastAsia="方正仿宋_GBK" w:cs="Times New Roman"/>
          <w:color w:val="auto"/>
          <w:sz w:val="28"/>
          <w:szCs w:val="28"/>
          <w:shd w:val="clear" w:color="auto" w:fill="auto"/>
          <w:lang w:eastAsia="zh-CN"/>
        </w:rPr>
        <w:t>新平”宜居之城建设，增进民生福祉，不断提升全</w:t>
      </w:r>
      <w:r>
        <w:rPr>
          <w:rFonts w:hint="eastAsia" w:ascii="Times New Roman" w:hAnsi="Times New Roman" w:eastAsia="方正仿宋_GBK" w:cs="Times New Roman"/>
          <w:color w:val="auto"/>
          <w:sz w:val="28"/>
          <w:szCs w:val="28"/>
          <w:shd w:val="clear" w:color="auto" w:fill="auto"/>
          <w:lang w:val="en-US" w:eastAsia="zh-CN"/>
        </w:rPr>
        <w:t>县</w:t>
      </w:r>
      <w:r>
        <w:rPr>
          <w:rFonts w:hint="eastAsia" w:ascii="Times New Roman" w:hAnsi="Times New Roman" w:eastAsia="方正仿宋_GBK" w:cs="Times New Roman"/>
          <w:color w:val="auto"/>
          <w:sz w:val="28"/>
          <w:szCs w:val="28"/>
          <w:shd w:val="clear" w:color="auto" w:fill="auto"/>
          <w:lang w:eastAsia="zh-CN"/>
        </w:rPr>
        <w:t>经济发展水平，不断实现人民对美好生活的向往，提升公众对生态文明的参与度和满意度，使生态文明建设成为人民群众生活改善的增长点，实现生态文明的共建共享。</w:t>
      </w:r>
    </w:p>
    <w:p w14:paraId="59CBA596">
      <w:pPr>
        <w:adjustRightInd w:val="0"/>
        <w:snapToGrid w:val="0"/>
        <w:spacing w:line="520" w:lineRule="exact"/>
        <w:rPr>
          <w:rFonts w:ascii="Times New Roman" w:hAnsi="Times New Roman" w:eastAsia="仿宋" w:cs="Times New Roman"/>
          <w:color w:val="FF0000"/>
        </w:rPr>
      </w:pPr>
    </w:p>
    <w:p w14:paraId="5E231864">
      <w:pPr>
        <w:rPr>
          <w:rFonts w:ascii="Times New Roman" w:hAnsi="Times New Roman" w:eastAsia="仿宋" w:cs="Times New Roman"/>
          <w:color w:val="FF0000"/>
          <w:sz w:val="44"/>
        </w:rPr>
      </w:pPr>
      <w:r>
        <w:rPr>
          <w:rFonts w:ascii="Times New Roman" w:hAnsi="Times New Roman" w:eastAsia="仿宋" w:cs="Times New Roman"/>
          <w:color w:val="FF0000"/>
          <w:sz w:val="44"/>
        </w:rPr>
        <w:br w:type="page"/>
      </w:r>
    </w:p>
    <w:p w14:paraId="255B720C">
      <w:pPr>
        <w:pStyle w:val="3"/>
        <w:spacing w:before="0" w:after="0" w:line="276" w:lineRule="auto"/>
        <w:jc w:val="center"/>
        <w:rPr>
          <w:rFonts w:ascii="Times New Roman" w:hAnsi="Times New Roman" w:eastAsia="仿宋" w:cs="Times New Roman"/>
          <w:color w:val="auto"/>
          <w:sz w:val="44"/>
        </w:rPr>
      </w:pPr>
      <w:bookmarkStart w:id="41" w:name="_Toc30731"/>
      <w:r>
        <w:rPr>
          <w:rFonts w:ascii="Times New Roman" w:hAnsi="Times New Roman" w:eastAsia="仿宋" w:cs="Times New Roman"/>
          <w:color w:val="auto"/>
          <w:sz w:val="44"/>
        </w:rPr>
        <w:t>2建设基础</w:t>
      </w:r>
      <w:bookmarkEnd w:id="39"/>
      <w:bookmarkEnd w:id="41"/>
    </w:p>
    <w:p w14:paraId="2100BF43">
      <w:pPr>
        <w:pStyle w:val="4"/>
        <w:spacing w:before="260" w:after="260" w:line="276" w:lineRule="auto"/>
        <w:ind w:firstLine="0"/>
        <w:rPr>
          <w:rFonts w:ascii="Times New Roman" w:hAnsi="Times New Roman" w:eastAsia="仿宋" w:cs="Times New Roman"/>
          <w:color w:val="auto"/>
          <w:sz w:val="32"/>
          <w:lang w:val="en-US" w:eastAsia="zh-CN"/>
        </w:rPr>
      </w:pPr>
      <w:bookmarkStart w:id="42" w:name="_Toc514661230"/>
      <w:bookmarkStart w:id="43" w:name="_Toc112155759"/>
      <w:bookmarkStart w:id="44" w:name="_Toc23234"/>
      <w:bookmarkStart w:id="45" w:name="_Toc9516072"/>
      <w:bookmarkStart w:id="46" w:name="_Toc35697719"/>
      <w:r>
        <w:rPr>
          <w:rFonts w:ascii="Times New Roman" w:hAnsi="Times New Roman" w:eastAsia="仿宋" w:cs="Times New Roman"/>
          <w:color w:val="auto"/>
          <w:sz w:val="32"/>
          <w:lang w:val="en-US" w:eastAsia="zh-CN"/>
        </w:rPr>
        <w:t>2.1区域概况</w:t>
      </w:r>
      <w:bookmarkEnd w:id="42"/>
      <w:bookmarkEnd w:id="43"/>
      <w:bookmarkEnd w:id="44"/>
      <w:bookmarkEnd w:id="45"/>
      <w:bookmarkEnd w:id="46"/>
    </w:p>
    <w:p w14:paraId="0205A255">
      <w:pPr>
        <w:pStyle w:val="5"/>
        <w:spacing w:before="120" w:after="120" w:line="360" w:lineRule="auto"/>
        <w:ind w:firstLine="0" w:firstLineChars="0"/>
        <w:rPr>
          <w:rFonts w:eastAsia="仿宋"/>
          <w:snapToGrid w:val="0"/>
          <w:color w:val="auto"/>
          <w:sz w:val="28"/>
          <w:lang w:val="en-US" w:eastAsia="zh-CN"/>
        </w:rPr>
      </w:pPr>
      <w:bookmarkStart w:id="47" w:name="_Toc514661231"/>
      <w:bookmarkStart w:id="48" w:name="_Toc35697720"/>
      <w:bookmarkStart w:id="49" w:name="_Toc112155760"/>
      <w:bookmarkStart w:id="50" w:name="_Toc13883"/>
      <w:bookmarkStart w:id="51" w:name="_Toc9516073"/>
      <w:r>
        <w:rPr>
          <w:rFonts w:eastAsia="仿宋"/>
          <w:snapToGrid w:val="0"/>
          <w:color w:val="auto"/>
          <w:sz w:val="28"/>
          <w:lang w:val="en-US" w:eastAsia="zh-CN"/>
        </w:rPr>
        <w:t>2.1.1自然地理状况</w:t>
      </w:r>
      <w:bookmarkEnd w:id="47"/>
      <w:bookmarkEnd w:id="48"/>
      <w:bookmarkEnd w:id="49"/>
      <w:bookmarkEnd w:id="50"/>
      <w:bookmarkEnd w:id="51"/>
    </w:p>
    <w:p w14:paraId="2F2CB672">
      <w:pPr>
        <w:pStyle w:val="6"/>
        <w:bidi w:val="0"/>
        <w:rPr>
          <w:rFonts w:ascii="Times New Roman" w:hAnsi="Times New Roman" w:eastAsia="仿宋" w:cs="Times New Roman"/>
          <w:b/>
          <w:bCs/>
          <w:snapToGrid w:val="0"/>
          <w:color w:val="auto"/>
          <w:kern w:val="2"/>
          <w:sz w:val="28"/>
          <w:szCs w:val="32"/>
          <w:lang w:val="en-US" w:eastAsia="zh-CN" w:bidi="ar-SA"/>
        </w:rPr>
      </w:pPr>
      <w:r>
        <w:rPr>
          <w:rFonts w:ascii="Times New Roman" w:hAnsi="Times New Roman" w:eastAsia="仿宋" w:cs="Times New Roman"/>
          <w:b/>
          <w:bCs/>
          <w:snapToGrid w:val="0"/>
          <w:color w:val="auto"/>
          <w:kern w:val="2"/>
          <w:sz w:val="28"/>
          <w:szCs w:val="32"/>
          <w:lang w:val="en-US" w:eastAsia="zh-CN" w:bidi="ar-SA"/>
        </w:rPr>
        <w:t>2.1.1.1地理位置</w:t>
      </w:r>
    </w:p>
    <w:p w14:paraId="40B953A6">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Times New Roman" w:hAnsi="Times New Roman" w:eastAsia="方正仿宋_GBK" w:cs="Times New Roman"/>
          <w:color w:val="auto"/>
          <w:sz w:val="28"/>
          <w:szCs w:val="28"/>
          <w:shd w:val="clear" w:color="auto" w:fill="auto"/>
          <w:lang w:val="en-US" w:eastAsia="zh-CN"/>
        </w:rPr>
      </w:pPr>
      <w:r>
        <w:rPr>
          <w:rFonts w:hint="eastAsia" w:ascii="Times New Roman" w:hAnsi="Times New Roman" w:eastAsia="方正仿宋_GBK" w:cs="Times New Roman"/>
          <w:color w:val="auto"/>
          <w:sz w:val="28"/>
          <w:szCs w:val="28"/>
          <w:shd w:val="clear" w:color="auto" w:fill="auto"/>
          <w:lang w:val="en-US" w:eastAsia="zh-CN"/>
        </w:rPr>
        <w:t>新平彝族傣族自治县位于云南省中部偏西南，玉溪市西部，北纬23°38′15″～24°26′05″，东经101°16′30″～102°16′50″之间。东与峨山县毗邻，东南与元江县和红河州石屏县相连，西与普洱市镇沅县接壤，西南与普洱市墨江县相连，北隔绿汁江与楚雄州双柏县相望。县人民政府驻地桂山街道，海拔1480米，距省会昆明180公里，距玉溪市政府驻地红塔区90公里。全县国土总面积4223平方千米，占玉溪总面积的27.6%，其中山地面积占98%。</w:t>
      </w:r>
    </w:p>
    <w:p w14:paraId="20674650">
      <w:pPr>
        <w:pStyle w:val="6"/>
        <w:bidi w:val="0"/>
        <w:rPr>
          <w:rFonts w:ascii="Times New Roman" w:hAnsi="Times New Roman" w:eastAsia="仿宋" w:cs="Times New Roman"/>
          <w:b/>
          <w:bCs/>
          <w:snapToGrid w:val="0"/>
          <w:color w:val="auto"/>
          <w:kern w:val="2"/>
          <w:sz w:val="28"/>
          <w:szCs w:val="32"/>
          <w:lang w:val="en-US" w:eastAsia="zh-CN" w:bidi="ar-SA"/>
        </w:rPr>
      </w:pPr>
      <w:r>
        <w:rPr>
          <w:rFonts w:ascii="Times New Roman" w:hAnsi="Times New Roman" w:eastAsia="仿宋" w:cs="Times New Roman"/>
          <w:b/>
          <w:bCs/>
          <w:snapToGrid w:val="0"/>
          <w:color w:val="auto"/>
          <w:kern w:val="2"/>
          <w:sz w:val="28"/>
          <w:szCs w:val="32"/>
          <w:lang w:val="en-US" w:eastAsia="zh-CN" w:bidi="ar-SA"/>
        </w:rPr>
        <w:t>2.1.1.2地形地貌</w:t>
      </w:r>
    </w:p>
    <w:p w14:paraId="76C7EFEC">
      <w:pPr>
        <w:pageBreakBefore w:val="0"/>
        <w:widowControl/>
        <w:kinsoku/>
        <w:wordWrap/>
        <w:overflowPunct/>
        <w:autoSpaceDE/>
        <w:autoSpaceDN/>
        <w:bidi w:val="0"/>
        <w:adjustRightInd w:val="0"/>
        <w:snapToGrid w:val="0"/>
        <w:spacing w:line="500" w:lineRule="exact"/>
        <w:ind w:firstLine="560" w:firstLineChars="200"/>
        <w:textAlignment w:val="auto"/>
        <w:rPr>
          <w:rFonts w:hint="eastAsia" w:ascii="Times New Roman" w:hAnsi="Times New Roman" w:eastAsia="方正仿宋_GBK" w:cs="Times New Roman"/>
          <w:color w:val="auto"/>
          <w:sz w:val="32"/>
          <w:szCs w:val="32"/>
          <w:lang w:eastAsia="zh-CN"/>
        </w:rPr>
      </w:pPr>
      <w:r>
        <w:rPr>
          <w:rFonts w:hint="eastAsia" w:ascii="Times New Roman" w:hAnsi="Times New Roman" w:eastAsia="方正仿宋_GBK" w:cs="Times New Roman"/>
          <w:color w:val="auto"/>
          <w:sz w:val="28"/>
          <w:szCs w:val="28"/>
          <w:shd w:val="clear" w:color="auto" w:fill="auto"/>
          <w:lang w:val="en-US" w:eastAsia="zh-CN"/>
        </w:rPr>
        <w:t>新平县地质构造复杂，县境内河流切割较深，“V”型谷发育明显，地表崎岖，河流纵横，山高谷深，山区和河谷坝区区别明显，是典型的深切割中山地貌。地势西北高，东南低。红河自西北向东南斜贯而下，将县境分为东西两片，东面主要山峰有鲁奎山、磨盘山等，山脉走向为南北走向；西面为哀牢山区，主要山峰有大磨岩山、冒耳山等，山脉走向为西北至东南。境内最高海拔哀牢山主峰大磨岩山3165.9m，最低海拔漠沙镇阿迭村422m，相对高差2743.9m。地貌为山地和盆地两种主要类型，其中山区面积占总土地面积的98%，坝区面积占国土面积的2%。</w:t>
      </w:r>
    </w:p>
    <w:p w14:paraId="0F3A92F6">
      <w:pPr>
        <w:pStyle w:val="6"/>
        <w:bidi w:val="0"/>
        <w:rPr>
          <w:rFonts w:ascii="Times New Roman" w:hAnsi="Times New Roman" w:eastAsia="仿宋" w:cs="Times New Roman"/>
          <w:b/>
          <w:bCs/>
          <w:snapToGrid w:val="0"/>
          <w:color w:val="auto"/>
          <w:kern w:val="2"/>
          <w:sz w:val="28"/>
          <w:szCs w:val="32"/>
          <w:lang w:val="en-US" w:eastAsia="zh-CN" w:bidi="ar-SA"/>
        </w:rPr>
      </w:pPr>
      <w:r>
        <w:rPr>
          <w:rFonts w:ascii="Times New Roman" w:hAnsi="Times New Roman" w:eastAsia="仿宋" w:cs="Times New Roman"/>
          <w:b/>
          <w:bCs/>
          <w:snapToGrid w:val="0"/>
          <w:color w:val="auto"/>
          <w:kern w:val="2"/>
          <w:sz w:val="28"/>
          <w:szCs w:val="32"/>
          <w:lang w:val="en-US" w:eastAsia="zh-CN" w:bidi="ar-SA"/>
        </w:rPr>
        <w:t>2.1.1.3河流水系</w:t>
      </w:r>
    </w:p>
    <w:p w14:paraId="7CB6873D">
      <w:pPr>
        <w:pageBreakBefore w:val="0"/>
        <w:widowControl/>
        <w:kinsoku/>
        <w:wordWrap/>
        <w:overflowPunct/>
        <w:autoSpaceDE/>
        <w:autoSpaceDN/>
        <w:bidi w:val="0"/>
        <w:adjustRightInd w:val="0"/>
        <w:snapToGrid w:val="0"/>
        <w:spacing w:line="500" w:lineRule="exact"/>
        <w:ind w:firstLine="560" w:firstLineChars="200"/>
        <w:textAlignment w:val="auto"/>
        <w:rPr>
          <w:rFonts w:hint="eastAsia" w:ascii="Times New Roman" w:hAnsi="Times New Roman" w:eastAsia="方正仿宋_GBK" w:cs="Times New Roman"/>
          <w:color w:val="auto"/>
          <w:sz w:val="28"/>
          <w:szCs w:val="28"/>
          <w:shd w:val="clear" w:color="auto" w:fill="auto"/>
          <w:lang w:val="en-US" w:eastAsia="zh-CN"/>
        </w:rPr>
      </w:pPr>
      <w:r>
        <w:rPr>
          <w:rFonts w:hint="eastAsia" w:ascii="Times New Roman" w:hAnsi="Times New Roman" w:eastAsia="方正仿宋_GBK" w:cs="Times New Roman"/>
          <w:color w:val="auto"/>
          <w:sz w:val="28"/>
          <w:szCs w:val="28"/>
          <w:shd w:val="clear" w:color="auto" w:fill="auto"/>
          <w:lang w:val="en-US" w:eastAsia="zh-CN"/>
        </w:rPr>
        <w:t>新平县境内有大小河流32条，除班东河与麻大街河为李仙江水系外，其他均属元江水系。元江入新平县境内称戛洒江、漠沙江。流经新平县者竜、水塘、老厂、戛洒、漠沙等乡镇，沿哀牢山东麓斜贯县境，其中：三江口以上有两源，分别为石洋江、绿汁江，中段称戛洒江，河口大桥以下称漠沙江，并于漠沙阿迭村向西注入元江县境。因河床比降缓，县境内113.7km的流程，落差仅134m，平均比降1.1‰，元江流域面积9989km²，县境内流域面积3981.3km²。沿江两岸较大支流有绿汁江、大春河、棉花河、比里河、困龙河、南恩河、峨德河、丫味河（十里河）、西尼河、马龙河、蚌岗河、挖窖河等。</w:t>
      </w:r>
    </w:p>
    <w:p w14:paraId="0CD542B4">
      <w:pPr>
        <w:pStyle w:val="6"/>
        <w:bidi w:val="0"/>
        <w:rPr>
          <w:rFonts w:hint="eastAsia" w:ascii="Times New Roman" w:hAnsi="Times New Roman" w:eastAsia="仿宋" w:cs="Times New Roman"/>
          <w:b/>
          <w:bCs/>
          <w:snapToGrid w:val="0"/>
          <w:color w:val="auto"/>
          <w:kern w:val="2"/>
          <w:sz w:val="28"/>
          <w:szCs w:val="32"/>
          <w:lang w:val="en-US" w:eastAsia="zh-CN" w:bidi="ar-SA"/>
        </w:rPr>
      </w:pPr>
      <w:r>
        <w:rPr>
          <w:rFonts w:ascii="Times New Roman" w:hAnsi="Times New Roman" w:eastAsia="仿宋" w:cs="Times New Roman"/>
          <w:b/>
          <w:bCs/>
          <w:snapToGrid w:val="0"/>
          <w:color w:val="auto"/>
          <w:kern w:val="2"/>
          <w:sz w:val="28"/>
          <w:szCs w:val="32"/>
          <w:lang w:val="en-US" w:eastAsia="zh-CN" w:bidi="ar-SA"/>
        </w:rPr>
        <w:t>2.1.1.4土壤</w:t>
      </w:r>
      <w:r>
        <w:rPr>
          <w:rFonts w:hint="eastAsia" w:ascii="Times New Roman" w:hAnsi="Times New Roman" w:eastAsia="仿宋" w:cs="Times New Roman"/>
          <w:b/>
          <w:bCs/>
          <w:snapToGrid w:val="0"/>
          <w:color w:val="auto"/>
          <w:kern w:val="2"/>
          <w:sz w:val="28"/>
          <w:szCs w:val="32"/>
          <w:lang w:val="en-US" w:eastAsia="zh-CN" w:bidi="ar-SA"/>
        </w:rPr>
        <w:t>植被</w:t>
      </w:r>
    </w:p>
    <w:p w14:paraId="02FCA638">
      <w:pPr>
        <w:pageBreakBefore w:val="0"/>
        <w:widowControl/>
        <w:kinsoku/>
        <w:wordWrap/>
        <w:overflowPunct/>
        <w:autoSpaceDE/>
        <w:autoSpaceDN/>
        <w:bidi w:val="0"/>
        <w:adjustRightInd w:val="0"/>
        <w:snapToGrid w:val="0"/>
        <w:spacing w:line="500" w:lineRule="exact"/>
        <w:ind w:firstLine="560" w:firstLineChars="200"/>
        <w:textAlignment w:val="auto"/>
        <w:rPr>
          <w:rFonts w:hint="eastAsia" w:ascii="Times New Roman" w:hAnsi="Times New Roman" w:eastAsia="方正仿宋_GBK" w:cs="Times New Roman"/>
          <w:color w:val="auto"/>
          <w:sz w:val="28"/>
          <w:szCs w:val="28"/>
          <w:shd w:val="clear" w:color="auto" w:fill="auto"/>
          <w:lang w:val="en-US" w:eastAsia="zh-CN"/>
        </w:rPr>
      </w:pPr>
      <w:r>
        <w:rPr>
          <w:rFonts w:hint="eastAsia" w:ascii="Times New Roman" w:hAnsi="Times New Roman" w:eastAsia="方正仿宋_GBK" w:cs="Times New Roman"/>
          <w:color w:val="auto"/>
          <w:sz w:val="28"/>
          <w:szCs w:val="28"/>
          <w:shd w:val="clear" w:color="auto" w:fill="auto"/>
          <w:lang w:val="en-US" w:eastAsia="zh-CN"/>
        </w:rPr>
        <w:t>县境内生物资源十分丰富，森林覆盖率达64.60％，已知有高等植物219科，762属，1402种。全县最具有代表性的是：哀牢山自然保护区覆盖着面积较大的原始亚热带中山湿性常绿阔叶林；元江以东是云南松为主要乔木树种的暖性森林植被；平掌谷麻江一带是思毛松为代表的暖热性森林植被；红河谷两岸是以木棉为主要树种的干热河谷稀树灌木草丛植被。广阔的山区生物资源物产丰富，盛产茶叶、木耳、笋丝及品种丰富的野生菌。戛洒、漠沙沿江两岸属热带地区，盛产水稻、甘蔗、香蕉、芒果、菠萝、荔枝等水果。药用植物主要有：菌芋、青羊参、露水草、茯苓、草乌、紫党参、散血丹、何首乌、龙胆草、刺桐等。</w:t>
      </w:r>
    </w:p>
    <w:p w14:paraId="63AC3C56">
      <w:pPr>
        <w:pageBreakBefore w:val="0"/>
        <w:widowControl/>
        <w:kinsoku/>
        <w:wordWrap/>
        <w:overflowPunct/>
        <w:autoSpaceDE/>
        <w:autoSpaceDN/>
        <w:bidi w:val="0"/>
        <w:adjustRightInd w:val="0"/>
        <w:snapToGrid w:val="0"/>
        <w:spacing w:line="500" w:lineRule="exact"/>
        <w:ind w:firstLine="560" w:firstLineChars="200"/>
        <w:textAlignment w:val="auto"/>
        <w:rPr>
          <w:rFonts w:hint="eastAsia" w:ascii="Times New Roman" w:hAnsi="Times New Roman" w:eastAsia="方正仿宋_GBK" w:cs="Times New Roman"/>
          <w:color w:val="auto"/>
          <w:sz w:val="28"/>
          <w:szCs w:val="28"/>
          <w:shd w:val="clear" w:color="auto" w:fill="auto"/>
          <w:lang w:val="en-US" w:eastAsia="zh-CN"/>
        </w:rPr>
      </w:pPr>
      <w:r>
        <w:rPr>
          <w:rFonts w:hint="eastAsia" w:ascii="Times New Roman" w:hAnsi="Times New Roman" w:eastAsia="方正仿宋_GBK" w:cs="Times New Roman"/>
          <w:color w:val="auto"/>
          <w:sz w:val="28"/>
          <w:szCs w:val="28"/>
          <w:shd w:val="clear" w:color="auto" w:fill="auto"/>
          <w:lang w:val="en-US" w:eastAsia="zh-CN"/>
        </w:rPr>
        <w:t>据新平土壤普查资料，全县土壤划分为燥红土、赤红壤、红壤、黄棕壤、棕壤、亚高山草甸土、紫色土和水稻土8个土类，13个亚类25个土属54个土种。由于历次造山运动的变迁，境内山高谷深，气候复杂，土壤的分布不仅有区域性的变化，还有更为明显的垂直地带性分布。</w:t>
      </w:r>
    </w:p>
    <w:p w14:paraId="28119616">
      <w:pPr>
        <w:pStyle w:val="6"/>
        <w:bidi w:val="0"/>
        <w:rPr>
          <w:rFonts w:hint="eastAsia" w:ascii="Times New Roman" w:hAnsi="Times New Roman" w:eastAsia="仿宋" w:cs="Times New Roman"/>
          <w:b/>
          <w:bCs/>
          <w:snapToGrid w:val="0"/>
          <w:color w:val="auto"/>
          <w:kern w:val="2"/>
          <w:sz w:val="28"/>
          <w:szCs w:val="32"/>
          <w:lang w:val="en-US" w:eastAsia="zh-CN" w:bidi="ar-SA"/>
        </w:rPr>
      </w:pPr>
      <w:r>
        <w:rPr>
          <w:rFonts w:ascii="Times New Roman" w:hAnsi="Times New Roman" w:eastAsia="仿宋" w:cs="Times New Roman"/>
          <w:b/>
          <w:bCs/>
          <w:snapToGrid w:val="0"/>
          <w:color w:val="auto"/>
          <w:kern w:val="2"/>
          <w:sz w:val="28"/>
          <w:szCs w:val="32"/>
          <w:lang w:val="en-US" w:eastAsia="zh-CN" w:bidi="ar-SA"/>
        </w:rPr>
        <w:t>2.1.1.</w:t>
      </w:r>
      <w:r>
        <w:rPr>
          <w:rFonts w:hint="eastAsia" w:ascii="Times New Roman" w:hAnsi="Times New Roman" w:eastAsia="仿宋" w:cs="Times New Roman"/>
          <w:b/>
          <w:bCs/>
          <w:snapToGrid w:val="0"/>
          <w:color w:val="auto"/>
          <w:kern w:val="2"/>
          <w:sz w:val="28"/>
          <w:szCs w:val="32"/>
          <w:lang w:val="en-US" w:eastAsia="zh-CN" w:bidi="ar-SA"/>
        </w:rPr>
        <w:t>5</w:t>
      </w:r>
      <w:r>
        <w:rPr>
          <w:rFonts w:ascii="Times New Roman" w:hAnsi="Times New Roman" w:eastAsia="仿宋" w:cs="Times New Roman"/>
          <w:b/>
          <w:bCs/>
          <w:snapToGrid w:val="0"/>
          <w:color w:val="auto"/>
          <w:kern w:val="2"/>
          <w:sz w:val="28"/>
          <w:szCs w:val="32"/>
          <w:lang w:val="en-US" w:eastAsia="zh-CN" w:bidi="ar-SA"/>
        </w:rPr>
        <w:t>气候</w:t>
      </w:r>
      <w:r>
        <w:rPr>
          <w:rFonts w:hint="eastAsia" w:ascii="Times New Roman" w:hAnsi="Times New Roman" w:eastAsia="仿宋" w:cs="Times New Roman"/>
          <w:b/>
          <w:bCs/>
          <w:snapToGrid w:val="0"/>
          <w:color w:val="auto"/>
          <w:kern w:val="2"/>
          <w:sz w:val="28"/>
          <w:szCs w:val="32"/>
          <w:lang w:val="en-US" w:eastAsia="zh-CN" w:bidi="ar-SA"/>
        </w:rPr>
        <w:t>气象</w:t>
      </w:r>
    </w:p>
    <w:p w14:paraId="7DE5BB70">
      <w:pPr>
        <w:pageBreakBefore w:val="0"/>
        <w:widowControl/>
        <w:kinsoku/>
        <w:wordWrap/>
        <w:overflowPunct/>
        <w:autoSpaceDE/>
        <w:autoSpaceDN/>
        <w:bidi w:val="0"/>
        <w:adjustRightInd w:val="0"/>
        <w:snapToGrid w:val="0"/>
        <w:spacing w:line="500" w:lineRule="exact"/>
        <w:ind w:firstLine="560" w:firstLineChars="200"/>
        <w:textAlignment w:val="auto"/>
        <w:rPr>
          <w:rFonts w:hint="eastAsia" w:ascii="Times New Roman" w:hAnsi="Times New Roman" w:eastAsia="方正仿宋_GBK" w:cs="Times New Roman"/>
          <w:color w:val="auto"/>
          <w:sz w:val="28"/>
          <w:szCs w:val="28"/>
          <w:shd w:val="clear" w:color="auto" w:fill="auto"/>
          <w:lang w:val="en-US" w:eastAsia="zh-CN"/>
        </w:rPr>
      </w:pPr>
      <w:r>
        <w:rPr>
          <w:rFonts w:hint="eastAsia" w:ascii="Times New Roman" w:hAnsi="Times New Roman" w:eastAsia="方正仿宋_GBK" w:cs="Times New Roman"/>
          <w:color w:val="auto"/>
          <w:sz w:val="28"/>
          <w:szCs w:val="28"/>
          <w:shd w:val="clear" w:color="auto" w:fill="auto"/>
          <w:lang w:val="en-US" w:eastAsia="zh-CN"/>
        </w:rPr>
        <w:t>新平县紧邻云南省气候分界线哀牢山以东，属中亚热带气候，由于地形复杂，高差悬殊，又可分为河谷高温区、半山暖温区和高山寒温区3个气候区域，河谷高温区为海拔在1300m以下区域，其特点是地势平缓，气候炎热干燥，少霜冻，年均气温23℃，降水量小于900mm，为全季水稻、甘蔗、蔬菜及亚热带水果的主产区，素有“天然温室”之称；半山暖温区为海拔1300m－1900之间区域，年均气温17.4℃，年降水量900mm－1100mm，适宜于粮食作物和油菜、烤烟等经济作物生长；高山寒温区为海拔超过1900m以上区域，年均气温15℃，年降水量超过1200mm－2000mm，气候冷凉，雨量充沛，有大片的原始森林和广阔的荒山草地，生态保持较好，具有发展珍稀药材、经济林木、畜牧业及旅游业等自然优势。</w:t>
      </w:r>
    </w:p>
    <w:p w14:paraId="183E1526">
      <w:pPr>
        <w:pageBreakBefore w:val="0"/>
        <w:widowControl/>
        <w:kinsoku/>
        <w:wordWrap/>
        <w:overflowPunct/>
        <w:autoSpaceDE/>
        <w:autoSpaceDN/>
        <w:bidi w:val="0"/>
        <w:adjustRightInd w:val="0"/>
        <w:snapToGrid w:val="0"/>
        <w:spacing w:line="500" w:lineRule="exact"/>
        <w:ind w:firstLine="560" w:firstLineChars="200"/>
        <w:textAlignment w:val="auto"/>
        <w:rPr>
          <w:rFonts w:hint="eastAsia" w:ascii="Times New Roman" w:hAnsi="Times New Roman" w:eastAsia="方正仿宋_GBK" w:cs="Times New Roman"/>
          <w:color w:val="auto"/>
          <w:sz w:val="28"/>
          <w:szCs w:val="28"/>
          <w:shd w:val="clear" w:color="auto" w:fill="auto"/>
          <w:lang w:val="en-US" w:eastAsia="zh-CN"/>
        </w:rPr>
      </w:pPr>
      <w:r>
        <w:rPr>
          <w:rFonts w:hint="eastAsia" w:ascii="Times New Roman" w:hAnsi="Times New Roman" w:eastAsia="方正仿宋_GBK" w:cs="Times New Roman"/>
          <w:color w:val="auto"/>
          <w:sz w:val="28"/>
          <w:szCs w:val="28"/>
          <w:shd w:val="clear" w:color="auto" w:fill="auto"/>
          <w:lang w:val="en-US" w:eastAsia="zh-CN"/>
        </w:rPr>
        <w:t>县境每年</w:t>
      </w:r>
      <w:r>
        <w:rPr>
          <w:rFonts w:hint="default" w:ascii="Times New Roman" w:hAnsi="Times New Roman" w:eastAsia="方正仿宋_GBK" w:cs="Times New Roman"/>
          <w:color w:val="auto"/>
          <w:sz w:val="28"/>
          <w:szCs w:val="28"/>
          <w:shd w:val="clear" w:color="auto" w:fill="auto"/>
          <w:lang w:val="en-US" w:eastAsia="zh-CN"/>
        </w:rPr>
        <w:t>11</w:t>
      </w:r>
      <w:r>
        <w:rPr>
          <w:rFonts w:hint="eastAsia" w:ascii="Times New Roman" w:hAnsi="Times New Roman" w:eastAsia="方正仿宋_GBK" w:cs="Times New Roman"/>
          <w:color w:val="auto"/>
          <w:sz w:val="28"/>
          <w:szCs w:val="28"/>
          <w:shd w:val="clear" w:color="auto" w:fill="auto"/>
          <w:lang w:val="en-US" w:eastAsia="zh-CN"/>
        </w:rPr>
        <w:t>月至次年</w:t>
      </w:r>
      <w:r>
        <w:rPr>
          <w:rFonts w:hint="default" w:ascii="Times New Roman" w:hAnsi="Times New Roman" w:eastAsia="方正仿宋_GBK" w:cs="Times New Roman"/>
          <w:color w:val="auto"/>
          <w:sz w:val="28"/>
          <w:szCs w:val="28"/>
          <w:shd w:val="clear" w:color="auto" w:fill="auto"/>
          <w:lang w:val="en-US" w:eastAsia="zh-CN"/>
        </w:rPr>
        <w:t>4</w:t>
      </w:r>
      <w:r>
        <w:rPr>
          <w:rFonts w:hint="eastAsia" w:ascii="Times New Roman" w:hAnsi="Times New Roman" w:eastAsia="方正仿宋_GBK" w:cs="Times New Roman"/>
          <w:color w:val="auto"/>
          <w:sz w:val="28"/>
          <w:szCs w:val="28"/>
          <w:shd w:val="clear" w:color="auto" w:fill="auto"/>
          <w:lang w:val="en-US" w:eastAsia="zh-CN"/>
        </w:rPr>
        <w:t>月，主要受热带大陆气团控制，晴朗少云，日照充足，湿度小、风速大，气候温暖干燥，</w:t>
      </w:r>
      <w:r>
        <w:rPr>
          <w:rFonts w:hint="default" w:ascii="Times New Roman" w:hAnsi="Times New Roman" w:eastAsia="方正仿宋_GBK" w:cs="Times New Roman"/>
          <w:color w:val="auto"/>
          <w:sz w:val="28"/>
          <w:szCs w:val="28"/>
          <w:shd w:val="clear" w:color="auto" w:fill="auto"/>
          <w:lang w:val="en-US" w:eastAsia="zh-CN"/>
        </w:rPr>
        <w:t>5</w:t>
      </w:r>
      <w:r>
        <w:rPr>
          <w:rFonts w:hint="eastAsia" w:ascii="Times New Roman" w:hAnsi="Times New Roman" w:eastAsia="方正仿宋_GBK" w:cs="Times New Roman"/>
          <w:color w:val="auto"/>
          <w:sz w:val="28"/>
          <w:szCs w:val="28"/>
          <w:shd w:val="clear" w:color="auto" w:fill="auto"/>
          <w:lang w:val="en-US" w:eastAsia="zh-CN"/>
        </w:rPr>
        <w:t>～</w:t>
      </w:r>
      <w:r>
        <w:rPr>
          <w:rFonts w:hint="default" w:ascii="Times New Roman" w:hAnsi="Times New Roman" w:eastAsia="方正仿宋_GBK" w:cs="Times New Roman"/>
          <w:color w:val="auto"/>
          <w:sz w:val="28"/>
          <w:szCs w:val="28"/>
          <w:shd w:val="clear" w:color="auto" w:fill="auto"/>
          <w:lang w:val="en-US" w:eastAsia="zh-CN"/>
        </w:rPr>
        <w:t>10</w:t>
      </w:r>
      <w:r>
        <w:rPr>
          <w:rFonts w:hint="eastAsia" w:ascii="Times New Roman" w:hAnsi="Times New Roman" w:eastAsia="方正仿宋_GBK" w:cs="Times New Roman"/>
          <w:color w:val="auto"/>
          <w:sz w:val="28"/>
          <w:szCs w:val="28"/>
          <w:shd w:val="clear" w:color="auto" w:fill="auto"/>
          <w:lang w:val="en-US" w:eastAsia="zh-CN"/>
        </w:rPr>
        <w:t>月由于受带有大量水汽的西南季风的影响而为雨季，湿热、多雨，日照相对较少。因海拔高低悬殊，立体气候明显，具有冬无严寒、夏无酷暑、雨量集中、干湿季分明、雨热同期、干凉同步、四季之分不明显的特点。全县多年平均气温</w:t>
      </w:r>
      <w:r>
        <w:rPr>
          <w:rFonts w:hint="default" w:ascii="Times New Roman" w:hAnsi="Times New Roman" w:eastAsia="方正仿宋_GBK" w:cs="Times New Roman"/>
          <w:color w:val="auto"/>
          <w:sz w:val="28"/>
          <w:szCs w:val="28"/>
          <w:shd w:val="clear" w:color="auto" w:fill="auto"/>
          <w:lang w:val="en-US" w:eastAsia="zh-CN"/>
        </w:rPr>
        <w:t>17.3℃</w:t>
      </w:r>
      <w:r>
        <w:rPr>
          <w:rFonts w:hint="eastAsia" w:ascii="Times New Roman" w:hAnsi="Times New Roman" w:eastAsia="方正仿宋_GBK" w:cs="Times New Roman"/>
          <w:color w:val="auto"/>
          <w:sz w:val="28"/>
          <w:szCs w:val="28"/>
          <w:shd w:val="clear" w:color="auto" w:fill="auto"/>
          <w:lang w:val="en-US" w:eastAsia="zh-CN"/>
        </w:rPr>
        <w:t>，年平均降雨量</w:t>
      </w:r>
      <w:r>
        <w:rPr>
          <w:rFonts w:hint="default" w:ascii="Times New Roman" w:hAnsi="Times New Roman" w:eastAsia="方正仿宋_GBK" w:cs="Times New Roman"/>
          <w:color w:val="auto"/>
          <w:sz w:val="28"/>
          <w:szCs w:val="28"/>
          <w:shd w:val="clear" w:color="auto" w:fill="auto"/>
          <w:lang w:val="en-US" w:eastAsia="zh-CN"/>
        </w:rPr>
        <w:t>966.6mm</w:t>
      </w:r>
      <w:r>
        <w:rPr>
          <w:rFonts w:hint="eastAsia" w:ascii="Times New Roman" w:hAnsi="Times New Roman" w:eastAsia="方正仿宋_GBK" w:cs="Times New Roman"/>
          <w:color w:val="auto"/>
          <w:sz w:val="28"/>
          <w:szCs w:val="28"/>
          <w:shd w:val="clear" w:color="auto" w:fill="auto"/>
          <w:lang w:val="en-US" w:eastAsia="zh-CN"/>
        </w:rPr>
        <w:t>，年平均日照时数</w:t>
      </w:r>
      <w:r>
        <w:rPr>
          <w:rFonts w:hint="default" w:ascii="Times New Roman" w:hAnsi="Times New Roman" w:eastAsia="方正仿宋_GBK" w:cs="Times New Roman"/>
          <w:color w:val="auto"/>
          <w:sz w:val="28"/>
          <w:szCs w:val="28"/>
          <w:shd w:val="clear" w:color="auto" w:fill="auto"/>
          <w:lang w:val="en-US" w:eastAsia="zh-CN"/>
        </w:rPr>
        <w:t>2323.5</w:t>
      </w:r>
      <w:r>
        <w:rPr>
          <w:rFonts w:hint="eastAsia" w:ascii="Times New Roman" w:hAnsi="Times New Roman" w:eastAsia="方正仿宋_GBK" w:cs="Times New Roman"/>
          <w:color w:val="auto"/>
          <w:sz w:val="28"/>
          <w:szCs w:val="28"/>
          <w:shd w:val="clear" w:color="auto" w:fill="auto"/>
          <w:lang w:val="en-US" w:eastAsia="zh-CN"/>
        </w:rPr>
        <w:t>小时，无霜期</w:t>
      </w:r>
      <w:r>
        <w:rPr>
          <w:rFonts w:hint="default" w:ascii="Times New Roman" w:hAnsi="Times New Roman" w:eastAsia="方正仿宋_GBK" w:cs="Times New Roman"/>
          <w:color w:val="auto"/>
          <w:sz w:val="28"/>
          <w:szCs w:val="28"/>
          <w:shd w:val="clear" w:color="auto" w:fill="auto"/>
          <w:lang w:val="en-US" w:eastAsia="zh-CN"/>
        </w:rPr>
        <w:t>312</w:t>
      </w:r>
      <w:r>
        <w:rPr>
          <w:rFonts w:hint="eastAsia" w:ascii="Times New Roman" w:hAnsi="Times New Roman" w:eastAsia="方正仿宋_GBK" w:cs="Times New Roman"/>
          <w:color w:val="auto"/>
          <w:sz w:val="28"/>
          <w:szCs w:val="28"/>
          <w:shd w:val="clear" w:color="auto" w:fill="auto"/>
          <w:lang w:val="en-US" w:eastAsia="zh-CN"/>
        </w:rPr>
        <w:t>天。</w:t>
      </w:r>
    </w:p>
    <w:p w14:paraId="7F7DF65E">
      <w:pPr>
        <w:keepNext/>
        <w:keepLines/>
        <w:pageBreakBefore w:val="0"/>
        <w:widowControl w:val="0"/>
        <w:kinsoku/>
        <w:wordWrap/>
        <w:overflowPunct/>
        <w:autoSpaceDE/>
        <w:autoSpaceDN/>
        <w:bidi w:val="0"/>
        <w:spacing w:before="260" w:after="260" w:line="500" w:lineRule="exact"/>
        <w:jc w:val="both"/>
        <w:textAlignment w:val="auto"/>
        <w:outlineLvl w:val="2"/>
        <w:rPr>
          <w:rFonts w:ascii="Times New Roman" w:hAnsi="Times New Roman" w:eastAsia="方正仿宋_GBK" w:cs="Times New Roman"/>
          <w:b/>
          <w:bCs/>
          <w:color w:val="auto"/>
          <w:kern w:val="2"/>
          <w:sz w:val="28"/>
          <w:szCs w:val="28"/>
          <w:lang w:val="en-US" w:eastAsia="zh-CN" w:bidi="ar-SA"/>
        </w:rPr>
      </w:pPr>
      <w:bookmarkStart w:id="52" w:name="_Toc17059"/>
      <w:bookmarkStart w:id="53" w:name="_Toc112155761"/>
      <w:r>
        <w:rPr>
          <w:rFonts w:ascii="Times New Roman" w:hAnsi="Times New Roman" w:eastAsia="方正仿宋_GBK" w:cs="Times New Roman"/>
          <w:b/>
          <w:bCs/>
          <w:color w:val="auto"/>
          <w:kern w:val="2"/>
          <w:sz w:val="28"/>
          <w:szCs w:val="28"/>
          <w:lang w:val="en-US" w:eastAsia="zh-CN" w:bidi="ar-SA"/>
        </w:rPr>
        <w:t>2.1.2社会概况</w:t>
      </w:r>
      <w:bookmarkEnd w:id="52"/>
      <w:bookmarkEnd w:id="53"/>
    </w:p>
    <w:p w14:paraId="0D85FD4E">
      <w:pPr>
        <w:pStyle w:val="6"/>
        <w:bidi w:val="0"/>
        <w:rPr>
          <w:rFonts w:ascii="Times New Roman" w:hAnsi="Times New Roman" w:eastAsia="仿宋" w:cs="Times New Roman"/>
          <w:b/>
          <w:bCs/>
          <w:snapToGrid w:val="0"/>
          <w:color w:val="auto"/>
          <w:kern w:val="2"/>
          <w:sz w:val="28"/>
          <w:szCs w:val="32"/>
          <w:lang w:val="en-US" w:eastAsia="zh-CN" w:bidi="ar-SA"/>
        </w:rPr>
      </w:pPr>
      <w:r>
        <w:rPr>
          <w:rFonts w:ascii="Times New Roman" w:hAnsi="Times New Roman" w:eastAsia="仿宋" w:cs="Times New Roman"/>
          <w:b/>
          <w:bCs/>
          <w:snapToGrid w:val="0"/>
          <w:color w:val="auto"/>
          <w:kern w:val="2"/>
          <w:sz w:val="28"/>
          <w:szCs w:val="32"/>
          <w:lang w:val="en-US" w:eastAsia="zh-CN" w:bidi="ar-SA"/>
        </w:rPr>
        <w:t>2.1.2.1行政区划</w:t>
      </w:r>
    </w:p>
    <w:p w14:paraId="3DC7EEA0">
      <w:pPr>
        <w:pageBreakBefore w:val="0"/>
        <w:widowControl/>
        <w:kinsoku/>
        <w:wordWrap/>
        <w:overflowPunct/>
        <w:autoSpaceDE/>
        <w:autoSpaceDN/>
        <w:bidi w:val="0"/>
        <w:adjustRightInd w:val="0"/>
        <w:snapToGrid w:val="0"/>
        <w:spacing w:line="500" w:lineRule="exact"/>
        <w:ind w:firstLine="560" w:firstLineChars="200"/>
        <w:textAlignment w:val="auto"/>
        <w:rPr>
          <w:rFonts w:hint="eastAsia" w:ascii="Times New Roman" w:hAnsi="Times New Roman" w:eastAsia="方正仿宋_GBK" w:cs="Times New Roman"/>
          <w:color w:val="auto"/>
          <w:sz w:val="28"/>
          <w:szCs w:val="28"/>
          <w:shd w:val="clear" w:color="auto" w:fill="auto"/>
          <w:lang w:val="en-US" w:eastAsia="zh-CN"/>
        </w:rPr>
      </w:pPr>
      <w:r>
        <w:rPr>
          <w:rFonts w:hint="eastAsia" w:ascii="Times New Roman" w:hAnsi="Times New Roman" w:eastAsia="方正仿宋_GBK" w:cs="Times New Roman"/>
          <w:color w:val="auto"/>
          <w:sz w:val="28"/>
          <w:szCs w:val="28"/>
          <w:shd w:val="clear" w:color="auto" w:fill="auto"/>
          <w:lang w:val="en-US" w:eastAsia="zh-CN"/>
        </w:rPr>
        <w:t>新平县辖2街道、4镇、6乡，桂山街道办事处、古城街道办事处、扬武镇、漠沙镇、戛洒镇、水塘镇及平甸乡、新化乡、老厂乡、建兴乡、平掌乡、者竜乡，共设村（居）民委员会124个，村（居）民小组1483个，县人民政府驻桂山街道办事处。</w:t>
      </w:r>
    </w:p>
    <w:p w14:paraId="11CCF90D">
      <w:pPr>
        <w:pStyle w:val="6"/>
        <w:bidi w:val="0"/>
        <w:rPr>
          <w:rFonts w:ascii="Times New Roman" w:hAnsi="Times New Roman" w:eastAsia="仿宋" w:cs="Times New Roman"/>
          <w:b/>
          <w:bCs/>
          <w:snapToGrid w:val="0"/>
          <w:color w:val="auto"/>
          <w:kern w:val="2"/>
          <w:sz w:val="28"/>
          <w:szCs w:val="32"/>
          <w:lang w:val="en-US" w:eastAsia="zh-CN" w:bidi="ar-SA"/>
        </w:rPr>
      </w:pPr>
      <w:r>
        <w:rPr>
          <w:rFonts w:ascii="Times New Roman" w:hAnsi="Times New Roman" w:eastAsia="仿宋" w:cs="Times New Roman"/>
          <w:b/>
          <w:bCs/>
          <w:snapToGrid w:val="0"/>
          <w:color w:val="auto"/>
          <w:kern w:val="2"/>
          <w:sz w:val="28"/>
          <w:szCs w:val="32"/>
          <w:lang w:val="en-US" w:eastAsia="zh-CN" w:bidi="ar-SA"/>
        </w:rPr>
        <w:t>2.1.2.2社会状况</w:t>
      </w:r>
    </w:p>
    <w:p w14:paraId="6C7C81E4">
      <w:pPr>
        <w:pageBreakBefore w:val="0"/>
        <w:widowControl/>
        <w:kinsoku/>
        <w:wordWrap/>
        <w:overflowPunct/>
        <w:autoSpaceDE/>
        <w:autoSpaceDN/>
        <w:bidi w:val="0"/>
        <w:adjustRightInd w:val="0"/>
        <w:snapToGrid w:val="0"/>
        <w:spacing w:line="500" w:lineRule="exact"/>
        <w:ind w:firstLine="560" w:firstLineChars="200"/>
        <w:textAlignment w:val="auto"/>
        <w:rPr>
          <w:rFonts w:hint="eastAsia" w:ascii="Times New Roman" w:hAnsi="Times New Roman" w:eastAsia="方正仿宋_GBK" w:cs="Times New Roman"/>
          <w:color w:val="auto"/>
          <w:sz w:val="28"/>
          <w:szCs w:val="28"/>
          <w:shd w:val="clear" w:color="auto" w:fill="auto"/>
          <w:lang w:val="en-US" w:eastAsia="zh-CN"/>
        </w:rPr>
      </w:pPr>
      <w:r>
        <w:rPr>
          <w:rFonts w:hint="eastAsia" w:ascii="Times New Roman" w:hAnsi="Times New Roman" w:eastAsia="方正仿宋_GBK" w:cs="Times New Roman"/>
          <w:color w:val="auto"/>
          <w:sz w:val="28"/>
          <w:szCs w:val="28"/>
          <w:shd w:val="clear" w:color="auto" w:fill="auto"/>
          <w:lang w:val="en-US" w:eastAsia="zh-CN"/>
        </w:rPr>
        <w:t>人口：全县总人口（常住人口）为262771人。各乡（镇、街道）中，常住人口超过3万人的有桂山街道、漠沙镇、戛洒镇，在1万人至3万人之间的有古城街道、扬武镇、水塘镇、新化乡、建兴乡、老厂乡，不到1万人的有平甸乡、者竜乡、平掌乡。全县人口中，汉族人口为79462人，占总人口的30.24%；各少数民族人口为183309人，占总人口的69.76%，其中：彝族人口为126468人，占总人口的48.13%，傣族人口为36818人，占总人口的14.01%。全县常住人口城镇化率由2017年的39.24%提高到2021年的40.24%。</w:t>
      </w:r>
    </w:p>
    <w:p w14:paraId="5267A0F7">
      <w:pPr>
        <w:pageBreakBefore w:val="0"/>
        <w:widowControl/>
        <w:kinsoku/>
        <w:wordWrap/>
        <w:overflowPunct/>
        <w:autoSpaceDE/>
        <w:autoSpaceDN/>
        <w:bidi w:val="0"/>
        <w:adjustRightInd w:val="0"/>
        <w:snapToGrid w:val="0"/>
        <w:spacing w:line="500" w:lineRule="exact"/>
        <w:ind w:firstLine="560" w:firstLineChars="200"/>
        <w:textAlignment w:val="auto"/>
        <w:rPr>
          <w:rFonts w:hint="eastAsia" w:ascii="Times New Roman" w:hAnsi="Times New Roman" w:eastAsia="方正仿宋_GBK" w:cs="Times New Roman"/>
          <w:color w:val="auto"/>
          <w:sz w:val="28"/>
          <w:szCs w:val="28"/>
          <w:shd w:val="clear" w:color="auto" w:fill="auto"/>
          <w:lang w:val="en-US" w:eastAsia="zh-CN"/>
        </w:rPr>
      </w:pPr>
      <w:r>
        <w:rPr>
          <w:rFonts w:hint="eastAsia" w:ascii="Times New Roman" w:hAnsi="Times New Roman" w:eastAsia="方正仿宋_GBK" w:cs="Times New Roman"/>
          <w:color w:val="auto"/>
          <w:sz w:val="28"/>
          <w:szCs w:val="28"/>
          <w:shd w:val="clear" w:color="auto" w:fill="auto"/>
          <w:lang w:val="en-US" w:eastAsia="zh-CN"/>
        </w:rPr>
        <w:t>居民生活：2021年，新平县完成地区生产总值243.8亿元，同比增长10.9%；三次产业结构比优化为14.7:40.2:45.1。2017年、2019年、2020年荣获省级“县域跨越发展先进县”称号，2018年被列为全省“县域经济发展10强县”，综合实力稳居全省29个少数民族自治县前列。</w:t>
      </w:r>
    </w:p>
    <w:p w14:paraId="3E1309CF">
      <w:pPr>
        <w:pStyle w:val="6"/>
        <w:bidi w:val="0"/>
        <w:rPr>
          <w:rFonts w:ascii="Times New Roman" w:hAnsi="Times New Roman" w:eastAsia="仿宋" w:cs="Times New Roman"/>
          <w:b/>
          <w:bCs/>
          <w:snapToGrid w:val="0"/>
          <w:color w:val="auto"/>
          <w:kern w:val="2"/>
          <w:sz w:val="28"/>
          <w:szCs w:val="32"/>
          <w:lang w:val="en-US" w:eastAsia="zh-CN" w:bidi="ar-SA"/>
        </w:rPr>
      </w:pPr>
      <w:r>
        <w:rPr>
          <w:rFonts w:ascii="Times New Roman" w:hAnsi="Times New Roman" w:eastAsia="仿宋" w:cs="Times New Roman"/>
          <w:b/>
          <w:bCs/>
          <w:snapToGrid w:val="0"/>
          <w:color w:val="auto"/>
          <w:kern w:val="2"/>
          <w:sz w:val="28"/>
          <w:szCs w:val="32"/>
          <w:lang w:val="en-US" w:eastAsia="zh-CN" w:bidi="ar-SA"/>
        </w:rPr>
        <w:t>2.1.2.</w:t>
      </w:r>
      <w:r>
        <w:rPr>
          <w:rFonts w:hint="eastAsia" w:ascii="Times New Roman" w:hAnsi="Times New Roman" w:eastAsia="仿宋" w:cs="Times New Roman"/>
          <w:b/>
          <w:bCs/>
          <w:snapToGrid w:val="0"/>
          <w:color w:val="auto"/>
          <w:kern w:val="2"/>
          <w:sz w:val="28"/>
          <w:szCs w:val="32"/>
          <w:lang w:val="en-US" w:eastAsia="zh-CN" w:bidi="ar-SA"/>
        </w:rPr>
        <w:t>4</w:t>
      </w:r>
      <w:r>
        <w:rPr>
          <w:rFonts w:ascii="Times New Roman" w:hAnsi="Times New Roman" w:eastAsia="仿宋" w:cs="Times New Roman"/>
          <w:b/>
          <w:bCs/>
          <w:snapToGrid w:val="0"/>
          <w:color w:val="auto"/>
          <w:kern w:val="2"/>
          <w:sz w:val="28"/>
          <w:szCs w:val="32"/>
          <w:lang w:val="en-US" w:eastAsia="zh-CN" w:bidi="ar-SA"/>
        </w:rPr>
        <w:t>民族概况</w:t>
      </w:r>
    </w:p>
    <w:p w14:paraId="1F5400A3">
      <w:pPr>
        <w:pageBreakBefore w:val="0"/>
        <w:widowControl/>
        <w:kinsoku/>
        <w:wordWrap/>
        <w:overflowPunct/>
        <w:autoSpaceDE/>
        <w:autoSpaceDN/>
        <w:bidi w:val="0"/>
        <w:adjustRightInd w:val="0"/>
        <w:snapToGrid w:val="0"/>
        <w:spacing w:line="500" w:lineRule="exact"/>
        <w:ind w:firstLine="560" w:firstLineChars="200"/>
        <w:textAlignment w:val="auto"/>
        <w:rPr>
          <w:rFonts w:hint="eastAsia" w:ascii="Times New Roman" w:hAnsi="Times New Roman" w:eastAsia="方正仿宋_GBK" w:cs="Times New Roman"/>
          <w:color w:val="auto"/>
          <w:sz w:val="28"/>
          <w:szCs w:val="28"/>
          <w:shd w:val="clear" w:color="auto" w:fill="auto"/>
          <w:lang w:val="en-US" w:eastAsia="zh-CN"/>
        </w:rPr>
      </w:pPr>
      <w:r>
        <w:rPr>
          <w:rFonts w:hint="eastAsia" w:ascii="Times New Roman" w:hAnsi="Times New Roman" w:eastAsia="方正仿宋_GBK" w:cs="Times New Roman"/>
          <w:color w:val="auto"/>
          <w:sz w:val="28"/>
          <w:szCs w:val="28"/>
          <w:shd w:val="clear" w:color="auto" w:fill="auto"/>
          <w:lang w:val="en-US" w:eastAsia="zh-CN"/>
        </w:rPr>
        <w:t>新平是一个民族文化富集、地域风情浓郁的地方。民族文化底蕴丰厚而古朴，民族风情多姿多彩，是中国最大的花腰傣聚居地。世代居住着彝族、傣族、哈尼、拉祜、回、苗等</w:t>
      </w:r>
      <w:r>
        <w:rPr>
          <w:rFonts w:hint="default" w:ascii="Times New Roman" w:hAnsi="Times New Roman" w:eastAsia="方正仿宋_GBK" w:cs="Times New Roman"/>
          <w:color w:val="auto"/>
          <w:sz w:val="28"/>
          <w:szCs w:val="28"/>
          <w:shd w:val="clear" w:color="auto" w:fill="auto"/>
          <w:lang w:val="en-US" w:eastAsia="zh-CN"/>
        </w:rPr>
        <w:t>17</w:t>
      </w:r>
      <w:r>
        <w:rPr>
          <w:rFonts w:hint="eastAsia" w:ascii="Times New Roman" w:hAnsi="Times New Roman" w:eastAsia="方正仿宋_GBK" w:cs="Times New Roman"/>
          <w:color w:val="auto"/>
          <w:sz w:val="28"/>
          <w:szCs w:val="28"/>
          <w:shd w:val="clear" w:color="auto" w:fill="auto"/>
          <w:lang w:val="en-US" w:eastAsia="zh-CN"/>
        </w:rPr>
        <w:t>个民族，少数民族人口占</w:t>
      </w:r>
      <w:r>
        <w:rPr>
          <w:rFonts w:hint="default" w:ascii="Times New Roman" w:hAnsi="Times New Roman" w:eastAsia="方正仿宋_GBK" w:cs="Times New Roman"/>
          <w:color w:val="auto"/>
          <w:sz w:val="28"/>
          <w:szCs w:val="28"/>
          <w:shd w:val="clear" w:color="auto" w:fill="auto"/>
          <w:lang w:val="en-US" w:eastAsia="zh-CN"/>
        </w:rPr>
        <w:t>66.9%</w:t>
      </w:r>
      <w:r>
        <w:rPr>
          <w:rFonts w:hint="eastAsia" w:ascii="Times New Roman" w:hAnsi="Times New Roman" w:eastAsia="方正仿宋_GBK" w:cs="Times New Roman"/>
          <w:color w:val="auto"/>
          <w:sz w:val="28"/>
          <w:szCs w:val="28"/>
          <w:shd w:val="clear" w:color="auto" w:fill="auto"/>
          <w:lang w:val="en-US" w:eastAsia="zh-CN"/>
        </w:rPr>
        <w:t>。</w:t>
      </w:r>
    </w:p>
    <w:p w14:paraId="581D4945">
      <w:pPr>
        <w:pStyle w:val="6"/>
        <w:bidi w:val="0"/>
        <w:rPr>
          <w:rFonts w:ascii="Times New Roman" w:hAnsi="Times New Roman" w:eastAsia="仿宋" w:cs="Times New Roman"/>
          <w:b/>
          <w:bCs/>
          <w:snapToGrid w:val="0"/>
          <w:color w:val="auto"/>
          <w:kern w:val="2"/>
          <w:sz w:val="28"/>
          <w:szCs w:val="32"/>
          <w:lang w:val="en-US" w:eastAsia="zh-CN" w:bidi="ar-SA"/>
        </w:rPr>
      </w:pPr>
      <w:r>
        <w:rPr>
          <w:rFonts w:ascii="Times New Roman" w:hAnsi="Times New Roman" w:eastAsia="仿宋" w:cs="Times New Roman"/>
          <w:b/>
          <w:bCs/>
          <w:snapToGrid w:val="0"/>
          <w:color w:val="auto"/>
          <w:kern w:val="2"/>
          <w:sz w:val="28"/>
          <w:szCs w:val="32"/>
          <w:lang w:val="en-US" w:eastAsia="zh-CN" w:bidi="ar-SA"/>
        </w:rPr>
        <w:t>2.1.2.</w:t>
      </w:r>
      <w:r>
        <w:rPr>
          <w:rFonts w:hint="eastAsia" w:ascii="Times New Roman" w:hAnsi="Times New Roman" w:eastAsia="仿宋" w:cs="Times New Roman"/>
          <w:b/>
          <w:bCs/>
          <w:snapToGrid w:val="0"/>
          <w:color w:val="auto"/>
          <w:kern w:val="2"/>
          <w:sz w:val="28"/>
          <w:szCs w:val="32"/>
          <w:lang w:val="en-US" w:eastAsia="zh-CN" w:bidi="ar-SA"/>
        </w:rPr>
        <w:t>5</w:t>
      </w:r>
      <w:r>
        <w:rPr>
          <w:rFonts w:ascii="Times New Roman" w:hAnsi="Times New Roman" w:eastAsia="仿宋" w:cs="Times New Roman"/>
          <w:b/>
          <w:bCs/>
          <w:snapToGrid w:val="0"/>
          <w:color w:val="auto"/>
          <w:kern w:val="2"/>
          <w:sz w:val="28"/>
          <w:szCs w:val="32"/>
          <w:lang w:val="en-US" w:eastAsia="zh-CN" w:bidi="ar-SA"/>
        </w:rPr>
        <w:t>基础设施建设</w:t>
      </w:r>
    </w:p>
    <w:p w14:paraId="1262D583">
      <w:pPr>
        <w:pageBreakBefore w:val="0"/>
        <w:widowControl/>
        <w:kinsoku/>
        <w:wordWrap/>
        <w:overflowPunct/>
        <w:autoSpaceDE/>
        <w:autoSpaceDN/>
        <w:bidi w:val="0"/>
        <w:adjustRightInd w:val="0"/>
        <w:snapToGrid w:val="0"/>
        <w:spacing w:line="500" w:lineRule="exact"/>
        <w:ind w:firstLine="560" w:firstLineChars="200"/>
        <w:textAlignment w:val="auto"/>
        <w:rPr>
          <w:rFonts w:hint="eastAsia" w:ascii="Times New Roman" w:hAnsi="Times New Roman" w:eastAsia="方正仿宋_GBK" w:cs="Times New Roman"/>
          <w:color w:val="auto"/>
          <w:sz w:val="28"/>
          <w:szCs w:val="28"/>
          <w:shd w:val="clear" w:color="auto" w:fill="auto"/>
          <w:lang w:val="en-US" w:eastAsia="zh-CN"/>
        </w:rPr>
      </w:pPr>
      <w:r>
        <w:rPr>
          <w:rFonts w:hint="eastAsia" w:ascii="Times New Roman" w:hAnsi="Times New Roman" w:eastAsia="方正仿宋_GBK" w:cs="Times New Roman"/>
          <w:color w:val="auto"/>
          <w:sz w:val="28"/>
          <w:szCs w:val="28"/>
          <w:shd w:val="clear" w:color="auto" w:fill="auto"/>
          <w:lang w:val="en-US" w:eastAsia="zh-CN"/>
        </w:rPr>
        <w:t>近年来，新平县全力抓好以“五网”为重点的基础设施建设，不断优化发展环境，夯实发展基础。交通网固定资产投资呈跨越式增长，是“十二五”的5.4倍，中老铁路新平段、大戛高速、墨临高速新平段建成通车，建制村公路硬化率、通客车率、通邮率均达100%，公路通车里程达5698公里，被评为“四好农村路”省级示范县。全域现代化水网建设精准发力，洋发城水库扩建、西水东调中线输水工程稳步实施，阿者河、洋芋山水库开工建设，完成农村饮水巩固提升工程56件，县城和新化集镇水厂扩建抗旱应急抢险工程、漠沙灌区节水配套改造项目主体完工，农村供水综合水价改革顺利推进，群众用水安全有效保障，完成马鞍山水库、横山水库、新化供水一体化等56件各类蓄水工程及717件人饮工程建设，年供水能力达3379万立方米。电网建设持续优化，改建10千伏线路244.5千米、400伏线路119.9千米，建成110千伏变电站2座，哈科迪、向阳山风电场投产发电。物流网络加快发展，建成戛洒新寨农特产品交易中心项目二期，试点新平互联网+智慧物流项目试运营，仙福集团配套物流园区、金茂仓储物流中心启动建设，者竜等3个加油站和大戛高速新平服务区投入使用，“电商+快递+N”服务新业态取得新成效。信息基础设施日渐完善，改建4G基站232座，投入使用5G基站58座。信息网、物流网扩面提质，被列为云品出滇、品牌兴县示范县。</w:t>
      </w:r>
    </w:p>
    <w:p w14:paraId="569CA451">
      <w:pPr>
        <w:pStyle w:val="5"/>
        <w:pageBreakBefore w:val="0"/>
        <w:kinsoku/>
        <w:wordWrap/>
        <w:overflowPunct/>
        <w:autoSpaceDE/>
        <w:autoSpaceDN/>
        <w:bidi w:val="0"/>
        <w:spacing w:before="120" w:after="120" w:line="500" w:lineRule="exact"/>
        <w:ind w:firstLine="0" w:firstLineChars="0"/>
        <w:textAlignment w:val="auto"/>
        <w:rPr>
          <w:rFonts w:eastAsia="仿宋"/>
          <w:snapToGrid w:val="0"/>
          <w:color w:val="auto"/>
          <w:sz w:val="28"/>
          <w:szCs w:val="28"/>
        </w:rPr>
      </w:pPr>
      <w:bookmarkStart w:id="54" w:name="_Toc991"/>
      <w:r>
        <w:rPr>
          <w:rFonts w:eastAsia="仿宋"/>
          <w:snapToGrid w:val="0"/>
          <w:color w:val="auto"/>
          <w:sz w:val="28"/>
          <w:szCs w:val="28"/>
        </w:rPr>
        <w:t>2.1.3经济状况</w:t>
      </w:r>
      <w:bookmarkEnd w:id="54"/>
    </w:p>
    <w:p w14:paraId="31B27054">
      <w:pPr>
        <w:pStyle w:val="6"/>
        <w:bidi w:val="0"/>
        <w:rPr>
          <w:rFonts w:ascii="Times New Roman" w:hAnsi="Times New Roman" w:eastAsia="仿宋" w:cs="Times New Roman"/>
          <w:b/>
          <w:bCs/>
          <w:snapToGrid w:val="0"/>
          <w:color w:val="auto"/>
          <w:kern w:val="2"/>
          <w:sz w:val="28"/>
          <w:szCs w:val="32"/>
          <w:lang w:val="en-US" w:eastAsia="zh-CN" w:bidi="ar-SA"/>
        </w:rPr>
      </w:pPr>
      <w:r>
        <w:rPr>
          <w:rFonts w:ascii="Times New Roman" w:hAnsi="Times New Roman" w:eastAsia="仿宋" w:cs="Times New Roman"/>
          <w:b/>
          <w:bCs/>
          <w:snapToGrid w:val="0"/>
          <w:color w:val="auto"/>
          <w:kern w:val="2"/>
          <w:sz w:val="28"/>
          <w:szCs w:val="32"/>
          <w:lang w:val="en-US" w:eastAsia="zh-CN" w:bidi="ar-SA"/>
        </w:rPr>
        <w:t>2.1.3.1经济总量</w:t>
      </w:r>
    </w:p>
    <w:p w14:paraId="18418004">
      <w:pPr>
        <w:keepNext w:val="0"/>
        <w:keepLines w:val="0"/>
        <w:pageBreakBefore w:val="0"/>
        <w:kinsoku/>
        <w:wordWrap/>
        <w:overflowPunct/>
        <w:autoSpaceDE/>
        <w:autoSpaceDN/>
        <w:bidi w:val="0"/>
        <w:spacing w:line="500" w:lineRule="exact"/>
        <w:ind w:firstLine="560" w:firstLineChars="200"/>
        <w:textAlignment w:val="auto"/>
        <w:rPr>
          <w:rFonts w:hint="eastAsia" w:ascii="Times New Roman" w:hAnsi="Times New Roman" w:eastAsia="方正仿宋_GBK" w:cs="方正仿宋_GBK"/>
          <w:b w:val="0"/>
          <w:bCs w:val="0"/>
          <w:color w:val="auto"/>
          <w:sz w:val="28"/>
          <w:szCs w:val="28"/>
          <w:lang w:val="en-US" w:eastAsia="zh-CN"/>
        </w:rPr>
      </w:pPr>
      <w:r>
        <w:rPr>
          <w:rFonts w:hint="eastAsia" w:ascii="Times New Roman" w:hAnsi="Times New Roman" w:eastAsia="方正仿宋_GBK" w:cs="方正仿宋_GBK"/>
          <w:b w:val="0"/>
          <w:bCs w:val="0"/>
          <w:color w:val="auto"/>
          <w:sz w:val="28"/>
          <w:szCs w:val="28"/>
          <w:lang w:val="en-US" w:eastAsia="zh-CN"/>
        </w:rPr>
        <w:t>2021年，新平县实现地区生产总值2437517万元，按可比价计算比上年增长10.9%。其中：第一产业增加值340711万元，增长9.9%；第二产业增加值1009678万元，增长7.1%；第三产业增加值1087128万元，增长14.8%。三次产业结构由上年的14.1:41.8:44.1调整为14.0:41.4:44.6，一、二、三产业分别拉动GDP增长1.4、3.0和6.5个百分点，对GDP增长的贡献率分别为12.8%、27.3%和59.8%。实现非公经济增加值1178317万元，按可比价计算比上年增长11.8%，占全县生产总值的48.3%，比上年提高0.8个百分点。全县规模以上固定资产投资比上年增长15.9%，其中：第一产业增长36.1%，第二产业下降4.8%，第三产业增长23.9%。城镇常住居民人均可支配收入达45812元，增长9.2%；农村常住居民人均可支配收入达17602元，增长11.0%。</w:t>
      </w:r>
    </w:p>
    <w:p w14:paraId="7635012F">
      <w:pPr>
        <w:pStyle w:val="6"/>
        <w:bidi w:val="0"/>
        <w:rPr>
          <w:rFonts w:ascii="Times New Roman" w:hAnsi="Times New Roman" w:eastAsia="仿宋" w:cs="Times New Roman"/>
          <w:b/>
          <w:bCs/>
          <w:snapToGrid w:val="0"/>
          <w:color w:val="auto"/>
          <w:kern w:val="2"/>
          <w:sz w:val="28"/>
          <w:szCs w:val="32"/>
          <w:lang w:val="en-US" w:eastAsia="zh-CN" w:bidi="ar-SA"/>
        </w:rPr>
      </w:pPr>
      <w:r>
        <w:rPr>
          <w:rFonts w:ascii="Times New Roman" w:hAnsi="Times New Roman" w:eastAsia="仿宋" w:cs="Times New Roman"/>
          <w:b/>
          <w:bCs/>
          <w:snapToGrid w:val="0"/>
          <w:color w:val="auto"/>
          <w:kern w:val="2"/>
          <w:sz w:val="28"/>
          <w:szCs w:val="32"/>
          <w:lang w:val="en-US" w:eastAsia="zh-CN" w:bidi="ar-SA"/>
        </w:rPr>
        <w:t>2.1.3.2产业结构</w:t>
      </w:r>
    </w:p>
    <w:p w14:paraId="4F560646">
      <w:pPr>
        <w:keepNext w:val="0"/>
        <w:keepLines w:val="0"/>
        <w:pageBreakBefore w:val="0"/>
        <w:kinsoku/>
        <w:wordWrap/>
        <w:overflowPunct/>
        <w:autoSpaceDE/>
        <w:autoSpaceDN/>
        <w:bidi w:val="0"/>
        <w:spacing w:line="500" w:lineRule="exact"/>
        <w:ind w:firstLine="560" w:firstLineChars="200"/>
        <w:textAlignment w:val="auto"/>
        <w:rPr>
          <w:rFonts w:hint="eastAsia" w:ascii="Times New Roman" w:hAnsi="Times New Roman" w:eastAsia="方正仿宋_GBK" w:cs="方正仿宋_GBK"/>
          <w:b w:val="0"/>
          <w:bCs w:val="0"/>
          <w:color w:val="auto"/>
          <w:sz w:val="28"/>
          <w:szCs w:val="28"/>
          <w:lang w:val="en-US" w:eastAsia="zh-CN"/>
        </w:rPr>
      </w:pPr>
      <w:r>
        <w:rPr>
          <w:rFonts w:hint="eastAsia" w:ascii="Times New Roman" w:hAnsi="Times New Roman" w:eastAsia="方正仿宋_GBK" w:cs="方正仿宋_GBK"/>
          <w:b w:val="0"/>
          <w:bCs w:val="0"/>
          <w:color w:val="auto"/>
          <w:sz w:val="28"/>
          <w:szCs w:val="28"/>
          <w:lang w:val="en-US" w:eastAsia="zh-CN"/>
        </w:rPr>
        <w:t>围绕红河谷—绿汁江热区产业经济带建设深入开展，大力推动高原特色农业向集约化、规模化、产业化、专业化方向发展，持续流转土地，建成高标准农田，培育区级以上重点农业龙头企业，打造“绿色食品牌”产业基地，褚橙被评为云南“十大名果”，被列为国家现代农业示范区、国家级有机产品认证示范创建区、国家级农业绿色发展先行区、全国科普示范县、云南省农产品主产区和特色产业发展先进县、云南省“一县一业（柑橘）”特色县、云南省第一批高原特色农业示范县。</w:t>
      </w:r>
    </w:p>
    <w:p w14:paraId="3769B309">
      <w:pPr>
        <w:keepNext w:val="0"/>
        <w:keepLines w:val="0"/>
        <w:pageBreakBefore w:val="0"/>
        <w:kinsoku/>
        <w:wordWrap/>
        <w:overflowPunct/>
        <w:autoSpaceDE/>
        <w:autoSpaceDN/>
        <w:bidi w:val="0"/>
        <w:spacing w:line="500" w:lineRule="exact"/>
        <w:ind w:firstLine="560" w:firstLineChars="200"/>
        <w:textAlignment w:val="auto"/>
        <w:rPr>
          <w:rFonts w:hint="eastAsia" w:ascii="Times New Roman" w:hAnsi="Times New Roman" w:eastAsia="方正仿宋_GBK" w:cs="方正仿宋_GBK"/>
          <w:b w:val="0"/>
          <w:bCs w:val="0"/>
          <w:color w:val="auto"/>
          <w:sz w:val="28"/>
          <w:szCs w:val="28"/>
          <w:lang w:val="en-US" w:eastAsia="zh-CN"/>
        </w:rPr>
      </w:pPr>
      <w:r>
        <w:rPr>
          <w:rFonts w:hint="eastAsia" w:ascii="Times New Roman" w:hAnsi="Times New Roman" w:eastAsia="方正仿宋_GBK" w:cs="方正仿宋_GBK"/>
          <w:b w:val="0"/>
          <w:bCs w:val="0"/>
          <w:color w:val="auto"/>
          <w:sz w:val="28"/>
          <w:szCs w:val="28"/>
          <w:lang w:val="en-US" w:eastAsia="zh-CN"/>
        </w:rPr>
        <w:t>深入推进工业强区战略，不断优化“一园三片区”规划布局和产业细分，快速推进大红山两矿智能化矿山建设、铁矿二道河矿段100万吨采选和400万吨二期采选工程，完成铁矿高效节能磨矿技改项，在全省率先启动仙福公司钢铁产能置换项目。关闭淘汰了扬武富明砖厂、新化光辉红砖厂等县域粘土烧结砖生产企业，引进恒泰透水砖、新粤蒸汽加压砖等新型墙体材料生产线；力高公司正在开展车间制造智能化改造，以先进的设备替代传统手工和人工组装，提高产品质量和生产效率，降低物耗，节约人工成本。加快推进生物资源加工业发展，泰润酱菜扩建项目、东绿20万吨选果生产线、云南果速公司水果分选厂、醉花腰白酒果酒生产等项目相继竣工投产。新平工业园区跻身“云南省10强工业园区”，仙福集团排名全省百强非公企业第2位、制造业第1位，初步形成以现代矿冶业、加工制造业、生物资源加工业为主的新型工业体系。</w:t>
      </w:r>
    </w:p>
    <w:p w14:paraId="3F1EB521">
      <w:pPr>
        <w:keepNext w:val="0"/>
        <w:keepLines w:val="0"/>
        <w:pageBreakBefore w:val="0"/>
        <w:kinsoku/>
        <w:wordWrap/>
        <w:overflowPunct/>
        <w:autoSpaceDE/>
        <w:autoSpaceDN/>
        <w:bidi w:val="0"/>
        <w:spacing w:line="500" w:lineRule="exact"/>
        <w:ind w:firstLine="560" w:firstLineChars="200"/>
        <w:textAlignment w:val="auto"/>
        <w:rPr>
          <w:rFonts w:hint="default" w:ascii="Times New Roman" w:hAnsi="Times New Roman" w:eastAsia="方正仿宋_GBK" w:cs="Times New Roman"/>
          <w:b w:val="0"/>
          <w:bCs w:val="0"/>
          <w:color w:val="auto"/>
          <w:sz w:val="28"/>
          <w:szCs w:val="28"/>
          <w:lang w:val="en-US" w:eastAsia="zh-CN"/>
        </w:rPr>
      </w:pPr>
      <w:r>
        <w:rPr>
          <w:rFonts w:hint="default" w:ascii="Times New Roman" w:hAnsi="Times New Roman" w:eastAsia="方正仿宋_GBK" w:cs="Times New Roman"/>
          <w:b w:val="0"/>
          <w:bCs w:val="0"/>
          <w:color w:val="auto"/>
          <w:sz w:val="28"/>
          <w:szCs w:val="28"/>
          <w:lang w:val="en-US" w:eastAsia="zh-CN"/>
        </w:rPr>
        <w:t>新平县制定出台了《新平县旅游产业转型升级发展三年行动计划》《新平县创建国家全域旅游示范区重点工作任务任分解》等政策文件，完成《新平县全域旅游发展规划（2018—2030年）》编制，构建一地、双极、三区、四环、五带、六重点的总体发展思路，以“风情花腰傣神秘哀牢山”为定位，持续推进全域旅游创建工作。成功创建磨盘山樱花庄园</w:t>
      </w:r>
      <w:r>
        <w:rPr>
          <w:rFonts w:hint="eastAsia" w:ascii="Times New Roman" w:hAnsi="Times New Roman" w:eastAsia="方正仿宋_GBK" w:cs="Times New Roman"/>
          <w:b w:val="0"/>
          <w:bCs w:val="0"/>
          <w:color w:val="auto"/>
          <w:sz w:val="28"/>
          <w:szCs w:val="28"/>
          <w:lang w:val="en-US" w:eastAsia="zh-CN"/>
        </w:rPr>
        <w:t>4A</w:t>
      </w:r>
      <w:r>
        <w:rPr>
          <w:rFonts w:hint="default" w:ascii="Times New Roman" w:hAnsi="Times New Roman" w:eastAsia="方正仿宋_GBK" w:cs="Times New Roman"/>
          <w:b w:val="0"/>
          <w:bCs w:val="0"/>
          <w:color w:val="auto"/>
          <w:sz w:val="28"/>
          <w:szCs w:val="28"/>
          <w:lang w:val="en-US" w:eastAsia="zh-CN"/>
        </w:rPr>
        <w:t>景区、哀牢山石门峡</w:t>
      </w:r>
      <w:r>
        <w:rPr>
          <w:rFonts w:hint="eastAsia" w:ascii="Times New Roman" w:hAnsi="Times New Roman" w:eastAsia="方正仿宋_GBK" w:cs="Times New Roman"/>
          <w:b w:val="0"/>
          <w:bCs w:val="0"/>
          <w:color w:val="auto"/>
          <w:sz w:val="28"/>
          <w:szCs w:val="28"/>
          <w:lang w:val="en-US" w:eastAsia="zh-CN"/>
        </w:rPr>
        <w:t>3A</w:t>
      </w:r>
      <w:r>
        <w:rPr>
          <w:rFonts w:hint="default" w:ascii="Times New Roman" w:hAnsi="Times New Roman" w:eastAsia="方正仿宋_GBK" w:cs="Times New Roman"/>
          <w:b w:val="0"/>
          <w:bCs w:val="0"/>
          <w:color w:val="auto"/>
          <w:sz w:val="28"/>
          <w:szCs w:val="28"/>
          <w:lang w:val="en-US" w:eastAsia="zh-CN"/>
        </w:rPr>
        <w:t>景区，完成全县旅游交通标识、戛洒特色小镇旅游标识系统建设。全力推进“旅游厕所革命”，完成旅游厕所建设45座，实现重点旅游目的地</w:t>
      </w:r>
      <w:r>
        <w:rPr>
          <w:rFonts w:hint="eastAsia" w:ascii="Times New Roman" w:hAnsi="Times New Roman" w:eastAsia="方正仿宋_GBK" w:cs="Times New Roman"/>
          <w:b w:val="0"/>
          <w:bCs w:val="0"/>
          <w:color w:val="auto"/>
          <w:sz w:val="28"/>
          <w:szCs w:val="28"/>
          <w:lang w:val="en-US" w:eastAsia="zh-CN"/>
        </w:rPr>
        <w:t>A</w:t>
      </w:r>
      <w:r>
        <w:rPr>
          <w:rFonts w:hint="default" w:ascii="Times New Roman" w:hAnsi="Times New Roman" w:eastAsia="方正仿宋_GBK" w:cs="Times New Roman"/>
          <w:b w:val="0"/>
          <w:bCs w:val="0"/>
          <w:color w:val="auto"/>
          <w:sz w:val="28"/>
          <w:szCs w:val="28"/>
          <w:lang w:val="en-US" w:eastAsia="zh-CN"/>
        </w:rPr>
        <w:t>级厕所全覆盖。大力推进智慧旅游建设，结合“一部手机游云南”工作，建立“风情花腰傣神秘哀牢山”新平旅游公众号、“旅游新平”官微，提供方便快捷的旅游信息查询服务。接待游客能力提档升级，建成树几山舍、花腰田间、外滩豪生酒店等一批半山酒店，引进杭州开元森泊、汇达文旅等一批文旅运营企业，旅游服务逐步迈向专业化、市场化路子。2021年接待游客567.78万人次，实现旅游总收入528092.74万元，新平县文化旅游产业呈现出蓬勃发展态势，游客人次持续增加，文化和旅游经济持续增长。</w:t>
      </w:r>
    </w:p>
    <w:p w14:paraId="57BA4537">
      <w:pPr>
        <w:pStyle w:val="6"/>
        <w:bidi w:val="0"/>
        <w:rPr>
          <w:rFonts w:ascii="Times New Roman" w:hAnsi="Times New Roman" w:eastAsia="仿宋" w:cs="Times New Roman"/>
          <w:b/>
          <w:bCs/>
          <w:snapToGrid w:val="0"/>
          <w:color w:val="auto"/>
          <w:kern w:val="2"/>
          <w:sz w:val="28"/>
          <w:szCs w:val="32"/>
          <w:lang w:val="en-US" w:eastAsia="zh-CN" w:bidi="ar-SA"/>
        </w:rPr>
      </w:pPr>
      <w:r>
        <w:rPr>
          <w:rFonts w:ascii="Times New Roman" w:hAnsi="Times New Roman" w:eastAsia="仿宋" w:cs="Times New Roman"/>
          <w:b/>
          <w:bCs/>
          <w:snapToGrid w:val="0"/>
          <w:color w:val="auto"/>
          <w:kern w:val="2"/>
          <w:sz w:val="28"/>
          <w:szCs w:val="32"/>
          <w:lang w:val="en-US" w:eastAsia="zh-CN" w:bidi="ar-SA"/>
        </w:rPr>
        <w:t>2.1.3.3产业布局</w:t>
      </w:r>
    </w:p>
    <w:p w14:paraId="779310B0">
      <w:pPr>
        <w:keepNext w:val="0"/>
        <w:keepLines w:val="0"/>
        <w:pageBreakBefore w:val="0"/>
        <w:kinsoku/>
        <w:wordWrap/>
        <w:overflowPunct/>
        <w:autoSpaceDE/>
        <w:autoSpaceDN/>
        <w:bidi w:val="0"/>
        <w:spacing w:line="500" w:lineRule="exact"/>
        <w:ind w:firstLine="560" w:firstLineChars="200"/>
        <w:textAlignment w:val="auto"/>
        <w:rPr>
          <w:rFonts w:hint="eastAsia" w:ascii="Times New Roman" w:hAnsi="Times New Roman" w:eastAsia="方正仿宋_GBK" w:cs="方正仿宋_GBK"/>
          <w:b w:val="0"/>
          <w:bCs w:val="0"/>
          <w:color w:val="auto"/>
          <w:sz w:val="28"/>
          <w:szCs w:val="28"/>
          <w:lang w:val="en-US" w:eastAsia="zh-CN"/>
        </w:rPr>
      </w:pPr>
      <w:r>
        <w:rPr>
          <w:rFonts w:hint="eastAsia" w:ascii="Times New Roman" w:hAnsi="Times New Roman" w:eastAsia="方正仿宋_GBK" w:cs="方正仿宋_GBK"/>
          <w:b w:val="0"/>
          <w:bCs w:val="0"/>
          <w:color w:val="auto"/>
          <w:sz w:val="28"/>
          <w:szCs w:val="28"/>
          <w:lang w:val="en-US" w:eastAsia="zh-CN"/>
        </w:rPr>
        <w:t>农业布局方面，新平县按照省、市大力发展高原特色农业和高端食品基地建设的决策部署，持续深入打造世界一流“绿色食品牌”，抓好一、二、三产业的融合发展，全县初步形成了河谷地区以柑橘、芒果、香蕉、冬早蔬菜为主的优势产业带，山区以中药材、核桃、茶叶为主的优势产业带；特色农业逐步向优势区域集中，初步形成了原料基地、龙头企业、产业园区三者相互配套完善，布局合理的产业格局。</w:t>
      </w:r>
    </w:p>
    <w:p w14:paraId="0BC2F17C">
      <w:pPr>
        <w:keepNext w:val="0"/>
        <w:keepLines w:val="0"/>
        <w:pageBreakBefore w:val="0"/>
        <w:kinsoku/>
        <w:wordWrap/>
        <w:overflowPunct/>
        <w:autoSpaceDE/>
        <w:autoSpaceDN/>
        <w:bidi w:val="0"/>
        <w:spacing w:line="500" w:lineRule="exact"/>
        <w:ind w:firstLine="560" w:firstLineChars="200"/>
        <w:textAlignment w:val="auto"/>
        <w:rPr>
          <w:rFonts w:hint="eastAsia" w:ascii="Times New Roman" w:hAnsi="Times New Roman" w:eastAsia="方正仿宋_GBK" w:cs="方正仿宋_GBK"/>
          <w:b w:val="0"/>
          <w:bCs w:val="0"/>
          <w:color w:val="auto"/>
          <w:sz w:val="28"/>
          <w:szCs w:val="28"/>
          <w:lang w:val="en-US" w:eastAsia="zh-CN"/>
        </w:rPr>
      </w:pPr>
      <w:r>
        <w:rPr>
          <w:rFonts w:hint="eastAsia" w:ascii="Times New Roman" w:hAnsi="Times New Roman" w:eastAsia="方正仿宋_GBK" w:cs="方正仿宋_GBK"/>
          <w:b w:val="0"/>
          <w:bCs w:val="0"/>
          <w:color w:val="auto"/>
          <w:sz w:val="28"/>
          <w:szCs w:val="28"/>
          <w:lang w:val="en-US" w:eastAsia="zh-CN"/>
        </w:rPr>
        <w:t>工业布局方面，近年来新平县不断践行新发展理念，融入新发展格局，充分发挥园区产业特色和聚集发展优势，实施全产业链重塑，推动产业集群化发展。目前，新平工业园区面积33.45平方公里，范围为桂山、扬武、戛洒3个片区共5个区块。产业选择主导产业：矿冶（矿产资源采选及精深加工），辅助产业：生物资源加工、装备制造。园区定位：桂山片区为生物资源加工和资源综合利用集聚的产城融合区；扬武片区为矿冶联动装备制造的循环经济集群区；戛洒片区打造矿冶和生物资源加工的循环经济集群区。逐渐形成以矿冶（矿产资源采选及精深加工）为主导产业，以生物资源加工、装备制造为辅助产业，以生产性服务业为配套的产业布局。</w:t>
      </w:r>
    </w:p>
    <w:p w14:paraId="0FC3EB6E">
      <w:pPr>
        <w:keepNext w:val="0"/>
        <w:keepLines w:val="0"/>
        <w:pageBreakBefore w:val="0"/>
        <w:kinsoku/>
        <w:wordWrap/>
        <w:overflowPunct/>
        <w:autoSpaceDE/>
        <w:autoSpaceDN/>
        <w:bidi w:val="0"/>
        <w:spacing w:line="500" w:lineRule="exact"/>
        <w:ind w:firstLine="560" w:firstLineChars="200"/>
        <w:textAlignment w:val="auto"/>
        <w:rPr>
          <w:rFonts w:hint="eastAsia" w:ascii="Times New Roman" w:hAnsi="Times New Roman" w:eastAsia="方正仿宋_GBK" w:cs="方正仿宋_GBK"/>
          <w:b w:val="0"/>
          <w:bCs w:val="0"/>
          <w:color w:val="auto"/>
          <w:sz w:val="28"/>
          <w:szCs w:val="28"/>
          <w:lang w:val="en-US" w:eastAsia="zh-CN"/>
        </w:rPr>
      </w:pPr>
      <w:r>
        <w:rPr>
          <w:rFonts w:hint="eastAsia" w:ascii="Times New Roman" w:hAnsi="Times New Roman" w:eastAsia="方正仿宋_GBK" w:cs="方正仿宋_GBK"/>
          <w:b w:val="0"/>
          <w:bCs w:val="0"/>
          <w:color w:val="auto"/>
          <w:sz w:val="28"/>
          <w:szCs w:val="28"/>
          <w:lang w:val="en-US" w:eastAsia="zh-CN"/>
        </w:rPr>
        <w:t>服务业布局方面，新平县积极围绕工作机制、市场秩序、政策文件等，着力抓组织领导，完善体制规划引领；围绕提升服务能力、提档升级接待游客能力等，抓基础建设，夯实旅游发展根基；围绕“以文促旅、以旅兴文”“以节造势、以节引人”发展思路，抓产品建设，丰富新平旅游业态；坚持“风情花腰傣，神秘哀牢山”总体形象定位，主打“花腰傣之乡”品牌不动摇，抓市场营销，提升新平旅游知名度和美誉度。先后荣获国家全域旅游示范区创建单位、中国天然氧吧、中国最美休闲度假旅游名县、中国最具特色生态旅游名县等荣誉称号，被国家地理杂志评为“中国最浪漫栖居地”。</w:t>
      </w:r>
    </w:p>
    <w:p w14:paraId="6A45D104">
      <w:pPr>
        <w:pStyle w:val="5"/>
        <w:pageBreakBefore w:val="0"/>
        <w:kinsoku/>
        <w:wordWrap/>
        <w:overflowPunct/>
        <w:autoSpaceDE/>
        <w:autoSpaceDN/>
        <w:bidi w:val="0"/>
        <w:spacing w:before="120" w:after="120" w:line="500" w:lineRule="exact"/>
        <w:ind w:firstLine="0" w:firstLineChars="0"/>
        <w:textAlignment w:val="auto"/>
        <w:rPr>
          <w:rFonts w:eastAsia="仿宋"/>
          <w:snapToGrid w:val="0"/>
          <w:color w:val="auto"/>
          <w:sz w:val="28"/>
          <w:szCs w:val="28"/>
          <w:lang w:val="en-US" w:eastAsia="zh-CN"/>
        </w:rPr>
      </w:pPr>
      <w:bookmarkStart w:id="55" w:name="_Toc1024"/>
      <w:r>
        <w:rPr>
          <w:rFonts w:eastAsia="仿宋"/>
          <w:snapToGrid w:val="0"/>
          <w:color w:val="auto"/>
          <w:sz w:val="28"/>
          <w:szCs w:val="28"/>
          <w:lang w:val="en-US" w:eastAsia="zh-CN"/>
        </w:rPr>
        <w:t>2.1.4主要资源状况</w:t>
      </w:r>
      <w:bookmarkEnd w:id="55"/>
    </w:p>
    <w:p w14:paraId="184880BD">
      <w:pPr>
        <w:pStyle w:val="6"/>
        <w:bidi w:val="0"/>
        <w:rPr>
          <w:rFonts w:ascii="Times New Roman" w:hAnsi="Times New Roman" w:eastAsia="仿宋" w:cs="Times New Roman"/>
          <w:b/>
          <w:bCs/>
          <w:snapToGrid w:val="0"/>
          <w:color w:val="auto"/>
          <w:kern w:val="2"/>
          <w:sz w:val="28"/>
          <w:szCs w:val="32"/>
          <w:lang w:val="en-US" w:eastAsia="zh-CN" w:bidi="ar-SA"/>
        </w:rPr>
      </w:pPr>
      <w:r>
        <w:rPr>
          <w:rFonts w:ascii="Times New Roman" w:hAnsi="Times New Roman" w:eastAsia="仿宋" w:cs="Times New Roman"/>
          <w:b/>
          <w:bCs/>
          <w:snapToGrid w:val="0"/>
          <w:color w:val="auto"/>
          <w:kern w:val="2"/>
          <w:sz w:val="28"/>
          <w:szCs w:val="32"/>
          <w:lang w:val="en-US" w:eastAsia="zh-CN" w:bidi="ar-SA"/>
        </w:rPr>
        <w:t>2.1.4.1水资源</w:t>
      </w:r>
    </w:p>
    <w:p w14:paraId="12BD6712">
      <w:pPr>
        <w:keepNext w:val="0"/>
        <w:keepLines w:val="0"/>
        <w:pageBreakBefore w:val="0"/>
        <w:kinsoku/>
        <w:wordWrap/>
        <w:overflowPunct/>
        <w:autoSpaceDE/>
        <w:autoSpaceDN/>
        <w:bidi w:val="0"/>
        <w:spacing w:line="500" w:lineRule="exact"/>
        <w:ind w:firstLine="560" w:firstLineChars="200"/>
        <w:jc w:val="both"/>
        <w:textAlignment w:val="auto"/>
        <w:rPr>
          <w:rFonts w:hint="eastAsia" w:ascii="Times New Roman" w:hAnsi="Times New Roman" w:eastAsia="方正仿宋_GBK" w:cs="方正仿宋_GBK"/>
          <w:b w:val="0"/>
          <w:bCs w:val="0"/>
          <w:color w:val="auto"/>
          <w:sz w:val="28"/>
          <w:szCs w:val="28"/>
          <w:lang w:val="en-US" w:eastAsia="zh-CN"/>
        </w:rPr>
      </w:pPr>
      <w:r>
        <w:rPr>
          <w:rFonts w:hint="eastAsia" w:ascii="Times New Roman" w:hAnsi="Times New Roman" w:eastAsia="方正仿宋_GBK" w:cs="方正仿宋_GBK"/>
          <w:b w:val="0"/>
          <w:bCs w:val="0"/>
          <w:color w:val="auto"/>
          <w:sz w:val="28"/>
          <w:szCs w:val="28"/>
          <w:lang w:val="en-US" w:eastAsia="zh-CN"/>
        </w:rPr>
        <w:t>新平县境内多年平均地表水资源总量为18.21亿m³，人均水资源量6578m³/人，全部耕地亩均水资源量2118 m/亩。全县入境水资源量37.747亿m³，主要是来自红河、绿汁江输入37.093亿m³，来自峨山的小河底河输入0.654亿m³；从全县出境的水量为55.786亿m³。依据《云南省水利厅关于印发云南省水资源红黄绿分区管理办法（试行）的通知》（云水资源〔2016〕39号）规定，新平县水资源开发利用率小于20%、用水总量在总量控制目标的95%以下，属于用水总量管理绿区。</w:t>
      </w:r>
    </w:p>
    <w:p w14:paraId="4F7F2B59">
      <w:pPr>
        <w:keepNext w:val="0"/>
        <w:keepLines w:val="0"/>
        <w:pageBreakBefore w:val="0"/>
        <w:kinsoku/>
        <w:wordWrap/>
        <w:overflowPunct/>
        <w:autoSpaceDE/>
        <w:autoSpaceDN/>
        <w:bidi w:val="0"/>
        <w:spacing w:line="500" w:lineRule="exact"/>
        <w:ind w:firstLine="560" w:firstLineChars="200"/>
        <w:jc w:val="both"/>
        <w:textAlignment w:val="auto"/>
        <w:rPr>
          <w:rFonts w:hint="eastAsia" w:ascii="Times New Roman" w:hAnsi="Times New Roman" w:eastAsia="方正仿宋_GBK" w:cs="方正仿宋_GBK"/>
          <w:b w:val="0"/>
          <w:bCs w:val="0"/>
          <w:color w:val="auto"/>
          <w:sz w:val="28"/>
          <w:szCs w:val="28"/>
          <w:lang w:val="en-US" w:eastAsia="zh-CN"/>
        </w:rPr>
      </w:pPr>
      <w:r>
        <w:rPr>
          <w:rFonts w:hint="eastAsia" w:ascii="Times New Roman" w:hAnsi="Times New Roman" w:eastAsia="方正仿宋_GBK" w:cs="方正仿宋_GBK"/>
          <w:b w:val="0"/>
          <w:bCs w:val="0"/>
          <w:color w:val="auto"/>
          <w:sz w:val="28"/>
          <w:szCs w:val="28"/>
          <w:lang w:val="en-US" w:eastAsia="zh-CN"/>
        </w:rPr>
        <w:t>全县水资源总量为18.21亿立方米，水能资源理论蕴藏量127.22万KW，可开发利用装机容量52.36万KW，主要分布在红河（戛洒江段）、挖窖河、大春河、竹箐河、十里河、南恩河、麻羊河等流域。</w:t>
      </w:r>
    </w:p>
    <w:p w14:paraId="0448C250">
      <w:pPr>
        <w:pStyle w:val="6"/>
        <w:bidi w:val="0"/>
        <w:rPr>
          <w:rFonts w:ascii="Times New Roman" w:hAnsi="Times New Roman" w:eastAsia="仿宋" w:cs="Times New Roman"/>
          <w:b/>
          <w:bCs/>
          <w:snapToGrid w:val="0"/>
          <w:color w:val="auto"/>
          <w:kern w:val="2"/>
          <w:sz w:val="28"/>
          <w:szCs w:val="32"/>
          <w:lang w:val="en-US" w:eastAsia="zh-CN" w:bidi="ar-SA"/>
        </w:rPr>
      </w:pPr>
      <w:r>
        <w:rPr>
          <w:rFonts w:ascii="Times New Roman" w:hAnsi="Times New Roman" w:eastAsia="仿宋" w:cs="Times New Roman"/>
          <w:b/>
          <w:bCs/>
          <w:snapToGrid w:val="0"/>
          <w:color w:val="auto"/>
          <w:kern w:val="2"/>
          <w:sz w:val="28"/>
          <w:szCs w:val="32"/>
          <w:lang w:val="en-US" w:eastAsia="zh-CN" w:bidi="ar-SA"/>
        </w:rPr>
        <w:t>2.1.4.2森林资源</w:t>
      </w:r>
    </w:p>
    <w:p w14:paraId="4F892267">
      <w:pPr>
        <w:keepNext w:val="0"/>
        <w:keepLines w:val="0"/>
        <w:pageBreakBefore w:val="0"/>
        <w:kinsoku/>
        <w:wordWrap/>
        <w:overflowPunct/>
        <w:autoSpaceDE/>
        <w:autoSpaceDN/>
        <w:bidi w:val="0"/>
        <w:spacing w:line="500" w:lineRule="exact"/>
        <w:ind w:firstLine="560" w:firstLineChars="200"/>
        <w:jc w:val="both"/>
        <w:textAlignment w:val="auto"/>
        <w:rPr>
          <w:rFonts w:hint="eastAsia" w:ascii="Times New Roman" w:hAnsi="Times New Roman" w:eastAsia="方正仿宋_GBK" w:cs="方正仿宋_GBK"/>
          <w:b w:val="0"/>
          <w:bCs w:val="0"/>
          <w:color w:val="auto"/>
          <w:sz w:val="28"/>
          <w:szCs w:val="28"/>
          <w:lang w:val="en-US" w:eastAsia="zh-CN"/>
        </w:rPr>
      </w:pPr>
      <w:r>
        <w:rPr>
          <w:rFonts w:hint="eastAsia" w:ascii="Times New Roman" w:hAnsi="Times New Roman" w:eastAsia="方正仿宋_GBK" w:cs="方正仿宋_GBK"/>
          <w:b w:val="0"/>
          <w:bCs w:val="0"/>
          <w:color w:val="auto"/>
          <w:sz w:val="28"/>
          <w:szCs w:val="28"/>
          <w:lang w:val="en-US" w:eastAsia="zh-CN"/>
        </w:rPr>
        <w:t>依据《云南省2020年森林资源主要指标监测报告》，新平县国土面积423703公顷，林地面积345742.4939公顷。全县森林面积314835.6191公顷，森林覆盖率73.66%，其中有林地245832.2394公顷；疏林地面积322.1932公顷；灌木林地面积53104.7816公顷；未成林造林地面积1325.9985公顷；无立木林地面积1613.5679公顷；宜林地面积1130.6139公顷；辅助生产林地面积24.7695公顷；非林地面积114841.6438公顷。公益林地面积34580.1179公顷，蓄积4977473公顷；商品林地面积555.1202公顷，蓄积10566m³。</w:t>
      </w:r>
    </w:p>
    <w:p w14:paraId="6E88D95F">
      <w:pPr>
        <w:pStyle w:val="6"/>
        <w:bidi w:val="0"/>
        <w:rPr>
          <w:rFonts w:ascii="Times New Roman" w:hAnsi="Times New Roman" w:eastAsia="仿宋" w:cs="Times New Roman"/>
          <w:b/>
          <w:bCs/>
          <w:snapToGrid w:val="0"/>
          <w:color w:val="auto"/>
          <w:kern w:val="2"/>
          <w:sz w:val="28"/>
          <w:szCs w:val="32"/>
          <w:lang w:val="en-US" w:eastAsia="zh-CN" w:bidi="ar-SA"/>
        </w:rPr>
      </w:pPr>
      <w:r>
        <w:rPr>
          <w:rFonts w:ascii="Times New Roman" w:hAnsi="Times New Roman" w:eastAsia="仿宋" w:cs="Times New Roman"/>
          <w:b/>
          <w:bCs/>
          <w:snapToGrid w:val="0"/>
          <w:color w:val="auto"/>
          <w:kern w:val="2"/>
          <w:sz w:val="28"/>
          <w:szCs w:val="32"/>
          <w:lang w:val="en-US" w:eastAsia="zh-CN" w:bidi="ar-SA"/>
        </w:rPr>
        <w:t>2.1.</w:t>
      </w:r>
      <w:r>
        <w:rPr>
          <w:rFonts w:hint="eastAsia" w:ascii="Times New Roman" w:hAnsi="Times New Roman" w:eastAsia="仿宋" w:cs="Times New Roman"/>
          <w:b/>
          <w:bCs/>
          <w:snapToGrid w:val="0"/>
          <w:color w:val="auto"/>
          <w:kern w:val="2"/>
          <w:sz w:val="28"/>
          <w:szCs w:val="32"/>
          <w:lang w:val="en-US" w:eastAsia="zh-CN" w:bidi="ar-SA"/>
        </w:rPr>
        <w:t>4</w:t>
      </w:r>
      <w:r>
        <w:rPr>
          <w:rFonts w:ascii="Times New Roman" w:hAnsi="Times New Roman" w:eastAsia="仿宋" w:cs="Times New Roman"/>
          <w:b/>
          <w:bCs/>
          <w:snapToGrid w:val="0"/>
          <w:color w:val="auto"/>
          <w:kern w:val="2"/>
          <w:sz w:val="28"/>
          <w:szCs w:val="32"/>
          <w:lang w:val="en-US" w:eastAsia="zh-CN" w:bidi="ar-SA"/>
        </w:rPr>
        <w:t>.3旅游文化资源</w:t>
      </w:r>
    </w:p>
    <w:p w14:paraId="656EC6A6">
      <w:pPr>
        <w:keepNext w:val="0"/>
        <w:keepLines w:val="0"/>
        <w:pageBreakBefore w:val="0"/>
        <w:kinsoku/>
        <w:wordWrap/>
        <w:overflowPunct/>
        <w:autoSpaceDE/>
        <w:autoSpaceDN/>
        <w:bidi w:val="0"/>
        <w:spacing w:line="500" w:lineRule="exact"/>
        <w:ind w:firstLine="560" w:firstLineChars="200"/>
        <w:jc w:val="both"/>
        <w:textAlignment w:val="auto"/>
        <w:rPr>
          <w:rFonts w:hint="eastAsia" w:ascii="Times New Roman" w:hAnsi="Times New Roman" w:eastAsia="方正仿宋_GBK" w:cs="方正仿宋_GBK"/>
          <w:b w:val="0"/>
          <w:bCs w:val="0"/>
          <w:color w:val="auto"/>
          <w:sz w:val="28"/>
          <w:szCs w:val="28"/>
          <w:lang w:val="en-US" w:eastAsia="zh-CN"/>
        </w:rPr>
      </w:pPr>
      <w:r>
        <w:rPr>
          <w:rFonts w:hint="eastAsia" w:ascii="Times New Roman" w:hAnsi="Times New Roman" w:eastAsia="方正仿宋_GBK" w:cs="方正仿宋_GBK"/>
          <w:b w:val="0"/>
          <w:bCs w:val="0"/>
          <w:color w:val="auto"/>
          <w:sz w:val="28"/>
          <w:szCs w:val="28"/>
          <w:lang w:val="en-US" w:eastAsia="zh-CN"/>
        </w:rPr>
        <w:t>新平县是滇中地区旅游资源富聚地，旅游资源景系完整，类型多样，景型覆盖面广，尤以生态、民风民俗类型的景型突出。县内红河谷是具有一定国际影响力的云南独有的花腰傣聚居区，哀牢山以禀赋独特的生物多样性生态资源而闻名中外，哀牢山原始自然生态环境、红河谷花腰傣民族风情和磨盘山国家森林公园共同构成新平县旅游资源的主体，与玉溪市其他县、区比较具有较强的互补性。至2021年底，全县共有A级景区7个，其中，4A级景区1个、3A级景区3个、2A级景区3个；具有一定规模的餐饮经营户556家、餐位7.9万个；住宿经营户318家、床位1.6万张（其中，星级酒店7家；星级乡村旅游接待点41户）；旅行社网点11家；综合文化站12个、农家书屋132个；不可移动文物保护单位共14处；非物质文化遗产保护项目名录119项，代表性传承人101人。</w:t>
      </w:r>
    </w:p>
    <w:p w14:paraId="66738627">
      <w:pPr>
        <w:pStyle w:val="6"/>
        <w:bidi w:val="0"/>
        <w:rPr>
          <w:rFonts w:hint="eastAsia" w:ascii="Times New Roman" w:hAnsi="Times New Roman" w:eastAsia="仿宋" w:cs="Times New Roman"/>
          <w:b/>
          <w:bCs/>
          <w:snapToGrid w:val="0"/>
          <w:color w:val="auto"/>
          <w:kern w:val="2"/>
          <w:sz w:val="28"/>
          <w:szCs w:val="32"/>
          <w:lang w:val="en-US" w:eastAsia="zh-CN" w:bidi="ar-SA"/>
        </w:rPr>
      </w:pPr>
      <w:r>
        <w:rPr>
          <w:rFonts w:ascii="Times New Roman" w:hAnsi="Times New Roman" w:eastAsia="仿宋" w:cs="Times New Roman"/>
          <w:b/>
          <w:bCs/>
          <w:snapToGrid w:val="0"/>
          <w:color w:val="auto"/>
          <w:kern w:val="2"/>
          <w:sz w:val="28"/>
          <w:szCs w:val="32"/>
          <w:lang w:val="en-US" w:eastAsia="zh-CN" w:bidi="ar-SA"/>
        </w:rPr>
        <w:t>2.1.</w:t>
      </w:r>
      <w:r>
        <w:rPr>
          <w:rFonts w:hint="eastAsia" w:ascii="Times New Roman" w:hAnsi="Times New Roman" w:eastAsia="仿宋" w:cs="Times New Roman"/>
          <w:b/>
          <w:bCs/>
          <w:snapToGrid w:val="0"/>
          <w:color w:val="auto"/>
          <w:kern w:val="2"/>
          <w:sz w:val="28"/>
          <w:szCs w:val="32"/>
          <w:lang w:val="en-US" w:eastAsia="zh-CN" w:bidi="ar-SA"/>
        </w:rPr>
        <w:t>4</w:t>
      </w:r>
      <w:r>
        <w:rPr>
          <w:rFonts w:ascii="Times New Roman" w:hAnsi="Times New Roman" w:eastAsia="仿宋" w:cs="Times New Roman"/>
          <w:b/>
          <w:bCs/>
          <w:snapToGrid w:val="0"/>
          <w:color w:val="auto"/>
          <w:kern w:val="2"/>
          <w:sz w:val="28"/>
          <w:szCs w:val="32"/>
          <w:lang w:val="en-US" w:eastAsia="zh-CN" w:bidi="ar-SA"/>
        </w:rPr>
        <w:t>.4土地资源</w:t>
      </w:r>
    </w:p>
    <w:p w14:paraId="25C33472">
      <w:pPr>
        <w:pageBreakBefore w:val="0"/>
        <w:kinsoku/>
        <w:wordWrap/>
        <w:topLinePunct/>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color w:val="auto"/>
          <w:sz w:val="30"/>
          <w:szCs w:val="30"/>
        </w:rPr>
      </w:pPr>
      <w:r>
        <w:rPr>
          <w:rFonts w:hint="eastAsia" w:ascii="Times New Roman" w:hAnsi="Times New Roman" w:eastAsia="方正仿宋_GBK" w:cs="方正仿宋_GBK"/>
          <w:b w:val="0"/>
          <w:bCs w:val="0"/>
          <w:color w:val="auto"/>
          <w:sz w:val="28"/>
          <w:szCs w:val="28"/>
          <w:lang w:val="en-US" w:eastAsia="zh-CN"/>
        </w:rPr>
        <w:t>县内土地资源丰富，在海拔1300米以下范围内，有农业综合开发后备资源76.2万亩，占全县总面积的12.0%，多分布于红河流域的宽谷地带及其支流流域的丘陵谷地，其特征是气候炎热干燥，少霜冻，为全县水稻、甘蔗、冬早蔬菜及亚热带水果主产区；在海拔1300～1900米地区，有农业综合开发后备资源117.6万亩，占全县总面积的18.5%，是玉米、水稻、烤烟的主产区；在海拔1900米以上区域，有农业综合开发后备资源30.1万亩，占全县总面积的4.7%，有大量的原始森林和高山草地，具有发展珍稀药材、经济林木、畜牧业及旅游业等自然优势；有可耕地69万亩、林地353万亩、牧草地126万亩、水域16万亩、交通用地7万亩、其他用地62万亩。</w:t>
      </w:r>
    </w:p>
    <w:p w14:paraId="2B7EAAEB">
      <w:pPr>
        <w:pStyle w:val="6"/>
        <w:bidi w:val="0"/>
        <w:rPr>
          <w:rFonts w:ascii="Times New Roman" w:hAnsi="Times New Roman" w:eastAsia="仿宋" w:cs="Times New Roman"/>
          <w:b/>
          <w:bCs/>
          <w:snapToGrid w:val="0"/>
          <w:color w:val="auto"/>
          <w:kern w:val="2"/>
          <w:sz w:val="28"/>
          <w:szCs w:val="32"/>
          <w:lang w:val="en-US" w:eastAsia="zh-CN" w:bidi="ar-SA"/>
        </w:rPr>
      </w:pPr>
      <w:r>
        <w:rPr>
          <w:rFonts w:ascii="Times New Roman" w:hAnsi="Times New Roman" w:eastAsia="仿宋" w:cs="Times New Roman"/>
          <w:b/>
          <w:bCs/>
          <w:snapToGrid w:val="0"/>
          <w:color w:val="auto"/>
          <w:kern w:val="2"/>
          <w:sz w:val="28"/>
          <w:szCs w:val="32"/>
          <w:lang w:val="en-US" w:eastAsia="zh-CN" w:bidi="ar-SA"/>
        </w:rPr>
        <w:t>2.1.</w:t>
      </w:r>
      <w:r>
        <w:rPr>
          <w:rFonts w:hint="eastAsia" w:ascii="Times New Roman" w:hAnsi="Times New Roman" w:eastAsia="仿宋" w:cs="Times New Roman"/>
          <w:b/>
          <w:bCs/>
          <w:snapToGrid w:val="0"/>
          <w:color w:val="auto"/>
          <w:kern w:val="2"/>
          <w:sz w:val="28"/>
          <w:szCs w:val="32"/>
          <w:lang w:val="en-US" w:eastAsia="zh-CN" w:bidi="ar-SA"/>
        </w:rPr>
        <w:t>4</w:t>
      </w:r>
      <w:r>
        <w:rPr>
          <w:rFonts w:ascii="Times New Roman" w:hAnsi="Times New Roman" w:eastAsia="仿宋" w:cs="Times New Roman"/>
          <w:b/>
          <w:bCs/>
          <w:snapToGrid w:val="0"/>
          <w:color w:val="auto"/>
          <w:kern w:val="2"/>
          <w:sz w:val="28"/>
          <w:szCs w:val="32"/>
          <w:lang w:val="en-US" w:eastAsia="zh-CN" w:bidi="ar-SA"/>
        </w:rPr>
        <w:t>.5矿产资源</w:t>
      </w:r>
    </w:p>
    <w:p w14:paraId="458C2DB6">
      <w:pPr>
        <w:pageBreakBefore w:val="0"/>
        <w:kinsoku/>
        <w:wordWrap/>
        <w:topLinePunct/>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color w:val="auto"/>
          <w:sz w:val="28"/>
          <w:szCs w:val="28"/>
        </w:rPr>
      </w:pPr>
      <w:r>
        <w:rPr>
          <w:rFonts w:hint="eastAsia" w:ascii="Times New Roman" w:hAnsi="Times New Roman" w:eastAsia="方正仿宋_GBK" w:cs="方正仿宋_GBK"/>
          <w:color w:val="auto"/>
          <w:sz w:val="28"/>
          <w:szCs w:val="28"/>
        </w:rPr>
        <w:t>新平县矿产资源种类和总资源储量位居玉溪市前列，拥有全国著名的大红山铁铜多金属矿床和全省有名的鲁奎山铁矿床。已发现矿种37余种（含伴生矿种），占云南省已发现矿种的26%，有各类矿床、矿点、矿化点97处，已探明金属矿有金、银、铜、铁、铬、镍、钴、铅、锌、铂、钯等，非金属矿产有煤、石灰石、白云石、蛇纹石、石膏、石棉、滑石、大理石等。铁矿石资源储量5.44亿吨、铜金属资源储量147.80万吨，分别占全市探明资源储量的82.98%和57.4%，约占全省铁矿石储量的三分之一和铜金属资源储量的四分之一；保有铅锌金属资源储量10835.16吨，</w:t>
      </w:r>
      <w:r>
        <w:rPr>
          <w:rFonts w:hint="eastAsia" w:ascii="Times New Roman" w:hAnsi="Times New Roman" w:eastAsia="方正仿宋_GBK" w:cs="方正仿宋_GBK"/>
          <w:color w:val="auto"/>
          <w:sz w:val="28"/>
          <w:szCs w:val="28"/>
          <w:lang w:eastAsia="zh-CN"/>
        </w:rPr>
        <w:t>金属资源</w:t>
      </w:r>
      <w:r>
        <w:rPr>
          <w:rFonts w:hint="eastAsia" w:ascii="Times New Roman" w:hAnsi="Times New Roman" w:eastAsia="方正仿宋_GBK" w:cs="方正仿宋_GBK"/>
          <w:color w:val="auto"/>
          <w:sz w:val="28"/>
          <w:szCs w:val="28"/>
        </w:rPr>
        <w:t>储量18784千克，铂族金属资源储量1142千克，银金属资源储量145吨，镍、钴金属资源储量4612.14吨，煤炭资源储量2103.54万吨，大理石资源储量673万立方米。</w:t>
      </w:r>
    </w:p>
    <w:p w14:paraId="3C2FD220">
      <w:pPr>
        <w:pStyle w:val="5"/>
        <w:pageBreakBefore w:val="0"/>
        <w:kinsoku/>
        <w:wordWrap/>
        <w:autoSpaceDE/>
        <w:autoSpaceDN/>
        <w:bidi w:val="0"/>
        <w:spacing w:before="120" w:after="120" w:line="500" w:lineRule="exact"/>
        <w:ind w:firstLine="0" w:firstLineChars="0"/>
        <w:textAlignment w:val="auto"/>
        <w:rPr>
          <w:rFonts w:eastAsia="仿宋"/>
          <w:snapToGrid w:val="0"/>
          <w:color w:val="auto"/>
          <w:sz w:val="28"/>
          <w:szCs w:val="28"/>
        </w:rPr>
      </w:pPr>
      <w:bookmarkStart w:id="56" w:name="_Toc4755"/>
      <w:r>
        <w:rPr>
          <w:rFonts w:eastAsia="仿宋"/>
          <w:snapToGrid w:val="0"/>
          <w:color w:val="auto"/>
          <w:sz w:val="28"/>
          <w:szCs w:val="28"/>
        </w:rPr>
        <w:t>2.1.5生态环境状况</w:t>
      </w:r>
      <w:bookmarkEnd w:id="56"/>
    </w:p>
    <w:p w14:paraId="4D75E6A7">
      <w:pPr>
        <w:pStyle w:val="6"/>
        <w:bidi w:val="0"/>
        <w:rPr>
          <w:rFonts w:ascii="Times New Roman" w:hAnsi="Times New Roman" w:eastAsia="仿宋" w:cs="Times New Roman"/>
          <w:b/>
          <w:bCs/>
          <w:snapToGrid w:val="0"/>
          <w:color w:val="auto"/>
          <w:kern w:val="2"/>
          <w:sz w:val="28"/>
          <w:szCs w:val="32"/>
          <w:lang w:val="en-US" w:eastAsia="zh-CN" w:bidi="ar-SA"/>
        </w:rPr>
      </w:pPr>
      <w:r>
        <w:rPr>
          <w:rFonts w:ascii="Times New Roman" w:hAnsi="Times New Roman" w:eastAsia="仿宋" w:cs="Times New Roman"/>
          <w:b/>
          <w:bCs/>
          <w:snapToGrid w:val="0"/>
          <w:color w:val="auto"/>
          <w:kern w:val="2"/>
          <w:sz w:val="28"/>
          <w:szCs w:val="32"/>
          <w:lang w:val="en-US" w:eastAsia="zh-CN" w:bidi="ar-SA"/>
        </w:rPr>
        <w:t>2.1.5.1水环境质量</w:t>
      </w:r>
    </w:p>
    <w:p w14:paraId="00DA65F9">
      <w:pPr>
        <w:keepNext w:val="0"/>
        <w:keepLines w:val="0"/>
        <w:pageBreakBefore w:val="0"/>
        <w:widowControl/>
        <w:kinsoku/>
        <w:wordWrap/>
        <w:topLinePunct w:val="0"/>
        <w:autoSpaceDE/>
        <w:autoSpaceDN/>
        <w:bidi w:val="0"/>
        <w:spacing w:line="500" w:lineRule="exact"/>
        <w:ind w:firstLine="592" w:firstLineChars="200"/>
        <w:textAlignment w:val="auto"/>
        <w:rPr>
          <w:rFonts w:hint="eastAsia" w:ascii="Times New Roman" w:hAnsi="Times New Roman" w:eastAsia="方正仿宋_GBK" w:cs="方正仿宋_GBK"/>
          <w:i w:val="0"/>
          <w:caps w:val="0"/>
          <w:color w:val="auto"/>
          <w:spacing w:val="8"/>
          <w:kern w:val="0"/>
          <w:sz w:val="28"/>
          <w:szCs w:val="28"/>
          <w:shd w:val="clear" w:color="auto" w:fill="FFFFFF"/>
          <w:lang w:val="en-US" w:eastAsia="zh-CN" w:bidi="ar-SA"/>
        </w:rPr>
      </w:pPr>
      <w:r>
        <w:rPr>
          <w:rFonts w:hint="eastAsia" w:ascii="Times New Roman" w:hAnsi="Times New Roman" w:eastAsia="方正仿宋_GBK" w:cs="方正仿宋_GBK"/>
          <w:i w:val="0"/>
          <w:caps w:val="0"/>
          <w:color w:val="auto"/>
          <w:spacing w:val="8"/>
          <w:kern w:val="0"/>
          <w:sz w:val="28"/>
          <w:szCs w:val="28"/>
          <w:shd w:val="clear" w:color="auto" w:fill="FFFFFF"/>
          <w:lang w:val="en-US" w:eastAsia="zh-CN" w:bidi="ar-SA"/>
        </w:rPr>
        <w:t>（1）地表水</w:t>
      </w:r>
    </w:p>
    <w:p w14:paraId="69CDD6FC">
      <w:pPr>
        <w:pStyle w:val="23"/>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wordWrap/>
        <w:overflowPunct w:val="0"/>
        <w:topLinePunct w:val="0"/>
        <w:autoSpaceDE/>
        <w:autoSpaceDN/>
        <w:bidi w:val="0"/>
        <w:adjustRightInd w:val="0"/>
        <w:snapToGrid w:val="0"/>
        <w:spacing w:before="0" w:beforeAutospacing="0" w:after="0" w:afterAutospacing="0" w:line="500" w:lineRule="exact"/>
        <w:ind w:left="0" w:right="0" w:firstLine="592" w:firstLineChars="200"/>
        <w:jc w:val="both"/>
        <w:textAlignment w:val="auto"/>
        <w:rPr>
          <w:rFonts w:hint="eastAsia" w:ascii="Times New Roman" w:hAnsi="Times New Roman" w:eastAsia="方正仿宋_GBK" w:cs="方正仿宋_GBK"/>
          <w:i w:val="0"/>
          <w:caps w:val="0"/>
          <w:color w:val="auto"/>
          <w:spacing w:val="8"/>
          <w:kern w:val="0"/>
          <w:sz w:val="28"/>
          <w:szCs w:val="28"/>
          <w:shd w:val="clear" w:color="auto" w:fill="FFFFFF"/>
          <w:lang w:val="en-US" w:eastAsia="zh-CN" w:bidi="ar-SA"/>
        </w:rPr>
      </w:pPr>
      <w:r>
        <w:rPr>
          <w:rFonts w:hint="eastAsia" w:ascii="Times New Roman" w:hAnsi="Times New Roman" w:eastAsia="方正仿宋_GBK" w:cs="宋体"/>
          <w:b w:val="0"/>
          <w:bCs w:val="0"/>
          <w:i w:val="0"/>
          <w:caps w:val="0"/>
          <w:color w:val="auto"/>
          <w:spacing w:val="8"/>
          <w:kern w:val="0"/>
          <w:sz w:val="28"/>
          <w:szCs w:val="28"/>
          <w:shd w:val="clear" w:color="auto" w:fill="FFFFFF"/>
          <w:lang w:val="en-US" w:eastAsia="zh-CN" w:bidi="ar-SA"/>
        </w:rPr>
        <w:t>“十三五”期间，新平县境内共有1个国控断面（三江口），2个省控</w:t>
      </w:r>
      <w:r>
        <w:rPr>
          <w:rFonts w:hint="eastAsia" w:ascii="Times New Roman" w:hAnsi="Times New Roman" w:eastAsia="方正仿宋_GBK" w:cs="方正仿宋_GBK"/>
          <w:i w:val="0"/>
          <w:caps w:val="0"/>
          <w:color w:val="auto"/>
          <w:spacing w:val="8"/>
          <w:kern w:val="0"/>
          <w:sz w:val="28"/>
          <w:szCs w:val="28"/>
          <w:shd w:val="clear" w:color="auto" w:fill="FFFFFF"/>
          <w:lang w:val="en-US" w:eastAsia="zh-CN" w:bidi="ar-SA"/>
        </w:rPr>
        <w:t>考核断面</w:t>
      </w:r>
      <w:r>
        <w:rPr>
          <w:rFonts w:hint="eastAsia" w:ascii="Times New Roman" w:hAnsi="Times New Roman" w:eastAsia="方正仿宋_GBK" w:cs="宋体"/>
          <w:b w:val="0"/>
          <w:bCs w:val="0"/>
          <w:i w:val="0"/>
          <w:caps w:val="0"/>
          <w:color w:val="auto"/>
          <w:spacing w:val="8"/>
          <w:kern w:val="0"/>
          <w:sz w:val="28"/>
          <w:szCs w:val="28"/>
          <w:shd w:val="clear" w:color="auto" w:fill="FFFFFF"/>
          <w:lang w:val="en-US" w:eastAsia="zh-CN" w:bidi="ar-SA"/>
        </w:rPr>
        <w:t>（居拉里大桥、南媷），3个监测断面水质均达到或优于Ⅲ类，水功能区达标率100%</w:t>
      </w:r>
      <w:r>
        <w:rPr>
          <w:rFonts w:hint="eastAsia" w:ascii="Times New Roman" w:hAnsi="Times New Roman" w:eastAsia="方正仿宋_GBK" w:cs="方正仿宋_GBK"/>
          <w:i w:val="0"/>
          <w:caps w:val="0"/>
          <w:color w:val="auto"/>
          <w:spacing w:val="8"/>
          <w:kern w:val="0"/>
          <w:sz w:val="28"/>
          <w:szCs w:val="28"/>
          <w:shd w:val="clear" w:color="auto" w:fill="FFFFFF"/>
          <w:lang w:val="en-US" w:eastAsia="zh-CN" w:bidi="ar-SA"/>
        </w:rPr>
        <w:t>。2021年，新平县主要河流为小河底河、戛洒江和平甸河，包括1个国家考核断面（化念水库（小河底河）），3个省控考核断面（他拉河水库、居拉里大桥、南薅），4个监测断面水质稳定达到或优于地表水环境质量Ⅲ类标准，达到了功能区划要求及考核目标要求，断面水质达标率为100%。新平县境内无劣Ⅴ类水体。新平县2017—2021年河流（湖库）断面水质情况见表2.1.5-1。</w:t>
      </w:r>
    </w:p>
    <w:p w14:paraId="1A4893BD">
      <w:pPr>
        <w:adjustRightInd w:val="0"/>
        <w:snapToGrid w:val="0"/>
        <w:spacing w:line="400" w:lineRule="exact"/>
        <w:jc w:val="center"/>
      </w:pPr>
      <w:r>
        <w:rPr>
          <w:rFonts w:ascii="Times New Roman" w:hAnsi="Times New Roman" w:eastAsia="方正仿宋_GBK" w:cs="Times New Roman"/>
          <w:b/>
          <w:color w:val="auto"/>
          <w:sz w:val="28"/>
          <w:szCs w:val="28"/>
        </w:rPr>
        <w:t>表2.1.5</w:t>
      </w:r>
      <w:r>
        <w:rPr>
          <w:rFonts w:hint="eastAsia" w:ascii="Times New Roman" w:hAnsi="Times New Roman" w:eastAsia="方正仿宋_GBK" w:cs="Times New Roman"/>
          <w:b/>
          <w:color w:val="auto"/>
          <w:sz w:val="28"/>
          <w:szCs w:val="28"/>
          <w:lang w:val="en-US" w:eastAsia="zh-CN"/>
        </w:rPr>
        <w:t>.1</w:t>
      </w:r>
      <w:r>
        <w:rPr>
          <w:rFonts w:ascii="Times New Roman" w:hAnsi="Times New Roman" w:eastAsia="方正仿宋_GBK" w:cs="Times New Roman"/>
          <w:b/>
          <w:color w:val="auto"/>
          <w:sz w:val="28"/>
          <w:szCs w:val="28"/>
        </w:rPr>
        <w:t xml:space="preserve">-1 </w:t>
      </w:r>
      <w:r>
        <w:rPr>
          <w:rFonts w:hint="eastAsia" w:ascii="Times New Roman" w:hAnsi="Times New Roman" w:eastAsia="方正仿宋_GBK" w:cs="Times New Roman"/>
          <w:b/>
          <w:color w:val="auto"/>
          <w:sz w:val="28"/>
          <w:szCs w:val="28"/>
          <w:lang w:val="en-US" w:eastAsia="zh-CN"/>
        </w:rPr>
        <w:t>2017—</w:t>
      </w:r>
      <w:r>
        <w:rPr>
          <w:rFonts w:ascii="Times New Roman" w:hAnsi="Times New Roman" w:eastAsia="方正仿宋_GBK" w:cs="Times New Roman"/>
          <w:b/>
          <w:color w:val="auto"/>
          <w:sz w:val="28"/>
          <w:szCs w:val="28"/>
        </w:rPr>
        <w:t>202</w:t>
      </w:r>
      <w:r>
        <w:rPr>
          <w:rFonts w:hint="eastAsia" w:ascii="Times New Roman" w:hAnsi="Times New Roman" w:eastAsia="方正仿宋_GBK" w:cs="Times New Roman"/>
          <w:b/>
          <w:color w:val="auto"/>
          <w:sz w:val="28"/>
          <w:szCs w:val="28"/>
          <w:lang w:val="en-US" w:eastAsia="zh-CN"/>
        </w:rPr>
        <w:t>1</w:t>
      </w:r>
      <w:r>
        <w:rPr>
          <w:rFonts w:ascii="Times New Roman" w:hAnsi="Times New Roman" w:eastAsia="方正仿宋_GBK" w:cs="Times New Roman"/>
          <w:b/>
          <w:color w:val="auto"/>
          <w:sz w:val="28"/>
          <w:szCs w:val="28"/>
        </w:rPr>
        <w:t>年</w:t>
      </w:r>
      <w:r>
        <w:rPr>
          <w:rFonts w:hint="eastAsia" w:ascii="Times New Roman" w:hAnsi="Times New Roman" w:eastAsia="方正仿宋_GBK" w:cs="Times New Roman"/>
          <w:b/>
          <w:color w:val="auto"/>
          <w:sz w:val="28"/>
          <w:szCs w:val="28"/>
          <w:lang w:val="en-US" w:eastAsia="zh-CN"/>
        </w:rPr>
        <w:t>新平县</w:t>
      </w:r>
      <w:r>
        <w:rPr>
          <w:rFonts w:ascii="Times New Roman" w:hAnsi="Times New Roman" w:eastAsia="方正仿宋_GBK" w:cs="Times New Roman"/>
          <w:b/>
          <w:color w:val="auto"/>
          <w:sz w:val="28"/>
          <w:szCs w:val="28"/>
        </w:rPr>
        <w:t>主要断面水质状况统计表</w:t>
      </w:r>
    </w:p>
    <w:tbl>
      <w:tblPr>
        <w:tblStyle w:val="2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ayout w:type="autofit"/>
        <w:tblCellMar>
          <w:top w:w="0" w:type="dxa"/>
          <w:left w:w="108" w:type="dxa"/>
          <w:bottom w:w="0" w:type="dxa"/>
          <w:right w:w="108" w:type="dxa"/>
        </w:tblCellMar>
      </w:tblPr>
      <w:tblGrid>
        <w:gridCol w:w="496"/>
        <w:gridCol w:w="650"/>
        <w:gridCol w:w="715"/>
        <w:gridCol w:w="630"/>
        <w:gridCol w:w="690"/>
        <w:gridCol w:w="731"/>
        <w:gridCol w:w="731"/>
        <w:gridCol w:w="731"/>
        <w:gridCol w:w="731"/>
        <w:gridCol w:w="731"/>
        <w:gridCol w:w="1686"/>
      </w:tblGrid>
      <w:tr w14:paraId="2E2DF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312" w:hRule="atLeast"/>
          <w:jc w:val="center"/>
        </w:trPr>
        <w:tc>
          <w:tcPr>
            <w:tcW w:w="0" w:type="auto"/>
            <w:vMerge w:val="restart"/>
            <w:shd w:val="clear" w:color="auto" w:fill="FFFFFF" w:themeFill="background1"/>
            <w:vAlign w:val="center"/>
          </w:tcPr>
          <w:p w14:paraId="05B50776">
            <w:pPr>
              <w:widowControl/>
              <w:spacing w:line="360" w:lineRule="auto"/>
              <w:jc w:val="center"/>
              <w:rPr>
                <w:rFonts w:hint="default" w:ascii="Times New Roman" w:hAnsi="Times New Roman" w:eastAsia="方正仿宋_GBK" w:cs="Times New Roman"/>
                <w:b/>
                <w:bCs/>
                <w:color w:val="auto"/>
                <w:sz w:val="22"/>
                <w:szCs w:val="18"/>
                <w:lang w:val="en-US" w:eastAsia="zh-CN"/>
              </w:rPr>
            </w:pPr>
            <w:r>
              <w:rPr>
                <w:rFonts w:hint="eastAsia" w:ascii="Times New Roman" w:hAnsi="Times New Roman" w:eastAsia="方正仿宋_GBK" w:cs="Times New Roman"/>
                <w:b/>
                <w:bCs/>
                <w:color w:val="auto"/>
                <w:sz w:val="22"/>
                <w:szCs w:val="18"/>
                <w:lang w:val="en-US" w:eastAsia="zh-CN"/>
              </w:rPr>
              <w:t>序号</w:t>
            </w:r>
          </w:p>
        </w:tc>
        <w:tc>
          <w:tcPr>
            <w:tcW w:w="0" w:type="auto"/>
            <w:vMerge w:val="restart"/>
            <w:shd w:val="clear" w:color="auto" w:fill="FFFFFF" w:themeFill="background1"/>
            <w:vAlign w:val="center"/>
          </w:tcPr>
          <w:p w14:paraId="26D49348">
            <w:pPr>
              <w:widowControl/>
              <w:spacing w:line="360" w:lineRule="auto"/>
              <w:jc w:val="center"/>
              <w:rPr>
                <w:rFonts w:ascii="Times New Roman" w:hAnsi="Times New Roman" w:eastAsia="方正仿宋_GBK" w:cs="Times New Roman"/>
                <w:b/>
                <w:bCs/>
                <w:color w:val="auto"/>
                <w:sz w:val="22"/>
                <w:szCs w:val="18"/>
              </w:rPr>
            </w:pPr>
            <w:r>
              <w:rPr>
                <w:rFonts w:ascii="Times New Roman" w:hAnsi="Times New Roman" w:eastAsia="方正仿宋_GBK" w:cs="Times New Roman"/>
                <w:b/>
                <w:bCs/>
                <w:color w:val="auto"/>
                <w:sz w:val="22"/>
                <w:szCs w:val="18"/>
              </w:rPr>
              <w:t>所在河流</w:t>
            </w:r>
          </w:p>
        </w:tc>
        <w:tc>
          <w:tcPr>
            <w:tcW w:w="0" w:type="auto"/>
            <w:vMerge w:val="restart"/>
            <w:shd w:val="clear" w:color="auto" w:fill="FFFFFF" w:themeFill="background1"/>
            <w:vAlign w:val="center"/>
          </w:tcPr>
          <w:p w14:paraId="103722B7">
            <w:pPr>
              <w:widowControl/>
              <w:spacing w:line="360" w:lineRule="auto"/>
              <w:jc w:val="center"/>
              <w:rPr>
                <w:rFonts w:ascii="Times New Roman" w:hAnsi="Times New Roman" w:eastAsia="方正仿宋_GBK" w:cs="Times New Roman"/>
                <w:b/>
                <w:bCs/>
                <w:color w:val="auto"/>
                <w:sz w:val="22"/>
                <w:szCs w:val="18"/>
              </w:rPr>
            </w:pPr>
            <w:r>
              <w:rPr>
                <w:rFonts w:ascii="Times New Roman" w:hAnsi="Times New Roman" w:eastAsia="方正仿宋_GBK" w:cs="Times New Roman"/>
                <w:b/>
                <w:bCs/>
                <w:color w:val="auto"/>
                <w:sz w:val="22"/>
                <w:szCs w:val="18"/>
              </w:rPr>
              <w:t>断面名称</w:t>
            </w:r>
          </w:p>
        </w:tc>
        <w:tc>
          <w:tcPr>
            <w:tcW w:w="0" w:type="auto"/>
            <w:vMerge w:val="restart"/>
            <w:shd w:val="clear" w:color="auto" w:fill="FFFFFF" w:themeFill="background1"/>
            <w:vAlign w:val="center"/>
          </w:tcPr>
          <w:p w14:paraId="548A2395">
            <w:pPr>
              <w:widowControl/>
              <w:spacing w:line="360" w:lineRule="auto"/>
              <w:jc w:val="center"/>
              <w:rPr>
                <w:rFonts w:ascii="Times New Roman" w:hAnsi="Times New Roman" w:eastAsia="方正仿宋_GBK" w:cs="Times New Roman"/>
                <w:b/>
                <w:bCs/>
                <w:color w:val="auto"/>
                <w:sz w:val="22"/>
                <w:szCs w:val="18"/>
              </w:rPr>
            </w:pPr>
            <w:r>
              <w:rPr>
                <w:rFonts w:ascii="Times New Roman" w:hAnsi="Times New Roman" w:eastAsia="方正仿宋_GBK" w:cs="Times New Roman"/>
                <w:b/>
                <w:bCs/>
                <w:color w:val="auto"/>
                <w:sz w:val="22"/>
                <w:szCs w:val="18"/>
              </w:rPr>
              <w:t>断面属性</w:t>
            </w:r>
          </w:p>
        </w:tc>
        <w:tc>
          <w:tcPr>
            <w:tcW w:w="0" w:type="auto"/>
            <w:vMerge w:val="restart"/>
            <w:shd w:val="clear" w:color="auto" w:fill="FFFFFF" w:themeFill="background1"/>
            <w:vAlign w:val="center"/>
          </w:tcPr>
          <w:p w14:paraId="016A9A54">
            <w:pPr>
              <w:widowControl/>
              <w:spacing w:line="360" w:lineRule="auto"/>
              <w:jc w:val="center"/>
              <w:rPr>
                <w:rFonts w:ascii="Times New Roman" w:hAnsi="Times New Roman" w:eastAsia="方正仿宋_GBK" w:cs="Times New Roman"/>
                <w:b/>
                <w:bCs/>
                <w:color w:val="auto"/>
                <w:sz w:val="22"/>
                <w:szCs w:val="18"/>
              </w:rPr>
            </w:pPr>
            <w:r>
              <w:rPr>
                <w:rFonts w:ascii="Times New Roman" w:hAnsi="Times New Roman" w:eastAsia="方正仿宋_GBK" w:cs="Times New Roman"/>
                <w:b/>
                <w:bCs/>
                <w:color w:val="auto"/>
                <w:sz w:val="22"/>
                <w:szCs w:val="18"/>
              </w:rPr>
              <w:t>水环境功能</w:t>
            </w:r>
          </w:p>
        </w:tc>
        <w:tc>
          <w:tcPr>
            <w:tcW w:w="0" w:type="auto"/>
            <w:gridSpan w:val="5"/>
            <w:shd w:val="clear" w:color="auto" w:fill="FFFFFF" w:themeFill="background1"/>
            <w:vAlign w:val="center"/>
          </w:tcPr>
          <w:p w14:paraId="455FA4DB">
            <w:pPr>
              <w:widowControl/>
              <w:spacing w:line="360" w:lineRule="auto"/>
              <w:jc w:val="center"/>
              <w:rPr>
                <w:rFonts w:hint="default" w:ascii="Times New Roman" w:hAnsi="Times New Roman" w:eastAsia="方正仿宋_GBK" w:cs="Times New Roman"/>
                <w:b/>
                <w:bCs/>
                <w:color w:val="auto"/>
                <w:sz w:val="22"/>
                <w:szCs w:val="18"/>
                <w:lang w:val="en-US" w:eastAsia="zh-CN"/>
              </w:rPr>
            </w:pPr>
            <w:r>
              <w:rPr>
                <w:rFonts w:hint="eastAsia" w:ascii="Times New Roman" w:hAnsi="Times New Roman" w:eastAsia="方正仿宋_GBK" w:cs="Times New Roman"/>
                <w:b/>
                <w:bCs/>
                <w:color w:val="auto"/>
                <w:sz w:val="22"/>
                <w:szCs w:val="18"/>
                <w:lang w:val="en-US" w:eastAsia="zh-CN"/>
              </w:rPr>
              <w:t>水质类别</w:t>
            </w:r>
          </w:p>
        </w:tc>
        <w:tc>
          <w:tcPr>
            <w:tcW w:w="0" w:type="auto"/>
            <w:vMerge w:val="restart"/>
            <w:shd w:val="clear" w:color="auto" w:fill="FFFFFF" w:themeFill="background1"/>
            <w:vAlign w:val="center"/>
          </w:tcPr>
          <w:p w14:paraId="00D6D5E0">
            <w:pPr>
              <w:widowControl/>
              <w:spacing w:line="360" w:lineRule="auto"/>
              <w:jc w:val="center"/>
              <w:rPr>
                <w:rFonts w:hint="default" w:ascii="Times New Roman" w:hAnsi="Times New Roman" w:eastAsia="方正仿宋_GBK" w:cs="Times New Roman"/>
                <w:b/>
                <w:bCs/>
                <w:color w:val="auto"/>
                <w:sz w:val="22"/>
                <w:szCs w:val="18"/>
                <w:lang w:val="en-US" w:eastAsia="zh-CN"/>
              </w:rPr>
            </w:pPr>
            <w:r>
              <w:rPr>
                <w:rFonts w:hint="eastAsia" w:ascii="Times New Roman" w:hAnsi="Times New Roman" w:eastAsia="方正仿宋_GBK" w:cs="Times New Roman"/>
                <w:b/>
                <w:bCs/>
                <w:color w:val="auto"/>
                <w:sz w:val="22"/>
                <w:szCs w:val="18"/>
                <w:lang w:val="en-US" w:eastAsia="zh-CN"/>
              </w:rPr>
              <w:t>备注</w:t>
            </w:r>
          </w:p>
        </w:tc>
      </w:tr>
      <w:tr w14:paraId="3702E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1180" w:hRule="atLeast"/>
          <w:jc w:val="center"/>
        </w:trPr>
        <w:tc>
          <w:tcPr>
            <w:tcW w:w="0" w:type="auto"/>
            <w:vMerge w:val="continue"/>
            <w:shd w:val="clear" w:color="auto" w:fill="FFFFFF" w:themeFill="background1"/>
            <w:vAlign w:val="center"/>
          </w:tcPr>
          <w:p w14:paraId="4DE1CD4A">
            <w:pPr>
              <w:widowControl/>
              <w:spacing w:line="360" w:lineRule="auto"/>
              <w:jc w:val="center"/>
              <w:rPr>
                <w:rFonts w:ascii="Times New Roman" w:hAnsi="Times New Roman" w:eastAsia="方正仿宋_GBK" w:cs="Times New Roman"/>
                <w:b/>
                <w:bCs/>
                <w:color w:val="auto"/>
                <w:sz w:val="22"/>
                <w:szCs w:val="18"/>
              </w:rPr>
            </w:pPr>
          </w:p>
        </w:tc>
        <w:tc>
          <w:tcPr>
            <w:tcW w:w="0" w:type="auto"/>
            <w:vMerge w:val="continue"/>
            <w:shd w:val="clear" w:color="auto" w:fill="FFFFFF" w:themeFill="background1"/>
            <w:vAlign w:val="center"/>
          </w:tcPr>
          <w:p w14:paraId="132DE5F7">
            <w:pPr>
              <w:widowControl/>
              <w:spacing w:line="360" w:lineRule="auto"/>
              <w:jc w:val="center"/>
              <w:rPr>
                <w:rFonts w:ascii="Times New Roman" w:hAnsi="Times New Roman" w:eastAsia="方正仿宋_GBK" w:cs="Times New Roman"/>
                <w:b/>
                <w:bCs/>
                <w:color w:val="auto"/>
                <w:sz w:val="22"/>
                <w:szCs w:val="18"/>
              </w:rPr>
            </w:pPr>
          </w:p>
        </w:tc>
        <w:tc>
          <w:tcPr>
            <w:tcW w:w="0" w:type="auto"/>
            <w:vMerge w:val="continue"/>
            <w:shd w:val="clear" w:color="auto" w:fill="FFFFFF" w:themeFill="background1"/>
            <w:vAlign w:val="center"/>
          </w:tcPr>
          <w:p w14:paraId="54824227">
            <w:pPr>
              <w:widowControl/>
              <w:spacing w:line="360" w:lineRule="auto"/>
              <w:jc w:val="center"/>
              <w:rPr>
                <w:rFonts w:ascii="Times New Roman" w:hAnsi="Times New Roman" w:eastAsia="方正仿宋_GBK" w:cs="Times New Roman"/>
                <w:b/>
                <w:bCs/>
                <w:color w:val="auto"/>
                <w:sz w:val="22"/>
                <w:szCs w:val="18"/>
              </w:rPr>
            </w:pPr>
          </w:p>
        </w:tc>
        <w:tc>
          <w:tcPr>
            <w:tcW w:w="0" w:type="auto"/>
            <w:vMerge w:val="continue"/>
            <w:shd w:val="clear" w:color="auto" w:fill="FFFFFF" w:themeFill="background1"/>
            <w:vAlign w:val="center"/>
          </w:tcPr>
          <w:p w14:paraId="5D0E9F53">
            <w:pPr>
              <w:widowControl/>
              <w:spacing w:line="360" w:lineRule="auto"/>
              <w:jc w:val="center"/>
              <w:rPr>
                <w:rFonts w:ascii="Times New Roman" w:hAnsi="Times New Roman" w:eastAsia="方正仿宋_GBK" w:cs="Times New Roman"/>
                <w:b/>
                <w:bCs/>
                <w:color w:val="auto"/>
                <w:sz w:val="22"/>
                <w:szCs w:val="18"/>
              </w:rPr>
            </w:pPr>
          </w:p>
        </w:tc>
        <w:tc>
          <w:tcPr>
            <w:tcW w:w="0" w:type="auto"/>
            <w:vMerge w:val="continue"/>
            <w:shd w:val="clear" w:color="auto" w:fill="FFFFFF" w:themeFill="background1"/>
            <w:vAlign w:val="center"/>
          </w:tcPr>
          <w:p w14:paraId="2B7EC1FE">
            <w:pPr>
              <w:widowControl/>
              <w:spacing w:line="360" w:lineRule="auto"/>
              <w:jc w:val="center"/>
              <w:rPr>
                <w:rFonts w:ascii="Times New Roman" w:hAnsi="Times New Roman" w:eastAsia="方正仿宋_GBK" w:cs="Times New Roman"/>
                <w:b/>
                <w:bCs/>
                <w:color w:val="auto"/>
                <w:sz w:val="22"/>
                <w:szCs w:val="18"/>
              </w:rPr>
            </w:pPr>
          </w:p>
        </w:tc>
        <w:tc>
          <w:tcPr>
            <w:tcW w:w="0" w:type="auto"/>
            <w:shd w:val="clear" w:color="auto" w:fill="FFFFFF" w:themeFill="background1"/>
            <w:vAlign w:val="center"/>
          </w:tcPr>
          <w:p w14:paraId="00B5549B">
            <w:pPr>
              <w:widowControl/>
              <w:spacing w:line="360" w:lineRule="auto"/>
              <w:jc w:val="center"/>
              <w:rPr>
                <w:rFonts w:hint="default" w:ascii="Times New Roman" w:hAnsi="Times New Roman" w:eastAsia="方正仿宋_GBK" w:cs="Times New Roman"/>
                <w:b/>
                <w:bCs/>
                <w:color w:val="auto"/>
                <w:sz w:val="22"/>
                <w:szCs w:val="18"/>
                <w:lang w:val="en-US" w:eastAsia="zh-CN"/>
              </w:rPr>
            </w:pPr>
            <w:r>
              <w:rPr>
                <w:rFonts w:hint="eastAsia" w:ascii="Times New Roman" w:hAnsi="Times New Roman" w:eastAsia="方正仿宋_GBK" w:cs="Times New Roman"/>
                <w:b/>
                <w:bCs/>
                <w:color w:val="auto"/>
                <w:sz w:val="22"/>
                <w:szCs w:val="18"/>
                <w:lang w:val="en-US" w:eastAsia="zh-CN"/>
              </w:rPr>
              <w:t>2017年</w:t>
            </w:r>
          </w:p>
        </w:tc>
        <w:tc>
          <w:tcPr>
            <w:tcW w:w="0" w:type="auto"/>
            <w:shd w:val="clear" w:color="auto" w:fill="FFFFFF" w:themeFill="background1"/>
            <w:vAlign w:val="center"/>
          </w:tcPr>
          <w:p w14:paraId="746B1092">
            <w:pPr>
              <w:widowControl/>
              <w:spacing w:line="360" w:lineRule="auto"/>
              <w:jc w:val="center"/>
              <w:rPr>
                <w:rFonts w:hint="default" w:ascii="Times New Roman" w:hAnsi="Times New Roman" w:eastAsia="方正仿宋_GBK" w:cs="Times New Roman"/>
                <w:b/>
                <w:bCs/>
                <w:color w:val="auto"/>
                <w:sz w:val="22"/>
                <w:szCs w:val="18"/>
                <w:lang w:val="en-US" w:eastAsia="zh-CN"/>
              </w:rPr>
            </w:pPr>
            <w:r>
              <w:rPr>
                <w:rFonts w:hint="eastAsia" w:ascii="Times New Roman" w:hAnsi="Times New Roman" w:eastAsia="方正仿宋_GBK" w:cs="Times New Roman"/>
                <w:b/>
                <w:bCs/>
                <w:color w:val="auto"/>
                <w:sz w:val="22"/>
                <w:szCs w:val="18"/>
                <w:lang w:val="en-US" w:eastAsia="zh-CN"/>
              </w:rPr>
              <w:t>2018年</w:t>
            </w:r>
          </w:p>
        </w:tc>
        <w:tc>
          <w:tcPr>
            <w:tcW w:w="0" w:type="auto"/>
            <w:shd w:val="clear" w:color="auto" w:fill="FFFFFF" w:themeFill="background1"/>
            <w:vAlign w:val="center"/>
          </w:tcPr>
          <w:p w14:paraId="544D7FD0">
            <w:pPr>
              <w:widowControl/>
              <w:spacing w:line="360" w:lineRule="auto"/>
              <w:jc w:val="center"/>
              <w:rPr>
                <w:rFonts w:hint="default" w:ascii="Times New Roman" w:hAnsi="Times New Roman" w:eastAsia="方正仿宋_GBK" w:cs="Times New Roman"/>
                <w:b/>
                <w:bCs/>
                <w:color w:val="auto"/>
                <w:sz w:val="22"/>
                <w:szCs w:val="18"/>
                <w:lang w:val="en-US" w:eastAsia="zh-CN"/>
              </w:rPr>
            </w:pPr>
            <w:r>
              <w:rPr>
                <w:rFonts w:hint="eastAsia" w:ascii="Times New Roman" w:hAnsi="Times New Roman" w:eastAsia="方正仿宋_GBK" w:cs="Times New Roman"/>
                <w:b/>
                <w:bCs/>
                <w:color w:val="auto"/>
                <w:sz w:val="22"/>
                <w:szCs w:val="18"/>
                <w:lang w:val="en-US" w:eastAsia="zh-CN"/>
              </w:rPr>
              <w:t>2019年</w:t>
            </w:r>
          </w:p>
        </w:tc>
        <w:tc>
          <w:tcPr>
            <w:tcW w:w="0" w:type="auto"/>
            <w:shd w:val="clear" w:color="auto" w:fill="FFFFFF" w:themeFill="background1"/>
            <w:vAlign w:val="center"/>
          </w:tcPr>
          <w:p w14:paraId="123671E4">
            <w:pPr>
              <w:widowControl/>
              <w:spacing w:line="360" w:lineRule="auto"/>
              <w:jc w:val="center"/>
              <w:rPr>
                <w:rFonts w:hint="default" w:ascii="Times New Roman" w:hAnsi="Times New Roman" w:eastAsia="方正仿宋_GBK" w:cs="Times New Roman"/>
                <w:b/>
                <w:bCs/>
                <w:color w:val="auto"/>
                <w:sz w:val="22"/>
                <w:szCs w:val="18"/>
                <w:lang w:val="en-US" w:eastAsia="zh-CN"/>
              </w:rPr>
            </w:pPr>
            <w:r>
              <w:rPr>
                <w:rFonts w:hint="eastAsia" w:ascii="Times New Roman" w:hAnsi="Times New Roman" w:eastAsia="方正仿宋_GBK" w:cs="Times New Roman"/>
                <w:b/>
                <w:bCs/>
                <w:color w:val="auto"/>
                <w:sz w:val="22"/>
                <w:szCs w:val="18"/>
                <w:lang w:val="en-US" w:eastAsia="zh-CN"/>
              </w:rPr>
              <w:t>2020年</w:t>
            </w:r>
          </w:p>
        </w:tc>
        <w:tc>
          <w:tcPr>
            <w:tcW w:w="0" w:type="auto"/>
            <w:shd w:val="clear" w:color="auto" w:fill="FFFFFF" w:themeFill="background1"/>
            <w:vAlign w:val="center"/>
          </w:tcPr>
          <w:p w14:paraId="1EF65BFE">
            <w:pPr>
              <w:widowControl/>
              <w:spacing w:line="360" w:lineRule="auto"/>
              <w:jc w:val="center"/>
              <w:rPr>
                <w:rFonts w:hint="default" w:ascii="Times New Roman" w:hAnsi="Times New Roman" w:eastAsia="方正仿宋_GBK" w:cs="Times New Roman"/>
                <w:b/>
                <w:bCs/>
                <w:color w:val="auto"/>
                <w:sz w:val="22"/>
                <w:szCs w:val="18"/>
                <w:lang w:val="en-US" w:eastAsia="zh-CN"/>
              </w:rPr>
            </w:pPr>
            <w:r>
              <w:rPr>
                <w:rFonts w:hint="eastAsia" w:ascii="Times New Roman" w:hAnsi="Times New Roman" w:eastAsia="方正仿宋_GBK" w:cs="Times New Roman"/>
                <w:b/>
                <w:bCs/>
                <w:color w:val="auto"/>
                <w:sz w:val="22"/>
                <w:szCs w:val="18"/>
                <w:lang w:val="en-US" w:eastAsia="zh-CN"/>
              </w:rPr>
              <w:t>2021年</w:t>
            </w:r>
          </w:p>
        </w:tc>
        <w:tc>
          <w:tcPr>
            <w:tcW w:w="0" w:type="auto"/>
            <w:vMerge w:val="continue"/>
            <w:shd w:val="clear" w:color="auto" w:fill="FFFFFF" w:themeFill="background1"/>
            <w:vAlign w:val="center"/>
          </w:tcPr>
          <w:p w14:paraId="2CFCCF35">
            <w:pPr>
              <w:widowControl/>
              <w:spacing w:line="360" w:lineRule="auto"/>
              <w:jc w:val="center"/>
              <w:rPr>
                <w:rFonts w:hint="eastAsia" w:ascii="Times New Roman" w:hAnsi="Times New Roman" w:eastAsia="方正仿宋_GBK" w:cs="Times New Roman"/>
                <w:b/>
                <w:bCs/>
                <w:color w:val="auto"/>
                <w:sz w:val="22"/>
                <w:szCs w:val="18"/>
                <w:lang w:val="en-US" w:eastAsia="zh-CN"/>
              </w:rPr>
            </w:pPr>
          </w:p>
        </w:tc>
      </w:tr>
      <w:tr w14:paraId="72397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579" w:hRule="atLeast"/>
          <w:jc w:val="center"/>
        </w:trPr>
        <w:tc>
          <w:tcPr>
            <w:tcW w:w="0" w:type="auto"/>
            <w:shd w:val="clear" w:color="auto" w:fill="FFFFFF" w:themeFill="background1"/>
            <w:vAlign w:val="center"/>
          </w:tcPr>
          <w:p w14:paraId="5F981668">
            <w:pPr>
              <w:adjustRightInd w:val="0"/>
              <w:snapToGrid w:val="0"/>
              <w:spacing w:line="400" w:lineRule="exact"/>
              <w:jc w:val="center"/>
              <w:rPr>
                <w:rFonts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rPr>
              <w:t>1</w:t>
            </w:r>
          </w:p>
        </w:tc>
        <w:tc>
          <w:tcPr>
            <w:tcW w:w="0" w:type="auto"/>
            <w:shd w:val="clear" w:color="auto" w:fill="FFFFFF" w:themeFill="background1"/>
            <w:vAlign w:val="center"/>
          </w:tcPr>
          <w:p w14:paraId="79845B1B">
            <w:pPr>
              <w:adjustRightInd w:val="0"/>
              <w:snapToGrid w:val="0"/>
              <w:spacing w:line="400" w:lineRule="exact"/>
              <w:jc w:val="center"/>
              <w:rPr>
                <w:rFonts w:hint="eastAsia" w:ascii="Times New Roman" w:hAnsi="Times New Roman" w:eastAsia="方正仿宋_GBK" w:cs="Times New Roman"/>
                <w:color w:val="auto"/>
                <w:sz w:val="24"/>
                <w:szCs w:val="20"/>
                <w:lang w:val="en-US" w:eastAsia="zh-CN"/>
              </w:rPr>
            </w:pPr>
            <w:r>
              <w:rPr>
                <w:rFonts w:ascii="Times New Roman" w:hAnsi="Times New Roman" w:eastAsia="方正仿宋_GBK" w:cs="Times New Roman"/>
                <w:color w:val="auto"/>
                <w:sz w:val="24"/>
                <w:szCs w:val="20"/>
              </w:rPr>
              <w:t>小河底河</w:t>
            </w:r>
          </w:p>
        </w:tc>
        <w:tc>
          <w:tcPr>
            <w:tcW w:w="0" w:type="auto"/>
            <w:shd w:val="clear" w:color="auto" w:fill="FFFFFF" w:themeFill="background1"/>
            <w:vAlign w:val="center"/>
          </w:tcPr>
          <w:p w14:paraId="51C979AD">
            <w:pPr>
              <w:adjustRightInd w:val="0"/>
              <w:snapToGrid w:val="0"/>
              <w:spacing w:line="400" w:lineRule="exact"/>
              <w:jc w:val="center"/>
              <w:rPr>
                <w:rFonts w:hint="default"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化念河水库</w:t>
            </w:r>
          </w:p>
        </w:tc>
        <w:tc>
          <w:tcPr>
            <w:tcW w:w="0" w:type="auto"/>
            <w:shd w:val="clear" w:color="auto" w:fill="FFFFFF" w:themeFill="background1"/>
            <w:vAlign w:val="center"/>
          </w:tcPr>
          <w:p w14:paraId="0E7A6C90">
            <w:pPr>
              <w:adjustRightInd w:val="0"/>
              <w:snapToGrid w:val="0"/>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国控</w:t>
            </w:r>
          </w:p>
        </w:tc>
        <w:tc>
          <w:tcPr>
            <w:tcW w:w="0" w:type="auto"/>
            <w:shd w:val="clear" w:color="auto" w:fill="FFFFFF" w:themeFill="background1"/>
            <w:vAlign w:val="center"/>
          </w:tcPr>
          <w:p w14:paraId="27A9EE28">
            <w:pPr>
              <w:adjustRightInd w:val="0"/>
              <w:snapToGrid w:val="0"/>
              <w:spacing w:line="400" w:lineRule="exact"/>
              <w:jc w:val="center"/>
              <w:rPr>
                <w:rFonts w:hint="eastAsia" w:ascii="Times New Roman" w:hAnsi="Times New Roman" w:eastAsia="方正仿宋_GBK" w:cs="Times New Roman"/>
                <w:color w:val="auto"/>
                <w:sz w:val="24"/>
                <w:szCs w:val="20"/>
              </w:rPr>
            </w:pPr>
            <w:r>
              <w:rPr>
                <w:rFonts w:hint="eastAsia" w:ascii="Times New Roman" w:hAnsi="Times New Roman" w:eastAsia="方正仿宋_GBK" w:cs="Times New Roman"/>
                <w:color w:val="auto"/>
                <w:sz w:val="24"/>
                <w:szCs w:val="20"/>
              </w:rPr>
              <w:t>Ⅲ类</w:t>
            </w:r>
          </w:p>
        </w:tc>
        <w:tc>
          <w:tcPr>
            <w:tcW w:w="0" w:type="auto"/>
            <w:shd w:val="clear" w:color="auto" w:fill="FFFFFF" w:themeFill="background1"/>
            <w:vAlign w:val="center"/>
          </w:tcPr>
          <w:p w14:paraId="401F48B1">
            <w:pPr>
              <w:adjustRightInd w:val="0"/>
              <w:snapToGrid w:val="0"/>
              <w:spacing w:line="400" w:lineRule="exact"/>
              <w:jc w:val="center"/>
              <w:rPr>
                <w:rFonts w:hint="default"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w:t>
            </w:r>
          </w:p>
        </w:tc>
        <w:tc>
          <w:tcPr>
            <w:tcW w:w="0" w:type="auto"/>
            <w:shd w:val="clear" w:color="auto" w:fill="FFFFFF" w:themeFill="background1"/>
            <w:vAlign w:val="center"/>
          </w:tcPr>
          <w:p w14:paraId="494531DF">
            <w:pPr>
              <w:adjustRightInd w:val="0"/>
              <w:snapToGrid w:val="0"/>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w:t>
            </w:r>
          </w:p>
        </w:tc>
        <w:tc>
          <w:tcPr>
            <w:tcW w:w="0" w:type="auto"/>
            <w:shd w:val="clear" w:color="auto" w:fill="FFFFFF" w:themeFill="background1"/>
            <w:vAlign w:val="center"/>
          </w:tcPr>
          <w:p w14:paraId="1C6EF3B2">
            <w:pPr>
              <w:adjustRightInd w:val="0"/>
              <w:snapToGrid w:val="0"/>
              <w:spacing w:line="400" w:lineRule="exact"/>
              <w:jc w:val="center"/>
              <w:rPr>
                <w:rFonts w:hint="default"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w:t>
            </w:r>
          </w:p>
        </w:tc>
        <w:tc>
          <w:tcPr>
            <w:tcW w:w="0" w:type="auto"/>
            <w:shd w:val="clear" w:color="auto" w:fill="FFFFFF" w:themeFill="background1"/>
            <w:vAlign w:val="center"/>
          </w:tcPr>
          <w:p w14:paraId="74429F02">
            <w:pPr>
              <w:adjustRightInd w:val="0"/>
              <w:snapToGrid w:val="0"/>
              <w:spacing w:line="400" w:lineRule="exact"/>
              <w:jc w:val="center"/>
              <w:rPr>
                <w:rFonts w:hint="default"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w:t>
            </w:r>
          </w:p>
        </w:tc>
        <w:tc>
          <w:tcPr>
            <w:tcW w:w="0" w:type="auto"/>
            <w:shd w:val="clear" w:color="auto" w:fill="FFFFFF" w:themeFill="background1"/>
            <w:vAlign w:val="center"/>
          </w:tcPr>
          <w:p w14:paraId="0BAFCD86">
            <w:pPr>
              <w:adjustRightInd w:val="0"/>
              <w:snapToGrid w:val="0"/>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rPr>
              <w:t>Ⅱ类</w:t>
            </w:r>
          </w:p>
        </w:tc>
        <w:tc>
          <w:tcPr>
            <w:tcW w:w="0" w:type="auto"/>
            <w:shd w:val="clear" w:color="auto" w:fill="FFFFFF" w:themeFill="background1"/>
            <w:vAlign w:val="center"/>
          </w:tcPr>
          <w:p w14:paraId="1D14E1DF">
            <w:pPr>
              <w:adjustRightInd w:val="0"/>
              <w:snapToGrid w:val="0"/>
              <w:spacing w:line="400" w:lineRule="exact"/>
              <w:jc w:val="center"/>
              <w:rPr>
                <w:rFonts w:hint="eastAsia" w:ascii="Times New Roman" w:hAnsi="Times New Roman" w:eastAsia="方正仿宋_GBK" w:cs="Times New Roman"/>
                <w:color w:val="auto"/>
                <w:sz w:val="24"/>
                <w:szCs w:val="20"/>
              </w:rPr>
            </w:pPr>
          </w:p>
        </w:tc>
      </w:tr>
      <w:tr w14:paraId="30578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0" w:type="auto"/>
            <w:vMerge w:val="restart"/>
            <w:shd w:val="clear" w:color="auto" w:fill="FFFFFF" w:themeFill="background1"/>
            <w:vAlign w:val="center"/>
          </w:tcPr>
          <w:p w14:paraId="52342392">
            <w:pPr>
              <w:adjustRightInd w:val="0"/>
              <w:snapToGrid w:val="0"/>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rPr>
              <w:t>2</w:t>
            </w:r>
          </w:p>
        </w:tc>
        <w:tc>
          <w:tcPr>
            <w:tcW w:w="0" w:type="auto"/>
            <w:vMerge w:val="restart"/>
            <w:shd w:val="clear" w:color="auto" w:fill="FFFFFF" w:themeFill="background1"/>
            <w:vAlign w:val="center"/>
          </w:tcPr>
          <w:p w14:paraId="57A207F8">
            <w:pPr>
              <w:adjustRightInd w:val="0"/>
              <w:snapToGrid w:val="0"/>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rPr>
              <w:t>平甸河</w:t>
            </w:r>
          </w:p>
        </w:tc>
        <w:tc>
          <w:tcPr>
            <w:tcW w:w="0" w:type="auto"/>
            <w:shd w:val="clear" w:color="auto" w:fill="FFFFFF" w:themeFill="background1"/>
            <w:vAlign w:val="center"/>
          </w:tcPr>
          <w:p w14:paraId="16F9E9F9">
            <w:pPr>
              <w:adjustRightInd w:val="0"/>
              <w:snapToGrid w:val="0"/>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他拉河水库</w:t>
            </w:r>
          </w:p>
        </w:tc>
        <w:tc>
          <w:tcPr>
            <w:tcW w:w="0" w:type="auto"/>
            <w:shd w:val="clear" w:color="auto" w:fill="FFFFFF" w:themeFill="background1"/>
            <w:vAlign w:val="center"/>
          </w:tcPr>
          <w:p w14:paraId="76C9D4A5">
            <w:pPr>
              <w:adjustRightInd w:val="0"/>
              <w:snapToGrid w:val="0"/>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省控</w:t>
            </w:r>
          </w:p>
        </w:tc>
        <w:tc>
          <w:tcPr>
            <w:tcW w:w="0" w:type="auto"/>
            <w:shd w:val="clear" w:color="auto" w:fill="FFFFFF" w:themeFill="background1"/>
            <w:vAlign w:val="center"/>
          </w:tcPr>
          <w:p w14:paraId="406FD2E5">
            <w:pPr>
              <w:adjustRightInd w:val="0"/>
              <w:snapToGrid w:val="0"/>
              <w:spacing w:line="400" w:lineRule="exact"/>
              <w:jc w:val="center"/>
              <w:rPr>
                <w:rFonts w:hint="eastAsia" w:ascii="Times New Roman" w:hAnsi="Times New Roman" w:eastAsia="方正仿宋_GBK" w:cs="Times New Roman"/>
                <w:color w:val="auto"/>
                <w:sz w:val="24"/>
                <w:szCs w:val="20"/>
              </w:rPr>
            </w:pPr>
            <w:r>
              <w:rPr>
                <w:rFonts w:hint="eastAsia" w:ascii="Times New Roman" w:hAnsi="Times New Roman" w:eastAsia="方正仿宋_GBK" w:cs="Times New Roman"/>
                <w:color w:val="auto"/>
                <w:sz w:val="24"/>
                <w:szCs w:val="20"/>
              </w:rPr>
              <w:t>Ⅲ类</w:t>
            </w:r>
          </w:p>
        </w:tc>
        <w:tc>
          <w:tcPr>
            <w:tcW w:w="0" w:type="auto"/>
            <w:shd w:val="clear" w:color="auto" w:fill="FFFFFF" w:themeFill="background1"/>
            <w:vAlign w:val="center"/>
          </w:tcPr>
          <w:p w14:paraId="4D6B2B8F">
            <w:pPr>
              <w:adjustRightInd w:val="0"/>
              <w:snapToGrid w:val="0"/>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w:t>
            </w:r>
          </w:p>
        </w:tc>
        <w:tc>
          <w:tcPr>
            <w:tcW w:w="0" w:type="auto"/>
            <w:shd w:val="clear" w:color="auto" w:fill="FFFFFF" w:themeFill="background1"/>
            <w:vAlign w:val="center"/>
          </w:tcPr>
          <w:p w14:paraId="20B2616A">
            <w:pPr>
              <w:adjustRightInd w:val="0"/>
              <w:snapToGrid w:val="0"/>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w:t>
            </w:r>
          </w:p>
        </w:tc>
        <w:tc>
          <w:tcPr>
            <w:tcW w:w="0" w:type="auto"/>
            <w:shd w:val="clear" w:color="auto" w:fill="FFFFFF" w:themeFill="background1"/>
            <w:vAlign w:val="center"/>
          </w:tcPr>
          <w:p w14:paraId="40C64884">
            <w:pPr>
              <w:adjustRightInd w:val="0"/>
              <w:snapToGrid w:val="0"/>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w:t>
            </w:r>
          </w:p>
        </w:tc>
        <w:tc>
          <w:tcPr>
            <w:tcW w:w="0" w:type="auto"/>
            <w:shd w:val="clear" w:color="auto" w:fill="FFFFFF" w:themeFill="background1"/>
            <w:vAlign w:val="center"/>
          </w:tcPr>
          <w:p w14:paraId="54890ACC">
            <w:pPr>
              <w:adjustRightInd w:val="0"/>
              <w:snapToGrid w:val="0"/>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w:t>
            </w:r>
          </w:p>
        </w:tc>
        <w:tc>
          <w:tcPr>
            <w:tcW w:w="0" w:type="auto"/>
            <w:shd w:val="clear" w:color="auto" w:fill="FFFFFF" w:themeFill="background1"/>
            <w:vAlign w:val="center"/>
          </w:tcPr>
          <w:p w14:paraId="27FC59BA">
            <w:pPr>
              <w:adjustRightInd w:val="0"/>
              <w:snapToGrid w:val="0"/>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rPr>
              <w:t>Ⅲ类</w:t>
            </w:r>
          </w:p>
        </w:tc>
        <w:tc>
          <w:tcPr>
            <w:tcW w:w="0" w:type="auto"/>
            <w:shd w:val="clear" w:color="auto" w:fill="FFFFFF" w:themeFill="background1"/>
            <w:vAlign w:val="center"/>
          </w:tcPr>
          <w:p w14:paraId="10BA46A1">
            <w:pPr>
              <w:adjustRightInd w:val="0"/>
              <w:snapToGrid w:val="0"/>
              <w:spacing w:line="400" w:lineRule="exact"/>
              <w:jc w:val="center"/>
              <w:rPr>
                <w:rFonts w:hint="eastAsia" w:ascii="Times New Roman" w:hAnsi="Times New Roman" w:eastAsia="方正仿宋_GBK" w:cs="Times New Roman"/>
                <w:color w:val="auto"/>
                <w:sz w:val="24"/>
                <w:szCs w:val="20"/>
              </w:rPr>
            </w:pPr>
          </w:p>
        </w:tc>
      </w:tr>
      <w:tr w14:paraId="70362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0" w:type="auto"/>
            <w:vMerge w:val="continue"/>
            <w:shd w:val="clear" w:color="auto" w:fill="FFFFFF" w:themeFill="background1"/>
            <w:vAlign w:val="center"/>
          </w:tcPr>
          <w:p w14:paraId="1C8A1958">
            <w:pPr>
              <w:adjustRightInd w:val="0"/>
              <w:snapToGrid w:val="0"/>
              <w:spacing w:line="400" w:lineRule="exact"/>
              <w:jc w:val="center"/>
              <w:rPr>
                <w:rFonts w:hint="eastAsia" w:ascii="Times New Roman" w:hAnsi="Times New Roman" w:eastAsia="方正仿宋_GBK" w:cs="Times New Roman"/>
                <w:color w:val="auto"/>
                <w:sz w:val="24"/>
                <w:szCs w:val="20"/>
                <w:lang w:val="en-US" w:eastAsia="zh-CN"/>
              </w:rPr>
            </w:pPr>
          </w:p>
        </w:tc>
        <w:tc>
          <w:tcPr>
            <w:tcW w:w="0" w:type="auto"/>
            <w:vMerge w:val="continue"/>
            <w:shd w:val="clear" w:color="auto" w:fill="FFFFFF" w:themeFill="background1"/>
            <w:vAlign w:val="center"/>
          </w:tcPr>
          <w:p w14:paraId="3292BDA5">
            <w:pPr>
              <w:adjustRightInd w:val="0"/>
              <w:snapToGrid w:val="0"/>
              <w:spacing w:line="400" w:lineRule="exact"/>
              <w:jc w:val="center"/>
              <w:rPr>
                <w:rFonts w:hint="eastAsia" w:ascii="Times New Roman" w:hAnsi="Times New Roman" w:eastAsia="方正仿宋_GBK" w:cs="Times New Roman"/>
                <w:color w:val="auto"/>
                <w:sz w:val="24"/>
                <w:szCs w:val="20"/>
                <w:lang w:val="en-US" w:eastAsia="zh-CN"/>
              </w:rPr>
            </w:pPr>
          </w:p>
        </w:tc>
        <w:tc>
          <w:tcPr>
            <w:tcW w:w="0" w:type="auto"/>
            <w:shd w:val="clear" w:color="auto" w:fill="FFFFFF" w:themeFill="background1"/>
            <w:vAlign w:val="center"/>
          </w:tcPr>
          <w:p w14:paraId="342A6B12">
            <w:pPr>
              <w:adjustRightInd w:val="0"/>
              <w:snapToGrid w:val="0"/>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居拉里大桥</w:t>
            </w:r>
          </w:p>
        </w:tc>
        <w:tc>
          <w:tcPr>
            <w:tcW w:w="0" w:type="auto"/>
            <w:shd w:val="clear" w:color="auto" w:fill="FFFFFF" w:themeFill="background1"/>
            <w:vAlign w:val="center"/>
          </w:tcPr>
          <w:p w14:paraId="1C9D6E3A">
            <w:pPr>
              <w:adjustRightInd w:val="0"/>
              <w:snapToGrid w:val="0"/>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省控</w:t>
            </w:r>
          </w:p>
        </w:tc>
        <w:tc>
          <w:tcPr>
            <w:tcW w:w="0" w:type="auto"/>
            <w:shd w:val="clear" w:color="auto" w:fill="FFFFFF" w:themeFill="background1"/>
            <w:vAlign w:val="center"/>
          </w:tcPr>
          <w:p w14:paraId="2E0F475D">
            <w:pPr>
              <w:adjustRightInd w:val="0"/>
              <w:snapToGrid w:val="0"/>
              <w:spacing w:line="400" w:lineRule="exact"/>
              <w:jc w:val="center"/>
              <w:rPr>
                <w:rFonts w:hint="eastAsia" w:ascii="Times New Roman" w:hAnsi="Times New Roman" w:eastAsia="方正仿宋_GBK" w:cs="Times New Roman"/>
                <w:color w:val="auto"/>
                <w:sz w:val="24"/>
                <w:szCs w:val="20"/>
              </w:rPr>
            </w:pPr>
            <w:r>
              <w:rPr>
                <w:rFonts w:hint="eastAsia" w:ascii="Times New Roman" w:hAnsi="Times New Roman" w:eastAsia="方正仿宋_GBK" w:cs="Times New Roman"/>
                <w:color w:val="auto"/>
                <w:sz w:val="24"/>
                <w:szCs w:val="20"/>
              </w:rPr>
              <w:t>Ⅲ类</w:t>
            </w:r>
          </w:p>
        </w:tc>
        <w:tc>
          <w:tcPr>
            <w:tcW w:w="0" w:type="auto"/>
            <w:shd w:val="clear" w:color="auto" w:fill="FFFFFF" w:themeFill="background1"/>
            <w:vAlign w:val="center"/>
          </w:tcPr>
          <w:p w14:paraId="7DB9A3D0">
            <w:pPr>
              <w:adjustRightInd w:val="0"/>
              <w:snapToGrid w:val="0"/>
              <w:spacing w:line="400" w:lineRule="exact"/>
              <w:jc w:val="center"/>
              <w:rPr>
                <w:rFonts w:hint="eastAsia" w:ascii="Times New Roman" w:hAnsi="Times New Roman" w:eastAsia="方正仿宋_GBK" w:cs="Times New Roman"/>
                <w:color w:val="auto"/>
                <w:sz w:val="24"/>
                <w:szCs w:val="20"/>
              </w:rPr>
            </w:pPr>
            <w:r>
              <w:rPr>
                <w:rFonts w:hint="eastAsia" w:ascii="Times New Roman" w:hAnsi="Times New Roman" w:eastAsia="方正仿宋_GBK" w:cs="Times New Roman"/>
                <w:color w:val="auto"/>
                <w:sz w:val="24"/>
                <w:szCs w:val="20"/>
                <w:lang w:val="en-US" w:eastAsia="zh-CN"/>
              </w:rPr>
              <w:t>Ⅱ类</w:t>
            </w:r>
          </w:p>
        </w:tc>
        <w:tc>
          <w:tcPr>
            <w:tcW w:w="0" w:type="auto"/>
            <w:shd w:val="clear" w:color="auto" w:fill="FFFFFF" w:themeFill="background1"/>
            <w:vAlign w:val="center"/>
          </w:tcPr>
          <w:p w14:paraId="384FB7E7">
            <w:pPr>
              <w:adjustRightInd w:val="0"/>
              <w:snapToGrid w:val="0"/>
              <w:spacing w:line="400" w:lineRule="exact"/>
              <w:jc w:val="center"/>
              <w:rPr>
                <w:rFonts w:hint="eastAsia" w:ascii="Times New Roman" w:hAnsi="Times New Roman" w:eastAsia="方正仿宋_GBK" w:cs="Times New Roman"/>
                <w:color w:val="auto"/>
                <w:sz w:val="24"/>
                <w:szCs w:val="20"/>
              </w:rPr>
            </w:pPr>
            <w:r>
              <w:rPr>
                <w:rFonts w:hint="eastAsia" w:ascii="Times New Roman" w:hAnsi="Times New Roman" w:eastAsia="方正仿宋_GBK" w:cs="Times New Roman"/>
                <w:color w:val="auto"/>
                <w:sz w:val="24"/>
                <w:szCs w:val="20"/>
                <w:lang w:val="en-US" w:eastAsia="zh-CN"/>
              </w:rPr>
              <w:t>Ⅲ类</w:t>
            </w:r>
          </w:p>
        </w:tc>
        <w:tc>
          <w:tcPr>
            <w:tcW w:w="0" w:type="auto"/>
            <w:shd w:val="clear" w:color="auto" w:fill="FFFFFF" w:themeFill="background1"/>
            <w:vAlign w:val="center"/>
          </w:tcPr>
          <w:p w14:paraId="59FCC52F">
            <w:pPr>
              <w:adjustRightInd w:val="0"/>
              <w:snapToGrid w:val="0"/>
              <w:spacing w:line="400" w:lineRule="exact"/>
              <w:jc w:val="center"/>
              <w:rPr>
                <w:rFonts w:hint="eastAsia" w:ascii="Times New Roman" w:hAnsi="Times New Roman" w:eastAsia="方正仿宋_GBK" w:cs="Times New Roman"/>
                <w:color w:val="auto"/>
                <w:sz w:val="24"/>
                <w:szCs w:val="20"/>
              </w:rPr>
            </w:pPr>
            <w:r>
              <w:rPr>
                <w:rFonts w:hint="eastAsia" w:ascii="Times New Roman" w:hAnsi="Times New Roman" w:eastAsia="方正仿宋_GBK" w:cs="Times New Roman"/>
                <w:color w:val="auto"/>
                <w:sz w:val="24"/>
                <w:szCs w:val="20"/>
                <w:lang w:val="en-US" w:eastAsia="zh-CN"/>
              </w:rPr>
              <w:t>Ⅲ类</w:t>
            </w:r>
          </w:p>
        </w:tc>
        <w:tc>
          <w:tcPr>
            <w:tcW w:w="0" w:type="auto"/>
            <w:shd w:val="clear" w:color="auto" w:fill="FFFFFF" w:themeFill="background1"/>
            <w:vAlign w:val="center"/>
          </w:tcPr>
          <w:p w14:paraId="62E699AF">
            <w:pPr>
              <w:adjustRightInd w:val="0"/>
              <w:snapToGrid w:val="0"/>
              <w:spacing w:line="400" w:lineRule="exact"/>
              <w:jc w:val="center"/>
              <w:rPr>
                <w:rFonts w:hint="eastAsia" w:ascii="Times New Roman" w:hAnsi="Times New Roman" w:eastAsia="方正仿宋_GBK" w:cs="Times New Roman"/>
                <w:color w:val="auto"/>
                <w:sz w:val="24"/>
                <w:szCs w:val="20"/>
              </w:rPr>
            </w:pPr>
            <w:r>
              <w:rPr>
                <w:rFonts w:hint="eastAsia" w:ascii="Times New Roman" w:hAnsi="Times New Roman" w:eastAsia="方正仿宋_GBK" w:cs="Times New Roman"/>
                <w:color w:val="auto"/>
                <w:sz w:val="24"/>
                <w:szCs w:val="20"/>
                <w:lang w:val="en-US" w:eastAsia="zh-CN"/>
              </w:rPr>
              <w:t>Ⅲ类</w:t>
            </w:r>
          </w:p>
        </w:tc>
        <w:tc>
          <w:tcPr>
            <w:tcW w:w="0" w:type="auto"/>
            <w:shd w:val="clear" w:color="auto" w:fill="FFFFFF" w:themeFill="background1"/>
            <w:vAlign w:val="center"/>
          </w:tcPr>
          <w:p w14:paraId="08F0993C">
            <w:pPr>
              <w:adjustRightInd w:val="0"/>
              <w:snapToGrid w:val="0"/>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rPr>
              <w:t>Ⅱ类</w:t>
            </w:r>
          </w:p>
        </w:tc>
        <w:tc>
          <w:tcPr>
            <w:tcW w:w="0" w:type="auto"/>
            <w:shd w:val="clear" w:color="auto" w:fill="FFFFFF" w:themeFill="background1"/>
            <w:vAlign w:val="center"/>
          </w:tcPr>
          <w:p w14:paraId="168876C2">
            <w:pPr>
              <w:adjustRightInd w:val="0"/>
              <w:snapToGrid w:val="0"/>
              <w:spacing w:line="400" w:lineRule="exact"/>
              <w:jc w:val="center"/>
              <w:rPr>
                <w:rFonts w:hint="eastAsia" w:ascii="Times New Roman" w:hAnsi="Times New Roman" w:eastAsia="方正仿宋_GBK" w:cs="Times New Roman"/>
                <w:color w:val="auto"/>
                <w:sz w:val="24"/>
                <w:szCs w:val="20"/>
              </w:rPr>
            </w:pPr>
          </w:p>
        </w:tc>
      </w:tr>
      <w:tr w14:paraId="294E9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47" w:hRule="atLeast"/>
          <w:jc w:val="center"/>
        </w:trPr>
        <w:tc>
          <w:tcPr>
            <w:tcW w:w="0" w:type="auto"/>
            <w:vMerge w:val="restart"/>
            <w:shd w:val="clear" w:color="auto" w:fill="FFFFFF" w:themeFill="background1"/>
            <w:vAlign w:val="center"/>
          </w:tcPr>
          <w:p w14:paraId="1A282F17">
            <w:pPr>
              <w:adjustRightInd w:val="0"/>
              <w:snapToGrid w:val="0"/>
              <w:spacing w:line="400" w:lineRule="exact"/>
              <w:jc w:val="center"/>
              <w:rPr>
                <w:rFonts w:hint="default"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4</w:t>
            </w:r>
          </w:p>
        </w:tc>
        <w:tc>
          <w:tcPr>
            <w:tcW w:w="0" w:type="auto"/>
            <w:vMerge w:val="restart"/>
            <w:shd w:val="clear" w:color="auto" w:fill="FFFFFF" w:themeFill="background1"/>
            <w:vAlign w:val="center"/>
          </w:tcPr>
          <w:p w14:paraId="34B7A9DF">
            <w:pPr>
              <w:adjustRightInd w:val="0"/>
              <w:snapToGrid w:val="0"/>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rPr>
              <w:t>戛洒江</w:t>
            </w:r>
          </w:p>
        </w:tc>
        <w:tc>
          <w:tcPr>
            <w:tcW w:w="0" w:type="auto"/>
            <w:shd w:val="clear" w:color="auto" w:fill="FFFFFF" w:themeFill="background1"/>
            <w:vAlign w:val="center"/>
          </w:tcPr>
          <w:p w14:paraId="14CA66BF">
            <w:pPr>
              <w:adjustRightInd w:val="0"/>
              <w:snapToGrid w:val="0"/>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南媷</w:t>
            </w:r>
          </w:p>
        </w:tc>
        <w:tc>
          <w:tcPr>
            <w:tcW w:w="0" w:type="auto"/>
            <w:shd w:val="clear" w:color="auto" w:fill="FFFFFF" w:themeFill="background1"/>
            <w:vAlign w:val="center"/>
          </w:tcPr>
          <w:p w14:paraId="0496C557">
            <w:pPr>
              <w:adjustRightInd w:val="0"/>
              <w:snapToGrid w:val="0"/>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省控</w:t>
            </w:r>
          </w:p>
        </w:tc>
        <w:tc>
          <w:tcPr>
            <w:tcW w:w="0" w:type="auto"/>
            <w:shd w:val="clear" w:color="auto" w:fill="FFFFFF" w:themeFill="background1"/>
            <w:vAlign w:val="center"/>
          </w:tcPr>
          <w:p w14:paraId="66886117">
            <w:pPr>
              <w:adjustRightInd w:val="0"/>
              <w:snapToGrid w:val="0"/>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rPr>
              <w:t>Ⅲ类</w:t>
            </w:r>
          </w:p>
        </w:tc>
        <w:tc>
          <w:tcPr>
            <w:tcW w:w="0" w:type="auto"/>
            <w:shd w:val="clear" w:color="auto" w:fill="FFFFFF" w:themeFill="background1"/>
            <w:vAlign w:val="center"/>
          </w:tcPr>
          <w:p w14:paraId="0A5EFA58">
            <w:pPr>
              <w:adjustRightInd w:val="0"/>
              <w:snapToGrid w:val="0"/>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Ⅱ类</w:t>
            </w:r>
          </w:p>
        </w:tc>
        <w:tc>
          <w:tcPr>
            <w:tcW w:w="0" w:type="auto"/>
            <w:shd w:val="clear" w:color="auto" w:fill="FFFFFF" w:themeFill="background1"/>
            <w:vAlign w:val="center"/>
          </w:tcPr>
          <w:p w14:paraId="7618314E">
            <w:pPr>
              <w:adjustRightInd w:val="0"/>
              <w:snapToGrid w:val="0"/>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Ⅲ类</w:t>
            </w:r>
          </w:p>
        </w:tc>
        <w:tc>
          <w:tcPr>
            <w:tcW w:w="0" w:type="auto"/>
            <w:shd w:val="clear" w:color="auto" w:fill="FFFFFF" w:themeFill="background1"/>
            <w:vAlign w:val="center"/>
          </w:tcPr>
          <w:p w14:paraId="69C6715A">
            <w:pPr>
              <w:adjustRightInd w:val="0"/>
              <w:snapToGrid w:val="0"/>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Ⅲ类</w:t>
            </w:r>
          </w:p>
        </w:tc>
        <w:tc>
          <w:tcPr>
            <w:tcW w:w="0" w:type="auto"/>
            <w:shd w:val="clear" w:color="auto" w:fill="FFFFFF" w:themeFill="background1"/>
            <w:vAlign w:val="center"/>
          </w:tcPr>
          <w:p w14:paraId="3978F9AB">
            <w:pPr>
              <w:adjustRightInd w:val="0"/>
              <w:snapToGrid w:val="0"/>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Ⅱ类</w:t>
            </w:r>
          </w:p>
        </w:tc>
        <w:tc>
          <w:tcPr>
            <w:tcW w:w="0" w:type="auto"/>
            <w:shd w:val="clear" w:color="auto" w:fill="FFFFFF" w:themeFill="background1"/>
            <w:vAlign w:val="center"/>
          </w:tcPr>
          <w:p w14:paraId="2623C7DB">
            <w:pPr>
              <w:adjustRightInd w:val="0"/>
              <w:snapToGrid w:val="0"/>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Ⅱ类</w:t>
            </w:r>
          </w:p>
        </w:tc>
        <w:tc>
          <w:tcPr>
            <w:tcW w:w="0" w:type="auto"/>
            <w:shd w:val="clear" w:color="auto" w:fill="FFFFFF" w:themeFill="background1"/>
            <w:vAlign w:val="center"/>
          </w:tcPr>
          <w:p w14:paraId="6D8984D0">
            <w:pPr>
              <w:adjustRightInd w:val="0"/>
              <w:snapToGrid w:val="0"/>
              <w:spacing w:line="400" w:lineRule="exact"/>
              <w:jc w:val="center"/>
              <w:rPr>
                <w:rFonts w:hint="eastAsia" w:ascii="Times New Roman" w:hAnsi="Times New Roman" w:eastAsia="方正仿宋_GBK" w:cs="Times New Roman"/>
                <w:color w:val="auto"/>
                <w:sz w:val="24"/>
                <w:szCs w:val="20"/>
                <w:lang w:val="en-US" w:eastAsia="zh-CN"/>
              </w:rPr>
            </w:pPr>
          </w:p>
        </w:tc>
      </w:tr>
      <w:tr w14:paraId="43AF2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0" w:hRule="atLeast"/>
          <w:jc w:val="center"/>
        </w:trPr>
        <w:tc>
          <w:tcPr>
            <w:tcW w:w="0" w:type="auto"/>
            <w:vMerge w:val="continue"/>
            <w:shd w:val="clear" w:color="auto" w:fill="FFFFFF" w:themeFill="background1"/>
            <w:vAlign w:val="center"/>
          </w:tcPr>
          <w:p w14:paraId="63643B75">
            <w:pPr>
              <w:adjustRightInd w:val="0"/>
              <w:snapToGrid w:val="0"/>
              <w:spacing w:line="400" w:lineRule="exact"/>
              <w:jc w:val="center"/>
              <w:rPr>
                <w:rFonts w:hint="eastAsia" w:ascii="Times New Roman" w:hAnsi="Times New Roman" w:eastAsia="方正仿宋_GBK" w:cs="Times New Roman"/>
                <w:color w:val="auto"/>
                <w:sz w:val="24"/>
                <w:szCs w:val="20"/>
                <w:lang w:val="en-US" w:eastAsia="zh-CN"/>
              </w:rPr>
            </w:pPr>
          </w:p>
        </w:tc>
        <w:tc>
          <w:tcPr>
            <w:tcW w:w="0" w:type="auto"/>
            <w:vMerge w:val="continue"/>
            <w:shd w:val="clear" w:color="auto" w:fill="FFFFFF" w:themeFill="background1"/>
            <w:vAlign w:val="center"/>
          </w:tcPr>
          <w:p w14:paraId="496F4699">
            <w:pPr>
              <w:adjustRightInd w:val="0"/>
              <w:snapToGrid w:val="0"/>
              <w:spacing w:line="400" w:lineRule="exact"/>
              <w:jc w:val="center"/>
              <w:rPr>
                <w:rFonts w:hint="eastAsia" w:ascii="Times New Roman" w:hAnsi="Times New Roman" w:eastAsia="方正仿宋_GBK" w:cs="Times New Roman"/>
                <w:color w:val="auto"/>
                <w:sz w:val="24"/>
                <w:szCs w:val="20"/>
              </w:rPr>
            </w:pPr>
          </w:p>
        </w:tc>
        <w:tc>
          <w:tcPr>
            <w:tcW w:w="0" w:type="auto"/>
            <w:shd w:val="clear" w:color="auto" w:fill="FFFFFF" w:themeFill="background1"/>
            <w:vAlign w:val="center"/>
          </w:tcPr>
          <w:p w14:paraId="0A6E6C37">
            <w:pPr>
              <w:adjustRightInd w:val="0"/>
              <w:snapToGrid w:val="0"/>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三江口</w:t>
            </w:r>
          </w:p>
        </w:tc>
        <w:tc>
          <w:tcPr>
            <w:tcW w:w="0" w:type="auto"/>
            <w:shd w:val="clear" w:color="auto" w:fill="FFFFFF" w:themeFill="background1"/>
            <w:vAlign w:val="center"/>
          </w:tcPr>
          <w:p w14:paraId="2C4AAD16">
            <w:pPr>
              <w:adjustRightInd w:val="0"/>
              <w:snapToGrid w:val="0"/>
              <w:spacing w:line="400" w:lineRule="exact"/>
              <w:jc w:val="center"/>
              <w:rPr>
                <w:rFonts w:hint="default"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国控</w:t>
            </w:r>
          </w:p>
        </w:tc>
        <w:tc>
          <w:tcPr>
            <w:tcW w:w="0" w:type="auto"/>
            <w:shd w:val="clear" w:color="auto" w:fill="FFFFFF" w:themeFill="background1"/>
            <w:vAlign w:val="center"/>
          </w:tcPr>
          <w:p w14:paraId="5B8797C8">
            <w:pPr>
              <w:adjustRightInd w:val="0"/>
              <w:snapToGrid w:val="0"/>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Ⅱ类</w:t>
            </w:r>
          </w:p>
        </w:tc>
        <w:tc>
          <w:tcPr>
            <w:tcW w:w="0" w:type="auto"/>
            <w:shd w:val="clear" w:color="auto" w:fill="FFFFFF" w:themeFill="background1"/>
            <w:vAlign w:val="center"/>
          </w:tcPr>
          <w:p w14:paraId="0B40F2FE">
            <w:pPr>
              <w:adjustRightInd w:val="0"/>
              <w:snapToGrid w:val="0"/>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Ⅱ类</w:t>
            </w:r>
          </w:p>
        </w:tc>
        <w:tc>
          <w:tcPr>
            <w:tcW w:w="0" w:type="auto"/>
            <w:shd w:val="clear" w:color="auto" w:fill="FFFFFF" w:themeFill="background1"/>
            <w:vAlign w:val="center"/>
          </w:tcPr>
          <w:p w14:paraId="2EFB3EA5">
            <w:pPr>
              <w:adjustRightInd w:val="0"/>
              <w:snapToGrid w:val="0"/>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Ⅲ类</w:t>
            </w:r>
          </w:p>
        </w:tc>
        <w:tc>
          <w:tcPr>
            <w:tcW w:w="0" w:type="auto"/>
            <w:shd w:val="clear" w:color="auto" w:fill="FFFFFF" w:themeFill="background1"/>
            <w:vAlign w:val="center"/>
          </w:tcPr>
          <w:p w14:paraId="2ABE3933">
            <w:pPr>
              <w:adjustRightInd w:val="0"/>
              <w:snapToGrid w:val="0"/>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Ⅲ类</w:t>
            </w:r>
          </w:p>
        </w:tc>
        <w:tc>
          <w:tcPr>
            <w:tcW w:w="0" w:type="auto"/>
            <w:shd w:val="clear" w:color="auto" w:fill="FFFFFF" w:themeFill="background1"/>
            <w:vAlign w:val="center"/>
          </w:tcPr>
          <w:p w14:paraId="1615B5DF">
            <w:pPr>
              <w:adjustRightInd w:val="0"/>
              <w:snapToGrid w:val="0"/>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Ⅱ类</w:t>
            </w:r>
          </w:p>
        </w:tc>
        <w:tc>
          <w:tcPr>
            <w:tcW w:w="0" w:type="auto"/>
            <w:shd w:val="clear" w:color="auto" w:fill="FFFFFF" w:themeFill="background1"/>
            <w:vAlign w:val="center"/>
          </w:tcPr>
          <w:p w14:paraId="72C40612">
            <w:pPr>
              <w:adjustRightInd w:val="0"/>
              <w:snapToGrid w:val="0"/>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w:t>
            </w:r>
          </w:p>
        </w:tc>
        <w:tc>
          <w:tcPr>
            <w:tcW w:w="0" w:type="auto"/>
            <w:shd w:val="clear" w:color="auto" w:fill="FFFFFF" w:themeFill="background1"/>
            <w:vAlign w:val="center"/>
          </w:tcPr>
          <w:p w14:paraId="606D391B">
            <w:pPr>
              <w:adjustRightInd w:val="0"/>
              <w:snapToGrid w:val="0"/>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2021年已调整，不再为新平县考核断面</w:t>
            </w:r>
          </w:p>
        </w:tc>
      </w:tr>
    </w:tbl>
    <w:p w14:paraId="04799274">
      <w:pPr>
        <w:keepNext w:val="0"/>
        <w:keepLines w:val="0"/>
        <w:pageBreakBefore w:val="0"/>
        <w:widowControl/>
        <w:kinsoku/>
        <w:wordWrap/>
        <w:overflowPunct/>
        <w:topLinePunct w:val="0"/>
        <w:autoSpaceDE/>
        <w:autoSpaceDN/>
        <w:bidi w:val="0"/>
        <w:adjustRightInd/>
        <w:snapToGrid/>
        <w:spacing w:line="500" w:lineRule="exact"/>
        <w:ind w:firstLine="632" w:firstLineChars="200"/>
        <w:textAlignment w:val="auto"/>
        <w:rPr>
          <w:rFonts w:hint="eastAsia" w:ascii="Times New Roman" w:hAnsi="Times New Roman" w:eastAsia="方正仿宋_GBK" w:cs="方正仿宋_GBK"/>
          <w:i w:val="0"/>
          <w:caps w:val="0"/>
          <w:color w:val="auto"/>
          <w:spacing w:val="8"/>
          <w:kern w:val="0"/>
          <w:sz w:val="30"/>
          <w:szCs w:val="30"/>
          <w:shd w:val="clear" w:color="auto" w:fill="FFFFFF"/>
          <w:lang w:val="en-US" w:eastAsia="zh-CN" w:bidi="ar-SA"/>
        </w:rPr>
      </w:pPr>
      <w:r>
        <w:rPr>
          <w:rFonts w:hint="eastAsia" w:ascii="Times New Roman" w:hAnsi="Times New Roman" w:eastAsia="方正仿宋_GBK" w:cs="方正仿宋_GBK"/>
          <w:i w:val="0"/>
          <w:caps w:val="0"/>
          <w:color w:val="auto"/>
          <w:spacing w:val="8"/>
          <w:kern w:val="0"/>
          <w:sz w:val="30"/>
          <w:szCs w:val="30"/>
          <w:shd w:val="clear" w:color="auto" w:fill="FFFFFF"/>
          <w:lang w:val="en-US" w:eastAsia="zh-CN" w:bidi="ar-SA"/>
        </w:rPr>
        <w:t>（2）集中式饮用水源地</w:t>
      </w:r>
    </w:p>
    <w:p w14:paraId="2AC6065F">
      <w:pPr>
        <w:keepNext w:val="0"/>
        <w:keepLines w:val="0"/>
        <w:pageBreakBefore w:val="0"/>
        <w:widowControl/>
        <w:kinsoku/>
        <w:wordWrap/>
        <w:overflowPunct/>
        <w:topLinePunct w:val="0"/>
        <w:autoSpaceDE/>
        <w:autoSpaceDN/>
        <w:bidi w:val="0"/>
        <w:adjustRightInd/>
        <w:snapToGrid/>
        <w:spacing w:line="500" w:lineRule="exact"/>
        <w:ind w:firstLine="632" w:firstLineChars="200"/>
        <w:textAlignment w:val="auto"/>
        <w:rPr>
          <w:rFonts w:hint="eastAsia" w:ascii="Times New Roman" w:hAnsi="Times New Roman" w:eastAsia="方正仿宋_GBK" w:cs="方正仿宋_GBK"/>
          <w:i w:val="0"/>
          <w:caps w:val="0"/>
          <w:color w:val="auto"/>
          <w:spacing w:val="8"/>
          <w:kern w:val="0"/>
          <w:sz w:val="30"/>
          <w:szCs w:val="30"/>
          <w:shd w:val="clear" w:color="auto" w:fill="FFFFFF"/>
          <w:lang w:val="en-US" w:eastAsia="zh-CN" w:bidi="ar-SA"/>
        </w:rPr>
      </w:pPr>
      <w:r>
        <w:rPr>
          <w:rFonts w:hint="eastAsia" w:ascii="Times New Roman" w:hAnsi="Times New Roman" w:eastAsia="方正仿宋_GBK" w:cs="方正仿宋_GBK"/>
          <w:i w:val="0"/>
          <w:caps w:val="0"/>
          <w:color w:val="auto"/>
          <w:spacing w:val="8"/>
          <w:kern w:val="0"/>
          <w:sz w:val="30"/>
          <w:szCs w:val="30"/>
          <w:shd w:val="clear" w:color="auto" w:fill="FFFFFF"/>
          <w:lang w:val="en-US" w:eastAsia="zh-CN" w:bidi="ar-SA"/>
        </w:rPr>
        <w:t>①县级以上饮用水源地</w:t>
      </w:r>
    </w:p>
    <w:p w14:paraId="2F90AEC7">
      <w:pPr>
        <w:keepNext w:val="0"/>
        <w:keepLines w:val="0"/>
        <w:pageBreakBefore w:val="0"/>
        <w:widowControl/>
        <w:kinsoku/>
        <w:wordWrap/>
        <w:overflowPunct/>
        <w:topLinePunct w:val="0"/>
        <w:autoSpaceDE/>
        <w:autoSpaceDN/>
        <w:bidi w:val="0"/>
        <w:adjustRightInd/>
        <w:snapToGrid/>
        <w:spacing w:line="500" w:lineRule="exact"/>
        <w:ind w:firstLine="632" w:firstLineChars="200"/>
        <w:textAlignment w:val="auto"/>
        <w:rPr>
          <w:rFonts w:hint="eastAsia" w:ascii="Times New Roman" w:hAnsi="Times New Roman" w:eastAsia="方正仿宋_GBK" w:cs="方正仿宋_GBK"/>
          <w:i w:val="0"/>
          <w:caps w:val="0"/>
          <w:color w:val="auto"/>
          <w:spacing w:val="8"/>
          <w:kern w:val="0"/>
          <w:sz w:val="30"/>
          <w:szCs w:val="30"/>
          <w:shd w:val="clear" w:color="auto" w:fill="FFFFFF"/>
          <w:lang w:val="en-US" w:eastAsia="zh-CN" w:bidi="ar-SA"/>
        </w:rPr>
      </w:pPr>
      <w:r>
        <w:rPr>
          <w:rFonts w:hint="eastAsia" w:ascii="Times New Roman" w:hAnsi="Times New Roman" w:eastAsia="方正仿宋_GBK" w:cs="方正仿宋_GBK"/>
          <w:i w:val="0"/>
          <w:caps w:val="0"/>
          <w:color w:val="auto"/>
          <w:spacing w:val="8"/>
          <w:kern w:val="0"/>
          <w:sz w:val="30"/>
          <w:szCs w:val="30"/>
          <w:shd w:val="clear" w:color="auto" w:fill="FFFFFF"/>
          <w:lang w:val="en-US" w:eastAsia="zh-CN" w:bidi="ar-SA"/>
        </w:rPr>
        <w:t>新平县境内有2个县级以上集中式饮用水水源地，分别为清水河水库和他拉河水库，根据监测结果显示，2017—2021年新平县县级以上集中式饮用水水源地各项监测指标年均值均符合《地表水环境质量标准》（GB3838-2002）表1中Ⅲ类及以上水质标准和表2、表3的优选特定项目中的标准限值，集中式饮用水源地水质达标率100%。水质现状见表</w:t>
      </w:r>
      <w:r>
        <w:rPr>
          <w:rFonts w:ascii="Times New Roman" w:hAnsi="Times New Roman" w:eastAsia="方正仿宋_GBK" w:cs="Times New Roman"/>
          <w:b/>
          <w:color w:val="auto"/>
          <w:sz w:val="28"/>
          <w:szCs w:val="28"/>
        </w:rPr>
        <w:t>2.1.5</w:t>
      </w:r>
      <w:r>
        <w:rPr>
          <w:rFonts w:hint="eastAsia" w:ascii="Times New Roman" w:hAnsi="Times New Roman" w:eastAsia="方正仿宋_GBK" w:cs="Times New Roman"/>
          <w:b/>
          <w:color w:val="auto"/>
          <w:sz w:val="28"/>
          <w:szCs w:val="28"/>
          <w:lang w:val="en-US" w:eastAsia="zh-CN"/>
        </w:rPr>
        <w:t>.1</w:t>
      </w:r>
      <w:r>
        <w:rPr>
          <w:rFonts w:hint="eastAsia" w:ascii="Times New Roman" w:hAnsi="Times New Roman" w:eastAsia="方正仿宋_GBK" w:cs="方正仿宋_GBK"/>
          <w:i w:val="0"/>
          <w:caps w:val="0"/>
          <w:color w:val="auto"/>
          <w:spacing w:val="8"/>
          <w:kern w:val="0"/>
          <w:sz w:val="30"/>
          <w:szCs w:val="30"/>
          <w:shd w:val="clear" w:color="auto" w:fill="FFFFFF"/>
          <w:lang w:val="en-US" w:eastAsia="zh-CN" w:bidi="ar-SA"/>
        </w:rPr>
        <w:t>-2所示。</w:t>
      </w:r>
    </w:p>
    <w:p w14:paraId="267AF5DE">
      <w:pPr>
        <w:adjustRightInd w:val="0"/>
        <w:snapToGrid w:val="0"/>
        <w:spacing w:line="400" w:lineRule="exact"/>
        <w:jc w:val="center"/>
        <w:rPr>
          <w:rFonts w:hint="default" w:ascii="Times New Roman" w:hAnsi="Times New Roman" w:eastAsia="方正仿宋_GBK" w:cs="Times New Roman"/>
          <w:b/>
          <w:color w:val="auto"/>
          <w:sz w:val="28"/>
          <w:szCs w:val="28"/>
        </w:rPr>
      </w:pPr>
      <w:r>
        <w:rPr>
          <w:rFonts w:hint="default" w:ascii="Times New Roman" w:hAnsi="Times New Roman" w:eastAsia="方正仿宋_GBK" w:cs="Times New Roman"/>
          <w:b/>
          <w:color w:val="auto"/>
          <w:sz w:val="28"/>
          <w:szCs w:val="28"/>
        </w:rPr>
        <w:t>表</w:t>
      </w:r>
      <w:r>
        <w:rPr>
          <w:rFonts w:hint="default" w:ascii="Times New Roman" w:hAnsi="Times New Roman" w:eastAsia="方正仿宋_GBK" w:cs="Times New Roman"/>
          <w:b/>
          <w:color w:val="auto"/>
          <w:sz w:val="28"/>
          <w:szCs w:val="28"/>
          <w:lang w:val="en-US" w:eastAsia="zh-CN"/>
        </w:rPr>
        <w:t>2</w:t>
      </w:r>
      <w:r>
        <w:rPr>
          <w:rFonts w:hint="default" w:ascii="Times New Roman" w:hAnsi="Times New Roman" w:eastAsia="方正仿宋_GBK" w:cs="Times New Roman"/>
          <w:b/>
          <w:color w:val="auto"/>
          <w:sz w:val="28"/>
          <w:szCs w:val="28"/>
        </w:rPr>
        <w:t>.1.</w:t>
      </w:r>
      <w:r>
        <w:rPr>
          <w:rFonts w:hint="default" w:ascii="Times New Roman" w:hAnsi="Times New Roman" w:eastAsia="方正仿宋_GBK" w:cs="Times New Roman"/>
          <w:b/>
          <w:color w:val="auto"/>
          <w:sz w:val="28"/>
          <w:szCs w:val="28"/>
          <w:lang w:val="en-US" w:eastAsia="zh-CN"/>
        </w:rPr>
        <w:t>5</w:t>
      </w:r>
      <w:r>
        <w:rPr>
          <w:rFonts w:hint="default" w:ascii="Times New Roman" w:hAnsi="Times New Roman" w:eastAsia="方正仿宋_GBK" w:cs="Times New Roman"/>
          <w:b/>
          <w:color w:val="auto"/>
          <w:sz w:val="28"/>
          <w:szCs w:val="28"/>
        </w:rPr>
        <w:t>.1-2</w:t>
      </w:r>
      <w:r>
        <w:rPr>
          <w:rFonts w:hint="default" w:ascii="Times New Roman" w:hAnsi="Times New Roman" w:eastAsia="方正仿宋_GBK" w:cs="Times New Roman"/>
          <w:b/>
          <w:color w:val="auto"/>
          <w:sz w:val="28"/>
          <w:szCs w:val="28"/>
          <w:lang w:eastAsia="zh-CN"/>
        </w:rPr>
        <w:t>新平县</w:t>
      </w:r>
      <w:r>
        <w:rPr>
          <w:rFonts w:hint="default" w:ascii="Times New Roman" w:hAnsi="Times New Roman" w:eastAsia="方正仿宋_GBK" w:cs="Times New Roman"/>
          <w:b/>
          <w:color w:val="auto"/>
          <w:sz w:val="28"/>
          <w:szCs w:val="28"/>
        </w:rPr>
        <w:t>201</w:t>
      </w:r>
      <w:r>
        <w:rPr>
          <w:rFonts w:hint="default" w:ascii="Times New Roman" w:hAnsi="Times New Roman" w:eastAsia="方正仿宋_GBK" w:cs="Times New Roman"/>
          <w:b/>
          <w:color w:val="auto"/>
          <w:sz w:val="28"/>
          <w:szCs w:val="28"/>
          <w:lang w:val="en-US" w:eastAsia="zh-CN"/>
        </w:rPr>
        <w:t>7—</w:t>
      </w:r>
      <w:r>
        <w:rPr>
          <w:rFonts w:hint="default" w:ascii="Times New Roman" w:hAnsi="Times New Roman" w:eastAsia="方正仿宋_GBK" w:cs="Times New Roman"/>
          <w:b/>
          <w:color w:val="auto"/>
          <w:sz w:val="28"/>
          <w:szCs w:val="28"/>
        </w:rPr>
        <w:t>2021年县级以上饮用水源地水质情况表</w:t>
      </w:r>
    </w:p>
    <w:tbl>
      <w:tblPr>
        <w:tblStyle w:val="26"/>
        <w:tblW w:w="83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377"/>
        <w:gridCol w:w="809"/>
        <w:gridCol w:w="1053"/>
        <w:gridCol w:w="1062"/>
        <w:gridCol w:w="1062"/>
        <w:gridCol w:w="1062"/>
        <w:gridCol w:w="1062"/>
        <w:gridCol w:w="892"/>
      </w:tblGrid>
      <w:tr w14:paraId="6DC14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16" w:hRule="atLeast"/>
          <w:tblHeader/>
          <w:jc w:val="center"/>
        </w:trPr>
        <w:tc>
          <w:tcPr>
            <w:tcW w:w="1377" w:type="dxa"/>
            <w:vMerge w:val="restart"/>
            <w:vAlign w:val="center"/>
          </w:tcPr>
          <w:p w14:paraId="043B8CD7">
            <w:pPr>
              <w:widowControl/>
              <w:spacing w:line="360" w:lineRule="auto"/>
              <w:jc w:val="center"/>
              <w:rPr>
                <w:rFonts w:hint="default" w:ascii="Times New Roman" w:hAnsi="Times New Roman" w:eastAsia="方正仿宋_GBK" w:cs="Times New Roman"/>
                <w:b/>
                <w:bCs/>
                <w:color w:val="auto"/>
                <w:sz w:val="24"/>
                <w:szCs w:val="20"/>
              </w:rPr>
            </w:pPr>
            <w:r>
              <w:rPr>
                <w:rFonts w:hint="default" w:ascii="Times New Roman" w:hAnsi="Times New Roman" w:eastAsia="方正仿宋_GBK" w:cs="Times New Roman"/>
                <w:b/>
                <w:bCs/>
                <w:color w:val="auto"/>
                <w:sz w:val="24"/>
                <w:szCs w:val="20"/>
              </w:rPr>
              <w:t>名称</w:t>
            </w:r>
          </w:p>
        </w:tc>
        <w:tc>
          <w:tcPr>
            <w:tcW w:w="809" w:type="dxa"/>
            <w:vMerge w:val="restart"/>
            <w:vAlign w:val="center"/>
          </w:tcPr>
          <w:p w14:paraId="2EF50C41">
            <w:pPr>
              <w:widowControl/>
              <w:spacing w:line="360" w:lineRule="auto"/>
              <w:jc w:val="center"/>
              <w:rPr>
                <w:rFonts w:hint="default" w:ascii="Times New Roman" w:hAnsi="Times New Roman" w:eastAsia="方正仿宋_GBK" w:cs="Times New Roman"/>
                <w:b/>
                <w:bCs/>
                <w:color w:val="auto"/>
                <w:sz w:val="24"/>
                <w:szCs w:val="20"/>
              </w:rPr>
            </w:pPr>
            <w:r>
              <w:rPr>
                <w:rFonts w:hint="default" w:ascii="Times New Roman" w:hAnsi="Times New Roman" w:eastAsia="方正仿宋_GBK" w:cs="Times New Roman"/>
                <w:b/>
                <w:bCs/>
                <w:color w:val="auto"/>
                <w:sz w:val="24"/>
                <w:szCs w:val="20"/>
              </w:rPr>
              <w:t>类别</w:t>
            </w:r>
          </w:p>
        </w:tc>
        <w:tc>
          <w:tcPr>
            <w:tcW w:w="1053" w:type="dxa"/>
            <w:vMerge w:val="restart"/>
            <w:vAlign w:val="center"/>
          </w:tcPr>
          <w:p w14:paraId="30ACF2F7">
            <w:pPr>
              <w:widowControl/>
              <w:spacing w:line="360" w:lineRule="auto"/>
              <w:jc w:val="center"/>
              <w:rPr>
                <w:rFonts w:hint="default" w:ascii="Times New Roman" w:hAnsi="Times New Roman" w:eastAsia="方正仿宋_GBK" w:cs="Times New Roman"/>
                <w:b/>
                <w:bCs/>
                <w:color w:val="auto"/>
                <w:sz w:val="24"/>
                <w:szCs w:val="20"/>
              </w:rPr>
            </w:pPr>
            <w:r>
              <w:rPr>
                <w:rFonts w:hint="default" w:ascii="Times New Roman" w:hAnsi="Times New Roman" w:eastAsia="方正仿宋_GBK" w:cs="Times New Roman"/>
                <w:b/>
                <w:bCs/>
                <w:color w:val="auto"/>
                <w:sz w:val="24"/>
                <w:szCs w:val="20"/>
              </w:rPr>
              <w:t>考核目标</w:t>
            </w:r>
          </w:p>
        </w:tc>
        <w:tc>
          <w:tcPr>
            <w:tcW w:w="5140" w:type="dxa"/>
            <w:gridSpan w:val="5"/>
            <w:vAlign w:val="center"/>
          </w:tcPr>
          <w:p w14:paraId="155AAF25">
            <w:pPr>
              <w:widowControl/>
              <w:spacing w:line="360" w:lineRule="auto"/>
              <w:jc w:val="center"/>
              <w:rPr>
                <w:rFonts w:hint="default" w:ascii="Times New Roman" w:hAnsi="Times New Roman" w:eastAsia="方正仿宋_GBK" w:cs="Times New Roman"/>
                <w:b/>
                <w:bCs/>
                <w:color w:val="auto"/>
                <w:sz w:val="24"/>
                <w:szCs w:val="20"/>
              </w:rPr>
            </w:pPr>
            <w:r>
              <w:rPr>
                <w:rFonts w:hint="default" w:ascii="Times New Roman" w:hAnsi="Times New Roman" w:eastAsia="方正仿宋_GBK" w:cs="Times New Roman"/>
                <w:b/>
                <w:bCs/>
                <w:color w:val="auto"/>
                <w:sz w:val="24"/>
                <w:szCs w:val="20"/>
              </w:rPr>
              <w:t>水质现状</w:t>
            </w:r>
          </w:p>
        </w:tc>
      </w:tr>
      <w:tr w14:paraId="6513A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blHeader/>
          <w:jc w:val="center"/>
        </w:trPr>
        <w:tc>
          <w:tcPr>
            <w:tcW w:w="1377" w:type="dxa"/>
            <w:vMerge w:val="continue"/>
            <w:vAlign w:val="center"/>
          </w:tcPr>
          <w:p w14:paraId="556A1C5F">
            <w:pPr>
              <w:widowControl/>
              <w:spacing w:line="360" w:lineRule="auto"/>
              <w:jc w:val="center"/>
              <w:rPr>
                <w:rFonts w:hint="default" w:ascii="Times New Roman" w:hAnsi="Times New Roman" w:eastAsia="方正仿宋_GBK" w:cs="Times New Roman"/>
                <w:b/>
                <w:bCs/>
                <w:color w:val="auto"/>
                <w:sz w:val="24"/>
                <w:szCs w:val="20"/>
              </w:rPr>
            </w:pPr>
          </w:p>
        </w:tc>
        <w:tc>
          <w:tcPr>
            <w:tcW w:w="809" w:type="dxa"/>
            <w:vMerge w:val="continue"/>
            <w:vAlign w:val="center"/>
          </w:tcPr>
          <w:p w14:paraId="374E667B">
            <w:pPr>
              <w:widowControl/>
              <w:spacing w:line="360" w:lineRule="auto"/>
              <w:jc w:val="center"/>
              <w:rPr>
                <w:rFonts w:hint="default" w:ascii="Times New Roman" w:hAnsi="Times New Roman" w:eastAsia="方正仿宋_GBK" w:cs="Times New Roman"/>
                <w:b/>
                <w:bCs/>
                <w:color w:val="auto"/>
                <w:sz w:val="24"/>
                <w:szCs w:val="20"/>
              </w:rPr>
            </w:pPr>
          </w:p>
        </w:tc>
        <w:tc>
          <w:tcPr>
            <w:tcW w:w="1053" w:type="dxa"/>
            <w:vMerge w:val="continue"/>
            <w:vAlign w:val="center"/>
          </w:tcPr>
          <w:p w14:paraId="42BF5D27">
            <w:pPr>
              <w:widowControl/>
              <w:spacing w:line="360" w:lineRule="auto"/>
              <w:jc w:val="center"/>
              <w:rPr>
                <w:rFonts w:hint="default" w:ascii="Times New Roman" w:hAnsi="Times New Roman" w:eastAsia="方正仿宋_GBK" w:cs="Times New Roman"/>
                <w:b/>
                <w:bCs/>
                <w:color w:val="auto"/>
                <w:sz w:val="24"/>
                <w:szCs w:val="20"/>
              </w:rPr>
            </w:pPr>
          </w:p>
        </w:tc>
        <w:tc>
          <w:tcPr>
            <w:tcW w:w="1062" w:type="dxa"/>
            <w:vAlign w:val="center"/>
          </w:tcPr>
          <w:p w14:paraId="4BF04CF0">
            <w:pPr>
              <w:widowControl/>
              <w:spacing w:line="360" w:lineRule="auto"/>
              <w:jc w:val="center"/>
              <w:rPr>
                <w:rFonts w:hint="default" w:ascii="Times New Roman" w:hAnsi="Times New Roman" w:eastAsia="方正仿宋_GBK" w:cs="Times New Roman"/>
                <w:b/>
                <w:bCs/>
                <w:color w:val="auto"/>
                <w:sz w:val="24"/>
                <w:szCs w:val="20"/>
              </w:rPr>
            </w:pPr>
            <w:r>
              <w:rPr>
                <w:rFonts w:hint="default" w:ascii="Times New Roman" w:hAnsi="Times New Roman" w:eastAsia="方正仿宋_GBK" w:cs="Times New Roman"/>
                <w:b/>
                <w:bCs/>
                <w:color w:val="auto"/>
                <w:sz w:val="24"/>
                <w:szCs w:val="20"/>
              </w:rPr>
              <w:t>2017年</w:t>
            </w:r>
          </w:p>
        </w:tc>
        <w:tc>
          <w:tcPr>
            <w:tcW w:w="1062" w:type="dxa"/>
            <w:vAlign w:val="center"/>
          </w:tcPr>
          <w:p w14:paraId="4C677368">
            <w:pPr>
              <w:widowControl/>
              <w:spacing w:line="360" w:lineRule="auto"/>
              <w:jc w:val="center"/>
              <w:rPr>
                <w:rFonts w:hint="default" w:ascii="Times New Roman" w:hAnsi="Times New Roman" w:eastAsia="方正仿宋_GBK" w:cs="Times New Roman"/>
                <w:b/>
                <w:bCs/>
                <w:color w:val="auto"/>
                <w:sz w:val="24"/>
                <w:szCs w:val="20"/>
              </w:rPr>
            </w:pPr>
            <w:r>
              <w:rPr>
                <w:rFonts w:hint="default" w:ascii="Times New Roman" w:hAnsi="Times New Roman" w:eastAsia="方正仿宋_GBK" w:cs="Times New Roman"/>
                <w:b/>
                <w:bCs/>
                <w:color w:val="auto"/>
                <w:sz w:val="24"/>
                <w:szCs w:val="20"/>
              </w:rPr>
              <w:t>2018年</w:t>
            </w:r>
          </w:p>
        </w:tc>
        <w:tc>
          <w:tcPr>
            <w:tcW w:w="1062" w:type="dxa"/>
            <w:vAlign w:val="center"/>
          </w:tcPr>
          <w:p w14:paraId="253A1703">
            <w:pPr>
              <w:widowControl/>
              <w:spacing w:line="360" w:lineRule="auto"/>
              <w:jc w:val="center"/>
              <w:rPr>
                <w:rFonts w:hint="default" w:ascii="Times New Roman" w:hAnsi="Times New Roman" w:eastAsia="方正仿宋_GBK" w:cs="Times New Roman"/>
                <w:b/>
                <w:bCs/>
                <w:color w:val="auto"/>
                <w:sz w:val="24"/>
                <w:szCs w:val="20"/>
              </w:rPr>
            </w:pPr>
            <w:r>
              <w:rPr>
                <w:rFonts w:hint="default" w:ascii="Times New Roman" w:hAnsi="Times New Roman" w:eastAsia="方正仿宋_GBK" w:cs="Times New Roman"/>
                <w:b/>
                <w:bCs/>
                <w:color w:val="auto"/>
                <w:sz w:val="24"/>
                <w:szCs w:val="20"/>
              </w:rPr>
              <w:t>2019年</w:t>
            </w:r>
          </w:p>
        </w:tc>
        <w:tc>
          <w:tcPr>
            <w:tcW w:w="1062" w:type="dxa"/>
            <w:vAlign w:val="center"/>
          </w:tcPr>
          <w:p w14:paraId="0276EDF6">
            <w:pPr>
              <w:widowControl/>
              <w:spacing w:line="360" w:lineRule="auto"/>
              <w:jc w:val="center"/>
              <w:rPr>
                <w:rFonts w:hint="default" w:ascii="Times New Roman" w:hAnsi="Times New Roman" w:eastAsia="方正仿宋_GBK" w:cs="Times New Roman"/>
                <w:b/>
                <w:bCs/>
                <w:color w:val="auto"/>
                <w:sz w:val="24"/>
                <w:szCs w:val="20"/>
              </w:rPr>
            </w:pPr>
            <w:r>
              <w:rPr>
                <w:rFonts w:hint="default" w:ascii="Times New Roman" w:hAnsi="Times New Roman" w:eastAsia="方正仿宋_GBK" w:cs="Times New Roman"/>
                <w:b/>
                <w:bCs/>
                <w:color w:val="auto"/>
                <w:sz w:val="24"/>
                <w:szCs w:val="20"/>
              </w:rPr>
              <w:t>2020年</w:t>
            </w:r>
          </w:p>
        </w:tc>
        <w:tc>
          <w:tcPr>
            <w:tcW w:w="892" w:type="dxa"/>
            <w:vAlign w:val="center"/>
          </w:tcPr>
          <w:p w14:paraId="5E0711E0">
            <w:pPr>
              <w:widowControl/>
              <w:spacing w:line="360" w:lineRule="auto"/>
              <w:jc w:val="center"/>
              <w:rPr>
                <w:rFonts w:hint="default" w:ascii="Times New Roman" w:hAnsi="Times New Roman" w:eastAsia="方正仿宋_GBK" w:cs="Times New Roman"/>
                <w:b/>
                <w:bCs/>
                <w:color w:val="auto"/>
                <w:sz w:val="24"/>
                <w:szCs w:val="20"/>
              </w:rPr>
            </w:pPr>
            <w:r>
              <w:rPr>
                <w:rFonts w:hint="default" w:ascii="Times New Roman" w:hAnsi="Times New Roman" w:eastAsia="方正仿宋_GBK" w:cs="Times New Roman"/>
                <w:b/>
                <w:bCs/>
                <w:color w:val="auto"/>
                <w:sz w:val="24"/>
                <w:szCs w:val="20"/>
              </w:rPr>
              <w:t>2021年</w:t>
            </w:r>
          </w:p>
        </w:tc>
      </w:tr>
      <w:tr w14:paraId="1ADA0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75" w:hRule="atLeast"/>
          <w:jc w:val="center"/>
        </w:trPr>
        <w:tc>
          <w:tcPr>
            <w:tcW w:w="1377" w:type="dxa"/>
            <w:vAlign w:val="center"/>
          </w:tcPr>
          <w:p w14:paraId="08517B91">
            <w:pPr>
              <w:adjustRightInd w:val="0"/>
              <w:snapToGrid w:val="0"/>
              <w:spacing w:line="400" w:lineRule="exact"/>
              <w:jc w:val="center"/>
              <w:rPr>
                <w:rFonts w:hint="default" w:ascii="Times New Roman" w:hAnsi="Times New Roman" w:eastAsia="方正仿宋_GBK" w:cs="Times New Roman"/>
                <w:color w:val="auto"/>
                <w:sz w:val="24"/>
                <w:szCs w:val="20"/>
              </w:rPr>
            </w:pPr>
            <w:r>
              <w:rPr>
                <w:rFonts w:hint="default" w:ascii="Times New Roman" w:hAnsi="Times New Roman" w:eastAsia="方正仿宋_GBK" w:cs="Times New Roman"/>
                <w:color w:val="auto"/>
                <w:sz w:val="24"/>
                <w:szCs w:val="20"/>
              </w:rPr>
              <w:t>清水河水库</w:t>
            </w:r>
          </w:p>
        </w:tc>
        <w:tc>
          <w:tcPr>
            <w:tcW w:w="809" w:type="dxa"/>
            <w:vAlign w:val="center"/>
          </w:tcPr>
          <w:p w14:paraId="3E0A825D">
            <w:pPr>
              <w:adjustRightInd w:val="0"/>
              <w:snapToGrid w:val="0"/>
              <w:spacing w:line="400" w:lineRule="exact"/>
              <w:jc w:val="center"/>
              <w:rPr>
                <w:rFonts w:hint="default" w:ascii="Times New Roman" w:hAnsi="Times New Roman" w:eastAsia="方正仿宋_GBK" w:cs="Times New Roman"/>
                <w:color w:val="auto"/>
                <w:sz w:val="24"/>
                <w:szCs w:val="20"/>
              </w:rPr>
            </w:pPr>
            <w:r>
              <w:rPr>
                <w:rFonts w:hint="default" w:ascii="Times New Roman" w:hAnsi="Times New Roman" w:eastAsia="方正仿宋_GBK" w:cs="Times New Roman"/>
                <w:color w:val="auto"/>
                <w:sz w:val="24"/>
                <w:szCs w:val="20"/>
              </w:rPr>
              <w:t>县级</w:t>
            </w:r>
          </w:p>
        </w:tc>
        <w:tc>
          <w:tcPr>
            <w:tcW w:w="1053" w:type="dxa"/>
            <w:vAlign w:val="center"/>
          </w:tcPr>
          <w:p w14:paraId="29FFED25">
            <w:pPr>
              <w:adjustRightInd w:val="0"/>
              <w:snapToGrid w:val="0"/>
              <w:spacing w:line="400" w:lineRule="exact"/>
              <w:jc w:val="center"/>
              <w:rPr>
                <w:rFonts w:hint="default" w:ascii="Times New Roman" w:hAnsi="Times New Roman" w:eastAsia="方正仿宋_GBK" w:cs="Times New Roman"/>
                <w:color w:val="auto"/>
                <w:sz w:val="24"/>
                <w:szCs w:val="20"/>
              </w:rPr>
            </w:pPr>
            <w:r>
              <w:rPr>
                <w:rFonts w:hint="default" w:ascii="Times New Roman" w:hAnsi="Times New Roman" w:eastAsia="方正仿宋_GBK" w:cs="Times New Roman"/>
                <w:color w:val="auto"/>
                <w:sz w:val="24"/>
                <w:szCs w:val="20"/>
              </w:rPr>
              <w:t>Ⅱ类</w:t>
            </w:r>
          </w:p>
        </w:tc>
        <w:tc>
          <w:tcPr>
            <w:tcW w:w="1062" w:type="dxa"/>
            <w:vAlign w:val="center"/>
          </w:tcPr>
          <w:p w14:paraId="02E3EA9A">
            <w:pPr>
              <w:adjustRightInd w:val="0"/>
              <w:snapToGrid w:val="0"/>
              <w:spacing w:line="400" w:lineRule="exact"/>
              <w:jc w:val="center"/>
              <w:rPr>
                <w:rFonts w:hint="default" w:ascii="Times New Roman" w:hAnsi="Times New Roman" w:eastAsia="方正仿宋_GBK" w:cs="Times New Roman"/>
                <w:color w:val="auto"/>
                <w:sz w:val="24"/>
                <w:szCs w:val="20"/>
              </w:rPr>
            </w:pPr>
            <w:r>
              <w:rPr>
                <w:rFonts w:hint="default" w:ascii="Times New Roman" w:hAnsi="Times New Roman" w:eastAsia="方正仿宋_GBK" w:cs="Times New Roman"/>
                <w:color w:val="auto"/>
                <w:sz w:val="24"/>
                <w:szCs w:val="20"/>
              </w:rPr>
              <w:t>Ⅱ类</w:t>
            </w:r>
          </w:p>
        </w:tc>
        <w:tc>
          <w:tcPr>
            <w:tcW w:w="1062" w:type="dxa"/>
            <w:vAlign w:val="center"/>
          </w:tcPr>
          <w:p w14:paraId="5D4D6DBB">
            <w:pPr>
              <w:adjustRightInd w:val="0"/>
              <w:snapToGrid w:val="0"/>
              <w:spacing w:line="400" w:lineRule="exact"/>
              <w:jc w:val="center"/>
              <w:rPr>
                <w:rFonts w:hint="default" w:ascii="Times New Roman" w:hAnsi="Times New Roman" w:eastAsia="方正仿宋_GBK" w:cs="Times New Roman"/>
                <w:color w:val="auto"/>
                <w:sz w:val="24"/>
                <w:szCs w:val="20"/>
              </w:rPr>
            </w:pPr>
            <w:r>
              <w:rPr>
                <w:rFonts w:hint="default" w:ascii="Times New Roman" w:hAnsi="Times New Roman" w:eastAsia="方正仿宋_GBK" w:cs="Times New Roman"/>
                <w:color w:val="auto"/>
                <w:sz w:val="24"/>
                <w:szCs w:val="20"/>
              </w:rPr>
              <w:t>Ⅱ类</w:t>
            </w:r>
          </w:p>
        </w:tc>
        <w:tc>
          <w:tcPr>
            <w:tcW w:w="1062" w:type="dxa"/>
            <w:vAlign w:val="center"/>
          </w:tcPr>
          <w:p w14:paraId="657F17AF">
            <w:pPr>
              <w:adjustRightInd w:val="0"/>
              <w:snapToGrid w:val="0"/>
              <w:spacing w:line="400" w:lineRule="exact"/>
              <w:jc w:val="center"/>
              <w:rPr>
                <w:rFonts w:hint="default" w:ascii="Times New Roman" w:hAnsi="Times New Roman" w:eastAsia="方正仿宋_GBK" w:cs="Times New Roman"/>
                <w:color w:val="auto"/>
                <w:szCs w:val="21"/>
              </w:rPr>
            </w:pPr>
            <w:r>
              <w:rPr>
                <w:rFonts w:hint="default" w:ascii="Times New Roman" w:hAnsi="Times New Roman" w:eastAsia="方正仿宋_GBK" w:cs="Times New Roman"/>
                <w:color w:val="auto"/>
                <w:sz w:val="24"/>
                <w:szCs w:val="20"/>
              </w:rPr>
              <w:t>Ⅱ类</w:t>
            </w:r>
          </w:p>
        </w:tc>
        <w:tc>
          <w:tcPr>
            <w:tcW w:w="1062" w:type="dxa"/>
            <w:vAlign w:val="center"/>
          </w:tcPr>
          <w:p w14:paraId="451CE072">
            <w:pPr>
              <w:adjustRightInd w:val="0"/>
              <w:snapToGrid w:val="0"/>
              <w:spacing w:line="400" w:lineRule="exact"/>
              <w:jc w:val="center"/>
              <w:rPr>
                <w:rFonts w:hint="default" w:ascii="Times New Roman" w:hAnsi="Times New Roman" w:eastAsia="方正仿宋_GBK" w:cs="Times New Roman"/>
                <w:color w:val="auto"/>
                <w:szCs w:val="21"/>
              </w:rPr>
            </w:pPr>
            <w:r>
              <w:rPr>
                <w:rFonts w:hint="default" w:ascii="Times New Roman" w:hAnsi="Times New Roman" w:eastAsia="方正仿宋_GBK" w:cs="Times New Roman"/>
                <w:color w:val="auto"/>
                <w:sz w:val="24"/>
                <w:szCs w:val="20"/>
              </w:rPr>
              <w:t>Ⅱ类</w:t>
            </w:r>
          </w:p>
        </w:tc>
        <w:tc>
          <w:tcPr>
            <w:tcW w:w="892" w:type="dxa"/>
            <w:vAlign w:val="center"/>
          </w:tcPr>
          <w:p w14:paraId="2C037AAF">
            <w:pPr>
              <w:adjustRightInd w:val="0"/>
              <w:snapToGrid w:val="0"/>
              <w:spacing w:line="400" w:lineRule="exact"/>
              <w:jc w:val="center"/>
              <w:rPr>
                <w:rFonts w:hint="default" w:ascii="Times New Roman" w:hAnsi="Times New Roman" w:eastAsia="方正仿宋_GBK" w:cs="Times New Roman"/>
                <w:color w:val="auto"/>
                <w:szCs w:val="21"/>
              </w:rPr>
            </w:pPr>
            <w:r>
              <w:rPr>
                <w:rFonts w:hint="default" w:ascii="Times New Roman" w:hAnsi="Times New Roman" w:eastAsia="方正仿宋_GBK" w:cs="Times New Roman"/>
                <w:color w:val="auto"/>
                <w:sz w:val="24"/>
                <w:szCs w:val="20"/>
              </w:rPr>
              <w:t>Ⅱ类</w:t>
            </w:r>
          </w:p>
        </w:tc>
      </w:tr>
      <w:tr w14:paraId="2B8D6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96" w:hRule="atLeast"/>
          <w:jc w:val="center"/>
        </w:trPr>
        <w:tc>
          <w:tcPr>
            <w:tcW w:w="1377" w:type="dxa"/>
            <w:vAlign w:val="center"/>
          </w:tcPr>
          <w:p w14:paraId="0B327C27">
            <w:pPr>
              <w:adjustRightInd w:val="0"/>
              <w:snapToGrid w:val="0"/>
              <w:spacing w:line="400" w:lineRule="exact"/>
              <w:jc w:val="center"/>
              <w:rPr>
                <w:rFonts w:hint="default" w:ascii="Times New Roman" w:hAnsi="Times New Roman" w:eastAsia="方正仿宋_GBK" w:cs="Times New Roman"/>
                <w:color w:val="auto"/>
                <w:sz w:val="24"/>
                <w:szCs w:val="20"/>
              </w:rPr>
            </w:pPr>
            <w:r>
              <w:rPr>
                <w:rFonts w:hint="default" w:ascii="Times New Roman" w:hAnsi="Times New Roman" w:eastAsia="方正仿宋_GBK" w:cs="Times New Roman"/>
                <w:color w:val="auto"/>
                <w:sz w:val="24"/>
                <w:szCs w:val="20"/>
              </w:rPr>
              <w:t>他拉河水库</w:t>
            </w:r>
          </w:p>
        </w:tc>
        <w:tc>
          <w:tcPr>
            <w:tcW w:w="809" w:type="dxa"/>
            <w:vAlign w:val="center"/>
          </w:tcPr>
          <w:p w14:paraId="6197C9FA">
            <w:pPr>
              <w:adjustRightInd w:val="0"/>
              <w:snapToGrid w:val="0"/>
              <w:spacing w:line="400" w:lineRule="exact"/>
              <w:jc w:val="center"/>
              <w:rPr>
                <w:rFonts w:hint="default" w:ascii="Times New Roman" w:hAnsi="Times New Roman" w:eastAsia="方正仿宋_GBK" w:cs="Times New Roman"/>
                <w:color w:val="auto"/>
                <w:sz w:val="24"/>
                <w:szCs w:val="20"/>
              </w:rPr>
            </w:pPr>
            <w:r>
              <w:rPr>
                <w:rFonts w:hint="default" w:ascii="Times New Roman" w:hAnsi="Times New Roman" w:eastAsia="方正仿宋_GBK" w:cs="Times New Roman"/>
                <w:color w:val="auto"/>
                <w:sz w:val="24"/>
                <w:szCs w:val="20"/>
              </w:rPr>
              <w:t>县级</w:t>
            </w:r>
          </w:p>
        </w:tc>
        <w:tc>
          <w:tcPr>
            <w:tcW w:w="1053" w:type="dxa"/>
            <w:vAlign w:val="center"/>
          </w:tcPr>
          <w:p w14:paraId="01BB61EF">
            <w:pPr>
              <w:adjustRightInd w:val="0"/>
              <w:snapToGrid w:val="0"/>
              <w:spacing w:line="400" w:lineRule="exact"/>
              <w:jc w:val="center"/>
              <w:rPr>
                <w:rFonts w:hint="default" w:ascii="Times New Roman" w:hAnsi="Times New Roman" w:eastAsia="方正仿宋_GBK" w:cs="Times New Roman"/>
                <w:color w:val="auto"/>
                <w:sz w:val="24"/>
                <w:szCs w:val="20"/>
              </w:rPr>
            </w:pPr>
            <w:r>
              <w:rPr>
                <w:rFonts w:hint="default" w:ascii="Times New Roman" w:hAnsi="Times New Roman" w:eastAsia="方正仿宋_GBK" w:cs="Times New Roman"/>
                <w:color w:val="auto"/>
                <w:sz w:val="24"/>
                <w:szCs w:val="20"/>
              </w:rPr>
              <w:t>Ⅱ类</w:t>
            </w:r>
          </w:p>
        </w:tc>
        <w:tc>
          <w:tcPr>
            <w:tcW w:w="1062" w:type="dxa"/>
            <w:vAlign w:val="center"/>
          </w:tcPr>
          <w:p w14:paraId="5310AD97">
            <w:pPr>
              <w:adjustRightInd w:val="0"/>
              <w:snapToGrid w:val="0"/>
              <w:spacing w:line="400" w:lineRule="exact"/>
              <w:jc w:val="center"/>
              <w:rPr>
                <w:rFonts w:hint="default" w:ascii="Times New Roman" w:hAnsi="Times New Roman" w:eastAsia="方正仿宋_GBK" w:cs="Times New Roman"/>
                <w:color w:val="auto"/>
                <w:sz w:val="24"/>
                <w:szCs w:val="20"/>
              </w:rPr>
            </w:pPr>
            <w:r>
              <w:rPr>
                <w:rFonts w:hint="default" w:ascii="Times New Roman" w:hAnsi="Times New Roman" w:eastAsia="方正仿宋_GBK" w:cs="Times New Roman"/>
                <w:color w:val="auto"/>
                <w:sz w:val="24"/>
                <w:szCs w:val="20"/>
              </w:rPr>
              <w:t>Ⅱ类</w:t>
            </w:r>
          </w:p>
        </w:tc>
        <w:tc>
          <w:tcPr>
            <w:tcW w:w="1062" w:type="dxa"/>
            <w:vAlign w:val="center"/>
          </w:tcPr>
          <w:p w14:paraId="333E112B">
            <w:pPr>
              <w:adjustRightInd w:val="0"/>
              <w:snapToGrid w:val="0"/>
              <w:spacing w:line="400" w:lineRule="exact"/>
              <w:jc w:val="center"/>
              <w:rPr>
                <w:rFonts w:hint="default" w:ascii="Times New Roman" w:hAnsi="Times New Roman" w:eastAsia="方正仿宋_GBK" w:cs="Times New Roman"/>
                <w:color w:val="auto"/>
                <w:sz w:val="24"/>
                <w:szCs w:val="20"/>
              </w:rPr>
            </w:pPr>
            <w:r>
              <w:rPr>
                <w:rFonts w:hint="default" w:ascii="Times New Roman" w:hAnsi="Times New Roman" w:eastAsia="方正仿宋_GBK" w:cs="Times New Roman"/>
                <w:color w:val="auto"/>
                <w:sz w:val="24"/>
                <w:szCs w:val="20"/>
              </w:rPr>
              <w:t>Ⅱ类</w:t>
            </w:r>
          </w:p>
        </w:tc>
        <w:tc>
          <w:tcPr>
            <w:tcW w:w="1062" w:type="dxa"/>
            <w:vAlign w:val="center"/>
          </w:tcPr>
          <w:p w14:paraId="61CD346D">
            <w:pPr>
              <w:adjustRightInd w:val="0"/>
              <w:snapToGrid w:val="0"/>
              <w:spacing w:line="400" w:lineRule="exact"/>
              <w:jc w:val="center"/>
              <w:rPr>
                <w:rFonts w:hint="default" w:ascii="Times New Roman" w:hAnsi="Times New Roman" w:eastAsia="方正仿宋_GBK" w:cs="Times New Roman"/>
                <w:color w:val="auto"/>
                <w:szCs w:val="21"/>
              </w:rPr>
            </w:pPr>
            <w:r>
              <w:rPr>
                <w:rFonts w:hint="default" w:ascii="Times New Roman" w:hAnsi="Times New Roman" w:eastAsia="方正仿宋_GBK" w:cs="Times New Roman"/>
                <w:color w:val="auto"/>
                <w:sz w:val="24"/>
                <w:szCs w:val="20"/>
              </w:rPr>
              <w:t>Ⅱ类</w:t>
            </w:r>
          </w:p>
        </w:tc>
        <w:tc>
          <w:tcPr>
            <w:tcW w:w="1062" w:type="dxa"/>
            <w:vAlign w:val="center"/>
          </w:tcPr>
          <w:p w14:paraId="248C61BC">
            <w:pPr>
              <w:adjustRightInd w:val="0"/>
              <w:snapToGrid w:val="0"/>
              <w:spacing w:line="400" w:lineRule="exact"/>
              <w:jc w:val="center"/>
              <w:rPr>
                <w:rFonts w:hint="default" w:ascii="Times New Roman" w:hAnsi="Times New Roman" w:eastAsia="方正仿宋_GBK" w:cs="Times New Roman"/>
                <w:color w:val="auto"/>
                <w:szCs w:val="21"/>
              </w:rPr>
            </w:pPr>
            <w:r>
              <w:rPr>
                <w:rFonts w:hint="default" w:ascii="Times New Roman" w:hAnsi="Times New Roman" w:eastAsia="方正仿宋_GBK" w:cs="Times New Roman"/>
                <w:color w:val="auto"/>
                <w:sz w:val="24"/>
                <w:szCs w:val="20"/>
              </w:rPr>
              <w:t>Ⅱ类</w:t>
            </w:r>
          </w:p>
        </w:tc>
        <w:tc>
          <w:tcPr>
            <w:tcW w:w="892" w:type="dxa"/>
            <w:vAlign w:val="center"/>
          </w:tcPr>
          <w:p w14:paraId="3417D3F4">
            <w:pPr>
              <w:adjustRightInd w:val="0"/>
              <w:snapToGrid w:val="0"/>
              <w:spacing w:line="400" w:lineRule="exact"/>
              <w:jc w:val="center"/>
              <w:rPr>
                <w:rFonts w:hint="default" w:ascii="Times New Roman" w:hAnsi="Times New Roman" w:eastAsia="方正仿宋_GBK" w:cs="Times New Roman"/>
                <w:color w:val="auto"/>
                <w:szCs w:val="21"/>
              </w:rPr>
            </w:pPr>
            <w:r>
              <w:rPr>
                <w:rFonts w:hint="default" w:ascii="Times New Roman" w:hAnsi="Times New Roman" w:eastAsia="方正仿宋_GBK" w:cs="Times New Roman"/>
                <w:color w:val="auto"/>
                <w:sz w:val="24"/>
                <w:szCs w:val="20"/>
              </w:rPr>
              <w:t>Ⅱ类</w:t>
            </w:r>
          </w:p>
        </w:tc>
      </w:tr>
    </w:tbl>
    <w:p w14:paraId="23211E35">
      <w:pPr>
        <w:keepNext w:val="0"/>
        <w:keepLines w:val="0"/>
        <w:pageBreakBefore w:val="0"/>
        <w:widowControl/>
        <w:kinsoku/>
        <w:wordWrap/>
        <w:overflowPunct/>
        <w:topLinePunct w:val="0"/>
        <w:autoSpaceDE/>
        <w:autoSpaceDN/>
        <w:bidi w:val="0"/>
        <w:adjustRightInd/>
        <w:snapToGrid/>
        <w:spacing w:line="500" w:lineRule="exact"/>
        <w:ind w:firstLine="592" w:firstLineChars="200"/>
        <w:textAlignment w:val="auto"/>
        <w:rPr>
          <w:rFonts w:hint="default" w:ascii="Times New Roman" w:hAnsi="Times New Roman" w:eastAsia="方正仿宋_GBK" w:cs="方正仿宋_GBK"/>
          <w:i w:val="0"/>
          <w:caps w:val="0"/>
          <w:color w:val="auto"/>
          <w:spacing w:val="8"/>
          <w:kern w:val="0"/>
          <w:sz w:val="28"/>
          <w:szCs w:val="28"/>
          <w:shd w:val="clear" w:color="auto" w:fill="FFFFFF"/>
          <w:lang w:val="en-US" w:eastAsia="zh-CN" w:bidi="ar-SA"/>
        </w:rPr>
      </w:pPr>
      <w:r>
        <w:rPr>
          <w:rFonts w:hint="default" w:ascii="Times New Roman" w:hAnsi="Times New Roman" w:eastAsia="方正仿宋_GBK" w:cs="方正仿宋_GBK"/>
          <w:i w:val="0"/>
          <w:caps w:val="0"/>
          <w:color w:val="auto"/>
          <w:spacing w:val="8"/>
          <w:kern w:val="0"/>
          <w:sz w:val="28"/>
          <w:szCs w:val="28"/>
          <w:shd w:val="clear" w:color="auto" w:fill="FFFFFF"/>
          <w:lang w:val="en-US" w:eastAsia="zh-CN" w:bidi="ar-SA"/>
        </w:rPr>
        <w:t>②乡镇饮用水源地</w:t>
      </w:r>
    </w:p>
    <w:p w14:paraId="4F0B9378">
      <w:pPr>
        <w:keepNext w:val="0"/>
        <w:keepLines w:val="0"/>
        <w:pageBreakBefore w:val="0"/>
        <w:widowControl/>
        <w:kinsoku/>
        <w:wordWrap/>
        <w:overflowPunct/>
        <w:topLinePunct w:val="0"/>
        <w:autoSpaceDE/>
        <w:autoSpaceDN/>
        <w:bidi w:val="0"/>
        <w:adjustRightInd/>
        <w:snapToGrid/>
        <w:spacing w:line="500" w:lineRule="exact"/>
        <w:ind w:firstLine="592" w:firstLineChars="200"/>
        <w:textAlignment w:val="auto"/>
        <w:rPr>
          <w:rFonts w:hint="default" w:ascii="Times New Roman" w:hAnsi="Times New Roman" w:eastAsia="方正仿宋_GBK" w:cs="方正仿宋_GBK"/>
          <w:i w:val="0"/>
          <w:caps w:val="0"/>
          <w:color w:val="auto"/>
          <w:spacing w:val="8"/>
          <w:kern w:val="0"/>
          <w:sz w:val="28"/>
          <w:szCs w:val="28"/>
          <w:shd w:val="clear" w:color="auto" w:fill="FFFFFF"/>
          <w:lang w:val="en-US" w:eastAsia="zh-CN" w:bidi="ar-SA"/>
        </w:rPr>
      </w:pPr>
      <w:r>
        <w:rPr>
          <w:rFonts w:hint="default" w:ascii="Times New Roman" w:hAnsi="Times New Roman" w:eastAsia="方正仿宋_GBK" w:cs="方正仿宋_GBK"/>
          <w:i w:val="0"/>
          <w:caps w:val="0"/>
          <w:color w:val="auto"/>
          <w:spacing w:val="8"/>
          <w:kern w:val="0"/>
          <w:sz w:val="28"/>
          <w:szCs w:val="28"/>
          <w:shd w:val="clear" w:color="auto" w:fill="FFFFFF"/>
          <w:lang w:val="en-US" w:eastAsia="zh-CN" w:bidi="ar-SA"/>
        </w:rPr>
        <w:t>新平县共划定15个乡镇级饮用水水源地和4个“千吨万人”饮用</w:t>
      </w:r>
      <w:r>
        <w:rPr>
          <w:rFonts w:hint="default" w:ascii="Times New Roman" w:hAnsi="Times New Roman" w:eastAsia="方正仿宋_GBK" w:cs="方正仿宋_GBK"/>
          <w:i w:val="0"/>
          <w:caps w:val="0"/>
          <w:color w:val="auto"/>
          <w:spacing w:val="8"/>
          <w:kern w:val="0"/>
          <w:sz w:val="28"/>
          <w:szCs w:val="28"/>
          <w:highlight w:val="none"/>
          <w:shd w:val="clear" w:color="auto" w:fill="FFFFFF"/>
          <w:lang w:val="en-US" w:eastAsia="zh-CN" w:bidi="ar-SA"/>
        </w:rPr>
        <w:t>水源地，</w:t>
      </w:r>
      <w:r>
        <w:rPr>
          <w:rFonts w:hint="default" w:ascii="Times New Roman" w:hAnsi="Times New Roman" w:eastAsia="方正仿宋_GBK" w:cs="Times New Roman"/>
          <w:i w:val="0"/>
          <w:caps w:val="0"/>
          <w:color w:val="auto"/>
          <w:spacing w:val="8"/>
          <w:kern w:val="0"/>
          <w:sz w:val="30"/>
          <w:szCs w:val="30"/>
          <w:highlight w:val="none"/>
          <w:shd w:val="clear" w:color="auto" w:fill="FFFFFF"/>
          <w:lang w:val="en-US" w:eastAsia="zh-CN" w:bidi="ar-SA"/>
        </w:rPr>
        <w:t>目前15个水源地均完成保护区划定方案并获得</w:t>
      </w:r>
      <w:r>
        <w:rPr>
          <w:rFonts w:hint="eastAsia" w:ascii="Times New Roman" w:hAnsi="Times New Roman" w:eastAsia="方正仿宋_GBK" w:cs="Times New Roman"/>
          <w:i w:val="0"/>
          <w:caps w:val="0"/>
          <w:color w:val="auto"/>
          <w:spacing w:val="8"/>
          <w:kern w:val="0"/>
          <w:sz w:val="30"/>
          <w:szCs w:val="30"/>
          <w:highlight w:val="none"/>
          <w:shd w:val="clear" w:color="auto" w:fill="FFFFFF"/>
          <w:lang w:val="en-US" w:eastAsia="zh-CN" w:bidi="ar-SA"/>
        </w:rPr>
        <w:t>上级部门批复</w:t>
      </w:r>
      <w:r>
        <w:rPr>
          <w:rFonts w:hint="default" w:ascii="Times New Roman" w:hAnsi="Times New Roman" w:eastAsia="方正仿宋_GBK" w:cs="Times New Roman"/>
          <w:i w:val="0"/>
          <w:caps w:val="0"/>
          <w:color w:val="auto"/>
          <w:spacing w:val="8"/>
          <w:kern w:val="0"/>
          <w:sz w:val="30"/>
          <w:szCs w:val="30"/>
          <w:highlight w:val="none"/>
          <w:shd w:val="clear" w:color="auto" w:fill="FFFFFF"/>
          <w:lang w:val="en-US" w:eastAsia="zh-CN" w:bidi="ar-SA"/>
        </w:rPr>
        <w:t>。</w:t>
      </w:r>
      <w:r>
        <w:rPr>
          <w:rFonts w:hint="default" w:ascii="Times New Roman" w:hAnsi="Times New Roman" w:eastAsia="方正仿宋_GBK" w:cs="方正仿宋_GBK"/>
          <w:i w:val="0"/>
          <w:caps w:val="0"/>
          <w:color w:val="auto"/>
          <w:spacing w:val="8"/>
          <w:kern w:val="0"/>
          <w:sz w:val="28"/>
          <w:szCs w:val="28"/>
          <w:highlight w:val="none"/>
          <w:shd w:val="clear" w:color="auto" w:fill="FFFFFF"/>
          <w:lang w:val="en-US" w:eastAsia="zh-CN" w:bidi="ar-SA"/>
        </w:rPr>
        <w:t>新平县每年对供水人口在千人及以上的农村集中式饮用水源地水质进行水质监</w:t>
      </w:r>
      <w:r>
        <w:rPr>
          <w:rFonts w:hint="default" w:ascii="Times New Roman" w:hAnsi="Times New Roman" w:eastAsia="方正仿宋_GBK" w:cs="方正仿宋_GBK"/>
          <w:i w:val="0"/>
          <w:caps w:val="0"/>
          <w:color w:val="auto"/>
          <w:spacing w:val="8"/>
          <w:kern w:val="0"/>
          <w:sz w:val="28"/>
          <w:szCs w:val="28"/>
          <w:shd w:val="clear" w:color="auto" w:fill="FFFFFF"/>
          <w:lang w:val="en-US" w:eastAsia="zh-CN" w:bidi="ar-SA"/>
        </w:rPr>
        <w:t>测，2017</w:t>
      </w:r>
      <w:r>
        <w:rPr>
          <w:rFonts w:hint="eastAsia" w:ascii="Times New Roman" w:hAnsi="Times New Roman" w:eastAsia="方正仿宋_GBK" w:cs="方正仿宋_GBK"/>
          <w:i w:val="0"/>
          <w:caps w:val="0"/>
          <w:color w:val="auto"/>
          <w:spacing w:val="8"/>
          <w:kern w:val="0"/>
          <w:sz w:val="28"/>
          <w:szCs w:val="28"/>
          <w:shd w:val="clear" w:color="auto" w:fill="FFFFFF"/>
          <w:lang w:val="en-US" w:eastAsia="zh-CN" w:bidi="ar-SA"/>
        </w:rPr>
        <w:t>—</w:t>
      </w:r>
      <w:r>
        <w:rPr>
          <w:rFonts w:hint="default" w:ascii="Times New Roman" w:hAnsi="Times New Roman" w:eastAsia="方正仿宋_GBK" w:cs="方正仿宋_GBK"/>
          <w:i w:val="0"/>
          <w:caps w:val="0"/>
          <w:color w:val="auto"/>
          <w:spacing w:val="8"/>
          <w:kern w:val="0"/>
          <w:sz w:val="28"/>
          <w:szCs w:val="28"/>
          <w:shd w:val="clear" w:color="auto" w:fill="FFFFFF"/>
          <w:lang w:val="en-US" w:eastAsia="zh-CN" w:bidi="ar-SA"/>
        </w:rPr>
        <w:t>2021年，根据检测报告显示，新平15个乡镇级饮用水水源地及4个“千吨万人”饮用水源地水质均达到Ⅲ类水质标准限值。2017</w:t>
      </w:r>
      <w:r>
        <w:rPr>
          <w:rFonts w:hint="eastAsia" w:ascii="Times New Roman" w:hAnsi="Times New Roman" w:eastAsia="方正仿宋_GBK" w:cs="方正仿宋_GBK"/>
          <w:i w:val="0"/>
          <w:caps w:val="0"/>
          <w:color w:val="auto"/>
          <w:spacing w:val="8"/>
          <w:kern w:val="0"/>
          <w:sz w:val="28"/>
          <w:szCs w:val="28"/>
          <w:shd w:val="clear" w:color="auto" w:fill="FFFFFF"/>
          <w:lang w:val="en-US" w:eastAsia="zh-CN" w:bidi="ar-SA"/>
        </w:rPr>
        <w:t>—</w:t>
      </w:r>
      <w:r>
        <w:rPr>
          <w:rFonts w:hint="default" w:ascii="Times New Roman" w:hAnsi="Times New Roman" w:eastAsia="方正仿宋_GBK" w:cs="方正仿宋_GBK"/>
          <w:i w:val="0"/>
          <w:caps w:val="0"/>
          <w:color w:val="auto"/>
          <w:spacing w:val="8"/>
          <w:kern w:val="0"/>
          <w:sz w:val="28"/>
          <w:szCs w:val="28"/>
          <w:shd w:val="clear" w:color="auto" w:fill="FFFFFF"/>
          <w:lang w:val="en-US" w:eastAsia="zh-CN" w:bidi="ar-SA"/>
        </w:rPr>
        <w:t>2021年新平县“千吨万人”饮用水水源水质状况见表2.1.5.1-</w:t>
      </w:r>
      <w:r>
        <w:rPr>
          <w:rFonts w:hint="eastAsia" w:ascii="Times New Roman" w:hAnsi="Times New Roman" w:eastAsia="方正仿宋_GBK" w:cs="方正仿宋_GBK"/>
          <w:i w:val="0"/>
          <w:caps w:val="0"/>
          <w:color w:val="auto"/>
          <w:spacing w:val="8"/>
          <w:kern w:val="0"/>
          <w:sz w:val="28"/>
          <w:szCs w:val="28"/>
          <w:shd w:val="clear" w:color="auto" w:fill="FFFFFF"/>
          <w:lang w:val="en-US" w:eastAsia="zh-CN" w:bidi="ar-SA"/>
        </w:rPr>
        <w:t>3</w:t>
      </w:r>
      <w:r>
        <w:rPr>
          <w:rFonts w:hint="default" w:ascii="Times New Roman" w:hAnsi="Times New Roman" w:eastAsia="方正仿宋_GBK" w:cs="方正仿宋_GBK"/>
          <w:i w:val="0"/>
          <w:caps w:val="0"/>
          <w:color w:val="auto"/>
          <w:spacing w:val="8"/>
          <w:kern w:val="0"/>
          <w:sz w:val="28"/>
          <w:szCs w:val="28"/>
          <w:shd w:val="clear" w:color="auto" w:fill="FFFFFF"/>
          <w:lang w:val="en-US" w:eastAsia="zh-CN" w:bidi="ar-SA"/>
        </w:rPr>
        <w:t>。</w:t>
      </w:r>
    </w:p>
    <w:p w14:paraId="4F3AAECC">
      <w:pPr>
        <w:adjustRightInd w:val="0"/>
        <w:snapToGrid w:val="0"/>
        <w:spacing w:line="400" w:lineRule="exact"/>
        <w:jc w:val="center"/>
        <w:rPr>
          <w:rFonts w:hint="default" w:ascii="Times New Roman" w:hAnsi="Times New Roman" w:eastAsia="方正仿宋_GBK" w:cs="Times New Roman"/>
          <w:b/>
          <w:color w:val="auto"/>
          <w:sz w:val="28"/>
          <w:szCs w:val="28"/>
        </w:rPr>
      </w:pPr>
      <w:r>
        <w:rPr>
          <w:rFonts w:hint="default" w:ascii="Times New Roman" w:hAnsi="Times New Roman" w:eastAsia="方正仿宋_GBK" w:cs="Times New Roman"/>
          <w:b/>
          <w:color w:val="auto"/>
          <w:sz w:val="28"/>
          <w:szCs w:val="28"/>
        </w:rPr>
        <w:t>表</w:t>
      </w:r>
      <w:r>
        <w:rPr>
          <w:rFonts w:hint="default" w:ascii="Times New Roman" w:hAnsi="Times New Roman" w:eastAsia="方正仿宋_GBK" w:cs="Times New Roman"/>
          <w:b/>
          <w:color w:val="auto"/>
          <w:sz w:val="28"/>
          <w:szCs w:val="28"/>
          <w:lang w:val="en-US" w:eastAsia="zh-CN"/>
        </w:rPr>
        <w:t>2</w:t>
      </w:r>
      <w:r>
        <w:rPr>
          <w:rFonts w:hint="default" w:ascii="Times New Roman" w:hAnsi="Times New Roman" w:eastAsia="方正仿宋_GBK" w:cs="Times New Roman"/>
          <w:b/>
          <w:color w:val="auto"/>
          <w:sz w:val="28"/>
          <w:szCs w:val="28"/>
        </w:rPr>
        <w:t>.1.</w:t>
      </w:r>
      <w:r>
        <w:rPr>
          <w:rFonts w:hint="default" w:ascii="Times New Roman" w:hAnsi="Times New Roman" w:eastAsia="方正仿宋_GBK" w:cs="Times New Roman"/>
          <w:b/>
          <w:color w:val="auto"/>
          <w:sz w:val="28"/>
          <w:szCs w:val="28"/>
          <w:lang w:val="en-US" w:eastAsia="zh-CN"/>
        </w:rPr>
        <w:t>5</w:t>
      </w:r>
      <w:r>
        <w:rPr>
          <w:rFonts w:hint="default" w:ascii="Times New Roman" w:hAnsi="Times New Roman" w:eastAsia="方正仿宋_GBK" w:cs="Times New Roman"/>
          <w:b/>
          <w:color w:val="auto"/>
          <w:sz w:val="28"/>
          <w:szCs w:val="28"/>
        </w:rPr>
        <w:t>.1-</w:t>
      </w:r>
      <w:r>
        <w:rPr>
          <w:rFonts w:hint="eastAsia" w:ascii="Times New Roman" w:hAnsi="Times New Roman" w:eastAsia="方正仿宋_GBK" w:cs="Times New Roman"/>
          <w:b/>
          <w:color w:val="auto"/>
          <w:sz w:val="28"/>
          <w:szCs w:val="28"/>
          <w:lang w:val="en-US" w:eastAsia="zh-CN"/>
        </w:rPr>
        <w:t>3</w:t>
      </w:r>
      <w:r>
        <w:rPr>
          <w:rFonts w:hint="default" w:ascii="Times New Roman" w:hAnsi="Times New Roman" w:eastAsia="方正仿宋_GBK" w:cs="Times New Roman"/>
          <w:b/>
          <w:color w:val="auto"/>
          <w:sz w:val="28"/>
          <w:szCs w:val="28"/>
          <w:lang w:val="en-US" w:eastAsia="zh-CN"/>
        </w:rPr>
        <w:t xml:space="preserve"> </w:t>
      </w:r>
      <w:r>
        <w:rPr>
          <w:rFonts w:hint="eastAsia" w:ascii="Times New Roman" w:hAnsi="Times New Roman" w:eastAsia="方正仿宋_GBK" w:cs="Times New Roman"/>
          <w:b/>
          <w:color w:val="auto"/>
          <w:sz w:val="28"/>
          <w:szCs w:val="28"/>
          <w:lang w:val="en-US" w:eastAsia="zh-CN"/>
        </w:rPr>
        <w:t xml:space="preserve"> </w:t>
      </w:r>
      <w:r>
        <w:rPr>
          <w:rFonts w:hint="default" w:ascii="Times New Roman" w:hAnsi="Times New Roman" w:eastAsia="方正仿宋_GBK" w:cs="Times New Roman"/>
          <w:b/>
          <w:color w:val="auto"/>
          <w:sz w:val="28"/>
          <w:szCs w:val="28"/>
          <w:lang w:eastAsia="zh-CN"/>
        </w:rPr>
        <w:t>新平县</w:t>
      </w:r>
      <w:r>
        <w:rPr>
          <w:rFonts w:hint="default" w:ascii="Times New Roman" w:hAnsi="Times New Roman" w:eastAsia="方正仿宋_GBK" w:cs="Times New Roman"/>
          <w:b/>
          <w:color w:val="auto"/>
          <w:sz w:val="28"/>
          <w:szCs w:val="28"/>
        </w:rPr>
        <w:t>“千吨万人”饮用水源地</w:t>
      </w:r>
      <w:r>
        <w:rPr>
          <w:rFonts w:hint="default" w:ascii="Times New Roman" w:hAnsi="Times New Roman" w:eastAsia="方正仿宋_GBK" w:cs="Times New Roman"/>
          <w:b/>
          <w:color w:val="auto"/>
          <w:sz w:val="28"/>
          <w:szCs w:val="28"/>
          <w:lang w:val="en-US" w:eastAsia="zh-CN"/>
        </w:rPr>
        <w:t>2017</w:t>
      </w:r>
      <w:r>
        <w:rPr>
          <w:rFonts w:hint="eastAsia" w:ascii="Times New Roman" w:hAnsi="Times New Roman" w:eastAsia="方正仿宋_GBK" w:cs="Times New Roman"/>
          <w:b/>
          <w:color w:val="auto"/>
          <w:sz w:val="28"/>
          <w:szCs w:val="28"/>
          <w:lang w:val="en-US" w:eastAsia="zh-CN"/>
        </w:rPr>
        <w:t>—</w:t>
      </w:r>
      <w:r>
        <w:rPr>
          <w:rFonts w:hint="default" w:ascii="Times New Roman" w:hAnsi="Times New Roman" w:eastAsia="方正仿宋_GBK" w:cs="Times New Roman"/>
          <w:b/>
          <w:color w:val="auto"/>
          <w:sz w:val="28"/>
          <w:szCs w:val="28"/>
        </w:rPr>
        <w:t>202</w:t>
      </w:r>
      <w:r>
        <w:rPr>
          <w:rFonts w:hint="default" w:ascii="Times New Roman" w:hAnsi="Times New Roman" w:eastAsia="方正仿宋_GBK" w:cs="Times New Roman"/>
          <w:b/>
          <w:color w:val="auto"/>
          <w:sz w:val="28"/>
          <w:szCs w:val="28"/>
          <w:lang w:val="en-US" w:eastAsia="zh-CN"/>
        </w:rPr>
        <w:t>1</w:t>
      </w:r>
      <w:r>
        <w:rPr>
          <w:rFonts w:hint="default" w:ascii="Times New Roman" w:hAnsi="Times New Roman" w:eastAsia="方正仿宋_GBK" w:cs="Times New Roman"/>
          <w:b/>
          <w:color w:val="auto"/>
          <w:sz w:val="28"/>
          <w:szCs w:val="28"/>
        </w:rPr>
        <w:t>年水质情况表</w:t>
      </w:r>
    </w:p>
    <w:tbl>
      <w:tblPr>
        <w:tblStyle w:val="25"/>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291"/>
        <w:gridCol w:w="847"/>
        <w:gridCol w:w="825"/>
        <w:gridCol w:w="938"/>
        <w:gridCol w:w="1099"/>
        <w:gridCol w:w="1086"/>
        <w:gridCol w:w="961"/>
        <w:gridCol w:w="1071"/>
        <w:gridCol w:w="1195"/>
      </w:tblGrid>
      <w:tr w14:paraId="39C872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01" w:hRule="exact"/>
        </w:trPr>
        <w:tc>
          <w:tcPr>
            <w:tcW w:w="175" w:type="pct"/>
            <w:vMerge w:val="restart"/>
            <w:tcBorders>
              <w:tl2br w:val="nil"/>
              <w:tr2bl w:val="nil"/>
            </w:tcBorders>
            <w:vAlign w:val="center"/>
          </w:tcPr>
          <w:p w14:paraId="0EE140C3">
            <w:pPr>
              <w:widowControl/>
              <w:spacing w:line="360" w:lineRule="auto"/>
              <w:jc w:val="center"/>
              <w:rPr>
                <w:rFonts w:hint="default" w:ascii="Times New Roman" w:hAnsi="Times New Roman" w:eastAsia="方正仿宋_GBK" w:cs="Times New Roman"/>
                <w:b/>
                <w:bCs/>
                <w:color w:val="auto"/>
                <w:sz w:val="24"/>
                <w:szCs w:val="20"/>
                <w:lang w:val="en-US" w:eastAsia="zh-CN"/>
              </w:rPr>
            </w:pPr>
            <w:r>
              <w:rPr>
                <w:rFonts w:hint="default" w:ascii="Times New Roman" w:hAnsi="Times New Roman" w:eastAsia="方正仿宋_GBK" w:cs="Times New Roman"/>
                <w:b/>
                <w:bCs/>
                <w:color w:val="auto"/>
                <w:sz w:val="24"/>
                <w:szCs w:val="20"/>
                <w:lang w:val="en-US" w:eastAsia="zh-CN"/>
              </w:rPr>
              <w:t>序号</w:t>
            </w:r>
          </w:p>
        </w:tc>
        <w:tc>
          <w:tcPr>
            <w:tcW w:w="509" w:type="pct"/>
            <w:vMerge w:val="restart"/>
            <w:tcBorders>
              <w:tl2br w:val="nil"/>
              <w:tr2bl w:val="nil"/>
            </w:tcBorders>
            <w:vAlign w:val="center"/>
          </w:tcPr>
          <w:p w14:paraId="799380CB">
            <w:pPr>
              <w:widowControl/>
              <w:spacing w:line="360" w:lineRule="auto"/>
              <w:jc w:val="center"/>
              <w:rPr>
                <w:rFonts w:hint="default" w:ascii="Times New Roman" w:hAnsi="Times New Roman" w:eastAsia="方正仿宋_GBK" w:cs="Times New Roman"/>
                <w:b/>
                <w:bCs/>
                <w:color w:val="auto"/>
                <w:sz w:val="24"/>
                <w:szCs w:val="20"/>
                <w:lang w:val="en-US" w:eastAsia="zh-CN"/>
              </w:rPr>
            </w:pPr>
            <w:r>
              <w:rPr>
                <w:rFonts w:hint="default" w:ascii="Times New Roman" w:hAnsi="Times New Roman" w:eastAsia="方正仿宋_GBK" w:cs="Times New Roman"/>
                <w:b/>
                <w:bCs/>
                <w:color w:val="auto"/>
                <w:sz w:val="24"/>
                <w:szCs w:val="20"/>
                <w:lang w:val="en-US" w:eastAsia="zh-CN"/>
              </w:rPr>
              <w:t>乡镇</w:t>
            </w:r>
          </w:p>
        </w:tc>
        <w:tc>
          <w:tcPr>
            <w:tcW w:w="496" w:type="pct"/>
            <w:vMerge w:val="restart"/>
            <w:tcBorders>
              <w:tl2br w:val="nil"/>
              <w:tr2bl w:val="nil"/>
            </w:tcBorders>
            <w:vAlign w:val="center"/>
          </w:tcPr>
          <w:p w14:paraId="038900C8">
            <w:pPr>
              <w:widowControl/>
              <w:spacing w:line="360" w:lineRule="auto"/>
              <w:jc w:val="center"/>
              <w:rPr>
                <w:rFonts w:hint="default" w:ascii="Times New Roman" w:hAnsi="Times New Roman" w:eastAsia="方正仿宋_GBK" w:cs="Times New Roman"/>
                <w:b/>
                <w:bCs/>
                <w:color w:val="auto"/>
                <w:sz w:val="24"/>
                <w:szCs w:val="20"/>
                <w:lang w:val="en-US" w:eastAsia="zh-CN"/>
              </w:rPr>
            </w:pPr>
            <w:r>
              <w:rPr>
                <w:rFonts w:hint="default" w:ascii="Times New Roman" w:hAnsi="Times New Roman" w:eastAsia="方正仿宋_GBK" w:cs="Times New Roman"/>
                <w:b/>
                <w:bCs/>
                <w:color w:val="auto"/>
                <w:sz w:val="24"/>
                <w:szCs w:val="20"/>
                <w:lang w:val="en-US" w:eastAsia="zh-CN"/>
              </w:rPr>
              <w:t>水源地名称</w:t>
            </w:r>
          </w:p>
        </w:tc>
        <w:tc>
          <w:tcPr>
            <w:tcW w:w="564" w:type="pct"/>
            <w:vMerge w:val="restart"/>
            <w:tcBorders>
              <w:tl2br w:val="nil"/>
              <w:tr2bl w:val="nil"/>
            </w:tcBorders>
            <w:vAlign w:val="center"/>
          </w:tcPr>
          <w:p w14:paraId="4307DDE3">
            <w:pPr>
              <w:widowControl/>
              <w:spacing w:line="360" w:lineRule="auto"/>
              <w:jc w:val="center"/>
              <w:rPr>
                <w:rFonts w:hint="default" w:ascii="Times New Roman" w:hAnsi="Times New Roman" w:eastAsia="方正仿宋_GBK" w:cs="Times New Roman"/>
                <w:b/>
                <w:bCs/>
                <w:color w:val="auto"/>
                <w:sz w:val="24"/>
                <w:szCs w:val="20"/>
                <w:lang w:val="en-US" w:eastAsia="zh-CN"/>
              </w:rPr>
            </w:pPr>
            <w:r>
              <w:rPr>
                <w:rFonts w:hint="default" w:ascii="Times New Roman" w:hAnsi="Times New Roman" w:eastAsia="方正仿宋_GBK" w:cs="Times New Roman"/>
                <w:b/>
                <w:bCs/>
                <w:color w:val="auto"/>
                <w:sz w:val="24"/>
                <w:szCs w:val="20"/>
                <w:lang w:val="en-US" w:eastAsia="zh-CN"/>
              </w:rPr>
              <w:t>水环境功能类别</w:t>
            </w:r>
          </w:p>
        </w:tc>
        <w:tc>
          <w:tcPr>
            <w:tcW w:w="3254" w:type="pct"/>
            <w:gridSpan w:val="5"/>
            <w:tcBorders>
              <w:tl2br w:val="nil"/>
              <w:tr2bl w:val="nil"/>
            </w:tcBorders>
            <w:vAlign w:val="center"/>
          </w:tcPr>
          <w:p w14:paraId="22C1B04C">
            <w:pPr>
              <w:widowControl/>
              <w:spacing w:line="360" w:lineRule="auto"/>
              <w:jc w:val="center"/>
              <w:rPr>
                <w:rFonts w:hint="default" w:ascii="Times New Roman" w:hAnsi="Times New Roman" w:eastAsia="方正仿宋_GBK" w:cs="Times New Roman"/>
                <w:b/>
                <w:bCs/>
                <w:color w:val="auto"/>
                <w:sz w:val="24"/>
                <w:szCs w:val="20"/>
                <w:lang w:val="en-US" w:eastAsia="zh-CN"/>
              </w:rPr>
            </w:pPr>
            <w:r>
              <w:rPr>
                <w:rFonts w:hint="default" w:ascii="Times New Roman" w:hAnsi="Times New Roman" w:eastAsia="方正仿宋_GBK" w:cs="Times New Roman"/>
                <w:b/>
                <w:bCs/>
                <w:color w:val="auto"/>
                <w:sz w:val="24"/>
                <w:szCs w:val="20"/>
                <w:lang w:val="en-US" w:eastAsia="zh-CN"/>
              </w:rPr>
              <w:t>水质现状</w:t>
            </w:r>
          </w:p>
        </w:tc>
      </w:tr>
      <w:tr w14:paraId="4D6DE0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1" w:hRule="exact"/>
        </w:trPr>
        <w:tc>
          <w:tcPr>
            <w:tcW w:w="175" w:type="pct"/>
            <w:vMerge w:val="continue"/>
            <w:tcBorders>
              <w:tl2br w:val="nil"/>
              <w:tr2bl w:val="nil"/>
            </w:tcBorders>
            <w:vAlign w:val="center"/>
          </w:tcPr>
          <w:p w14:paraId="5904C1BA">
            <w:pPr>
              <w:widowControl/>
              <w:spacing w:line="360" w:lineRule="auto"/>
              <w:jc w:val="center"/>
              <w:rPr>
                <w:rFonts w:hint="default" w:ascii="Times New Roman" w:hAnsi="Times New Roman" w:eastAsia="方正仿宋_GBK" w:cs="Times New Roman"/>
                <w:b/>
                <w:bCs/>
                <w:color w:val="auto"/>
                <w:sz w:val="24"/>
                <w:szCs w:val="20"/>
                <w:lang w:val="en-US" w:eastAsia="zh-CN"/>
              </w:rPr>
            </w:pPr>
          </w:p>
        </w:tc>
        <w:tc>
          <w:tcPr>
            <w:tcW w:w="509" w:type="pct"/>
            <w:vMerge w:val="continue"/>
            <w:tcBorders>
              <w:tl2br w:val="nil"/>
              <w:tr2bl w:val="nil"/>
            </w:tcBorders>
            <w:vAlign w:val="center"/>
          </w:tcPr>
          <w:p w14:paraId="5A6EA968">
            <w:pPr>
              <w:widowControl/>
              <w:spacing w:line="360" w:lineRule="auto"/>
              <w:jc w:val="center"/>
              <w:rPr>
                <w:rFonts w:hint="default" w:ascii="Times New Roman" w:hAnsi="Times New Roman" w:eastAsia="方正仿宋_GBK" w:cs="Times New Roman"/>
                <w:b/>
                <w:bCs/>
                <w:color w:val="auto"/>
                <w:sz w:val="24"/>
                <w:szCs w:val="20"/>
                <w:lang w:val="en-US" w:eastAsia="zh-CN"/>
              </w:rPr>
            </w:pPr>
          </w:p>
        </w:tc>
        <w:tc>
          <w:tcPr>
            <w:tcW w:w="496" w:type="pct"/>
            <w:vMerge w:val="continue"/>
            <w:tcBorders>
              <w:tl2br w:val="nil"/>
              <w:tr2bl w:val="nil"/>
            </w:tcBorders>
            <w:vAlign w:val="center"/>
          </w:tcPr>
          <w:p w14:paraId="4E1389A9">
            <w:pPr>
              <w:widowControl/>
              <w:spacing w:line="360" w:lineRule="auto"/>
              <w:jc w:val="center"/>
              <w:rPr>
                <w:rFonts w:hint="default" w:ascii="Times New Roman" w:hAnsi="Times New Roman" w:eastAsia="方正仿宋_GBK" w:cs="Times New Roman"/>
                <w:b/>
                <w:bCs/>
                <w:color w:val="auto"/>
                <w:sz w:val="24"/>
                <w:szCs w:val="20"/>
                <w:lang w:val="en-US" w:eastAsia="zh-CN"/>
              </w:rPr>
            </w:pPr>
          </w:p>
        </w:tc>
        <w:tc>
          <w:tcPr>
            <w:tcW w:w="564" w:type="pct"/>
            <w:vMerge w:val="continue"/>
            <w:tcBorders>
              <w:tl2br w:val="nil"/>
              <w:tr2bl w:val="nil"/>
            </w:tcBorders>
            <w:vAlign w:val="center"/>
          </w:tcPr>
          <w:p w14:paraId="528D60B7">
            <w:pPr>
              <w:widowControl/>
              <w:spacing w:line="360" w:lineRule="auto"/>
              <w:jc w:val="center"/>
              <w:rPr>
                <w:rFonts w:hint="default" w:ascii="Times New Roman" w:hAnsi="Times New Roman" w:eastAsia="方正仿宋_GBK" w:cs="Times New Roman"/>
                <w:b/>
                <w:bCs/>
                <w:color w:val="auto"/>
                <w:sz w:val="24"/>
                <w:szCs w:val="20"/>
                <w:lang w:val="en-US" w:eastAsia="zh-CN"/>
              </w:rPr>
            </w:pPr>
          </w:p>
        </w:tc>
        <w:tc>
          <w:tcPr>
            <w:tcW w:w="661" w:type="pct"/>
            <w:tcBorders>
              <w:tl2br w:val="nil"/>
              <w:tr2bl w:val="nil"/>
            </w:tcBorders>
            <w:vAlign w:val="center"/>
          </w:tcPr>
          <w:p w14:paraId="5C898A14">
            <w:pPr>
              <w:widowControl/>
              <w:spacing w:line="360" w:lineRule="auto"/>
              <w:jc w:val="center"/>
              <w:rPr>
                <w:rFonts w:hint="default" w:ascii="Times New Roman" w:hAnsi="Times New Roman" w:eastAsia="方正仿宋_GBK" w:cs="Times New Roman"/>
                <w:b/>
                <w:bCs/>
                <w:color w:val="auto"/>
                <w:sz w:val="24"/>
                <w:szCs w:val="20"/>
                <w:lang w:val="en-US" w:eastAsia="zh-CN"/>
              </w:rPr>
            </w:pPr>
            <w:r>
              <w:rPr>
                <w:rFonts w:hint="default" w:ascii="Times New Roman" w:hAnsi="Times New Roman" w:eastAsia="方正仿宋_GBK" w:cs="Times New Roman"/>
                <w:b/>
                <w:bCs/>
                <w:color w:val="auto"/>
                <w:sz w:val="24"/>
                <w:szCs w:val="20"/>
                <w:lang w:val="en-US" w:eastAsia="zh-CN"/>
              </w:rPr>
              <w:t>2017年</w:t>
            </w:r>
          </w:p>
        </w:tc>
        <w:tc>
          <w:tcPr>
            <w:tcW w:w="653" w:type="pct"/>
            <w:tcBorders>
              <w:tl2br w:val="nil"/>
              <w:tr2bl w:val="nil"/>
            </w:tcBorders>
            <w:vAlign w:val="center"/>
          </w:tcPr>
          <w:p w14:paraId="1A817B17">
            <w:pPr>
              <w:widowControl/>
              <w:spacing w:line="360" w:lineRule="auto"/>
              <w:jc w:val="center"/>
              <w:rPr>
                <w:rFonts w:hint="default" w:ascii="Times New Roman" w:hAnsi="Times New Roman" w:eastAsia="方正仿宋_GBK" w:cs="Times New Roman"/>
                <w:b/>
                <w:bCs/>
                <w:color w:val="auto"/>
                <w:sz w:val="24"/>
                <w:szCs w:val="20"/>
                <w:lang w:val="en-US" w:eastAsia="zh-CN"/>
              </w:rPr>
            </w:pPr>
            <w:r>
              <w:rPr>
                <w:rFonts w:hint="default" w:ascii="Times New Roman" w:hAnsi="Times New Roman" w:eastAsia="方正仿宋_GBK" w:cs="Times New Roman"/>
                <w:b/>
                <w:bCs/>
                <w:color w:val="auto"/>
                <w:sz w:val="24"/>
                <w:szCs w:val="20"/>
                <w:lang w:val="en-US" w:eastAsia="zh-CN"/>
              </w:rPr>
              <w:t>2018年</w:t>
            </w:r>
          </w:p>
        </w:tc>
        <w:tc>
          <w:tcPr>
            <w:tcW w:w="578" w:type="pct"/>
            <w:tcBorders>
              <w:tl2br w:val="nil"/>
              <w:tr2bl w:val="nil"/>
            </w:tcBorders>
            <w:vAlign w:val="center"/>
          </w:tcPr>
          <w:p w14:paraId="5C2849C2">
            <w:pPr>
              <w:widowControl/>
              <w:spacing w:line="360" w:lineRule="auto"/>
              <w:jc w:val="center"/>
              <w:rPr>
                <w:rFonts w:hint="default" w:ascii="Times New Roman" w:hAnsi="Times New Roman" w:eastAsia="方正仿宋_GBK" w:cs="Times New Roman"/>
                <w:b/>
                <w:bCs/>
                <w:color w:val="auto"/>
                <w:sz w:val="24"/>
                <w:szCs w:val="20"/>
                <w:lang w:val="en-US" w:eastAsia="zh-CN"/>
              </w:rPr>
            </w:pPr>
            <w:r>
              <w:rPr>
                <w:rFonts w:hint="default" w:ascii="Times New Roman" w:hAnsi="Times New Roman" w:eastAsia="方正仿宋_GBK" w:cs="Times New Roman"/>
                <w:b/>
                <w:bCs/>
                <w:color w:val="auto"/>
                <w:sz w:val="24"/>
                <w:szCs w:val="20"/>
                <w:lang w:val="en-US" w:eastAsia="zh-CN"/>
              </w:rPr>
              <w:t>2019年</w:t>
            </w:r>
          </w:p>
        </w:tc>
        <w:tc>
          <w:tcPr>
            <w:tcW w:w="644" w:type="pct"/>
            <w:tcBorders>
              <w:tl2br w:val="nil"/>
              <w:tr2bl w:val="nil"/>
            </w:tcBorders>
            <w:vAlign w:val="center"/>
          </w:tcPr>
          <w:p w14:paraId="7B0C89A3">
            <w:pPr>
              <w:widowControl/>
              <w:spacing w:line="360" w:lineRule="auto"/>
              <w:jc w:val="center"/>
              <w:rPr>
                <w:rFonts w:hint="default" w:ascii="Times New Roman" w:hAnsi="Times New Roman" w:eastAsia="方正仿宋_GBK" w:cs="Times New Roman"/>
                <w:b/>
                <w:bCs/>
                <w:color w:val="auto"/>
                <w:sz w:val="24"/>
                <w:szCs w:val="20"/>
                <w:lang w:val="en-US" w:eastAsia="zh-CN"/>
              </w:rPr>
            </w:pPr>
            <w:r>
              <w:rPr>
                <w:rFonts w:hint="default" w:ascii="Times New Roman" w:hAnsi="Times New Roman" w:eastAsia="方正仿宋_GBK" w:cs="Times New Roman"/>
                <w:b/>
                <w:bCs/>
                <w:color w:val="auto"/>
                <w:sz w:val="24"/>
                <w:szCs w:val="20"/>
                <w:lang w:val="en-US" w:eastAsia="zh-CN"/>
              </w:rPr>
              <w:t>2020年</w:t>
            </w:r>
          </w:p>
        </w:tc>
        <w:tc>
          <w:tcPr>
            <w:tcW w:w="717" w:type="pct"/>
            <w:tcBorders>
              <w:tl2br w:val="nil"/>
              <w:tr2bl w:val="nil"/>
            </w:tcBorders>
            <w:vAlign w:val="center"/>
          </w:tcPr>
          <w:p w14:paraId="07D9E185">
            <w:pPr>
              <w:widowControl/>
              <w:spacing w:line="360" w:lineRule="auto"/>
              <w:jc w:val="center"/>
              <w:rPr>
                <w:rFonts w:hint="default" w:ascii="Times New Roman" w:hAnsi="Times New Roman" w:eastAsia="方正仿宋_GBK" w:cs="Times New Roman"/>
                <w:b/>
                <w:bCs/>
                <w:color w:val="auto"/>
                <w:sz w:val="24"/>
                <w:szCs w:val="20"/>
                <w:lang w:val="en-US" w:eastAsia="zh-CN"/>
              </w:rPr>
            </w:pPr>
            <w:r>
              <w:rPr>
                <w:rFonts w:hint="default" w:ascii="Times New Roman" w:hAnsi="Times New Roman" w:eastAsia="方正仿宋_GBK" w:cs="Times New Roman"/>
                <w:b/>
                <w:bCs/>
                <w:color w:val="auto"/>
                <w:sz w:val="24"/>
                <w:szCs w:val="20"/>
                <w:lang w:val="en-US" w:eastAsia="zh-CN"/>
              </w:rPr>
              <w:t>2021年</w:t>
            </w:r>
          </w:p>
        </w:tc>
      </w:tr>
      <w:tr w14:paraId="02F5CF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4" w:hRule="exact"/>
        </w:trPr>
        <w:tc>
          <w:tcPr>
            <w:tcW w:w="175" w:type="pct"/>
            <w:tcBorders>
              <w:tl2br w:val="nil"/>
              <w:tr2bl w:val="nil"/>
            </w:tcBorders>
            <w:vAlign w:val="center"/>
          </w:tcPr>
          <w:p w14:paraId="62326C1F">
            <w:pPr>
              <w:adjustRightInd w:val="0"/>
              <w:snapToGrid w:val="0"/>
              <w:spacing w:line="400" w:lineRule="exact"/>
              <w:jc w:val="center"/>
              <w:rPr>
                <w:rFonts w:hint="default" w:ascii="Times New Roman" w:hAnsi="Times New Roman" w:eastAsia="方正仿宋_GBK" w:cs="Times New Roman"/>
                <w:color w:val="auto"/>
                <w:sz w:val="24"/>
                <w:szCs w:val="20"/>
                <w:lang w:val="en-US" w:eastAsia="zh-CN"/>
              </w:rPr>
            </w:pPr>
            <w:r>
              <w:rPr>
                <w:rFonts w:hint="default" w:ascii="Times New Roman" w:hAnsi="Times New Roman" w:eastAsia="方正仿宋_GBK" w:cs="Times New Roman"/>
                <w:color w:val="auto"/>
                <w:sz w:val="24"/>
                <w:szCs w:val="20"/>
                <w:lang w:val="en-US" w:eastAsia="zh-CN"/>
              </w:rPr>
              <w:t>1</w:t>
            </w:r>
          </w:p>
        </w:tc>
        <w:tc>
          <w:tcPr>
            <w:tcW w:w="509" w:type="pct"/>
            <w:tcBorders>
              <w:tl2br w:val="nil"/>
              <w:tr2bl w:val="nil"/>
            </w:tcBorders>
            <w:vAlign w:val="center"/>
          </w:tcPr>
          <w:p w14:paraId="79750CAC">
            <w:pPr>
              <w:adjustRightInd w:val="0"/>
              <w:snapToGrid w:val="0"/>
              <w:spacing w:line="400" w:lineRule="exact"/>
              <w:jc w:val="center"/>
              <w:rPr>
                <w:rFonts w:hint="default" w:ascii="Times New Roman" w:hAnsi="Times New Roman" w:eastAsia="方正仿宋_GBK" w:cs="Times New Roman"/>
                <w:color w:val="auto"/>
                <w:sz w:val="24"/>
                <w:szCs w:val="20"/>
                <w:lang w:val="en-US" w:eastAsia="zh-CN"/>
              </w:rPr>
            </w:pPr>
            <w:r>
              <w:rPr>
                <w:rFonts w:hint="default" w:ascii="Times New Roman" w:hAnsi="Times New Roman" w:eastAsia="方正仿宋_GBK" w:cs="Times New Roman"/>
                <w:color w:val="auto"/>
                <w:sz w:val="24"/>
                <w:szCs w:val="20"/>
                <w:lang w:val="en-US" w:eastAsia="zh-CN"/>
              </w:rPr>
              <w:t>漠沙镇</w:t>
            </w:r>
          </w:p>
        </w:tc>
        <w:tc>
          <w:tcPr>
            <w:tcW w:w="496" w:type="pct"/>
            <w:tcBorders>
              <w:tl2br w:val="nil"/>
              <w:tr2bl w:val="nil"/>
            </w:tcBorders>
            <w:vAlign w:val="center"/>
          </w:tcPr>
          <w:p w14:paraId="310B4A50">
            <w:pPr>
              <w:pStyle w:val="23"/>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方正仿宋_GBK" w:cs="Times New Roman"/>
                <w:color w:val="auto"/>
                <w:kern w:val="2"/>
                <w:sz w:val="24"/>
                <w:szCs w:val="20"/>
                <w:lang w:val="en-US" w:eastAsia="zh-CN" w:bidi="ar-SA"/>
              </w:rPr>
            </w:pPr>
            <w:r>
              <w:rPr>
                <w:rFonts w:hint="default" w:ascii="Times New Roman" w:hAnsi="Times New Roman" w:eastAsia="方正仿宋_GBK" w:cs="Times New Roman"/>
                <w:color w:val="auto"/>
                <w:kern w:val="2"/>
                <w:sz w:val="24"/>
                <w:szCs w:val="20"/>
                <w:lang w:val="en-US" w:eastAsia="zh-CN" w:bidi="ar-SA"/>
              </w:rPr>
              <w:t>洋发城水库</w:t>
            </w:r>
          </w:p>
        </w:tc>
        <w:tc>
          <w:tcPr>
            <w:tcW w:w="564" w:type="pct"/>
            <w:tcBorders>
              <w:tl2br w:val="nil"/>
              <w:tr2bl w:val="nil"/>
            </w:tcBorders>
            <w:vAlign w:val="center"/>
          </w:tcPr>
          <w:p w14:paraId="38C1735C">
            <w:pPr>
              <w:adjustRightInd w:val="0"/>
              <w:snapToGrid w:val="0"/>
              <w:spacing w:line="400" w:lineRule="exact"/>
              <w:jc w:val="center"/>
              <w:rPr>
                <w:rFonts w:hint="default" w:ascii="Times New Roman" w:hAnsi="Times New Roman" w:eastAsia="方正仿宋_GBK" w:cs="Times New Roman"/>
                <w:color w:val="auto"/>
                <w:sz w:val="24"/>
                <w:szCs w:val="20"/>
                <w:lang w:val="en-US" w:eastAsia="zh-CN"/>
              </w:rPr>
            </w:pPr>
            <w:r>
              <w:rPr>
                <w:rFonts w:hint="default" w:ascii="Times New Roman" w:hAnsi="Times New Roman" w:eastAsia="方正仿宋_GBK" w:cs="Times New Roman"/>
                <w:color w:val="auto"/>
                <w:sz w:val="24"/>
                <w:szCs w:val="20"/>
                <w:lang w:val="en-US" w:eastAsia="zh-CN"/>
              </w:rPr>
              <w:t>Ⅱ类</w:t>
            </w:r>
          </w:p>
        </w:tc>
        <w:tc>
          <w:tcPr>
            <w:tcW w:w="661" w:type="pct"/>
            <w:tcBorders>
              <w:tl2br w:val="nil"/>
              <w:tr2bl w:val="nil"/>
            </w:tcBorders>
            <w:vAlign w:val="center"/>
          </w:tcPr>
          <w:p w14:paraId="17A28608">
            <w:pPr>
              <w:adjustRightInd w:val="0"/>
              <w:snapToGrid w:val="0"/>
              <w:spacing w:line="400" w:lineRule="exact"/>
              <w:jc w:val="center"/>
              <w:rPr>
                <w:rFonts w:hint="default" w:ascii="Times New Roman" w:hAnsi="Times New Roman" w:eastAsia="方正仿宋_GBK" w:cs="Times New Roman"/>
                <w:color w:val="auto"/>
                <w:sz w:val="24"/>
                <w:szCs w:val="20"/>
                <w:lang w:val="en-US" w:eastAsia="zh-CN"/>
              </w:rPr>
            </w:pPr>
            <w:r>
              <w:rPr>
                <w:rFonts w:hint="default" w:ascii="Times New Roman" w:hAnsi="Times New Roman" w:eastAsia="方正仿宋_GBK" w:cs="Times New Roman"/>
                <w:color w:val="auto"/>
                <w:sz w:val="24"/>
                <w:szCs w:val="20"/>
                <w:lang w:val="en-US" w:eastAsia="zh-CN"/>
              </w:rPr>
              <w:t>Ⅱ类</w:t>
            </w:r>
          </w:p>
        </w:tc>
        <w:tc>
          <w:tcPr>
            <w:tcW w:w="653" w:type="pct"/>
            <w:tcBorders>
              <w:tl2br w:val="nil"/>
              <w:tr2bl w:val="nil"/>
            </w:tcBorders>
            <w:vAlign w:val="center"/>
          </w:tcPr>
          <w:p w14:paraId="32F8140A">
            <w:pPr>
              <w:adjustRightInd w:val="0"/>
              <w:snapToGrid w:val="0"/>
              <w:spacing w:line="400" w:lineRule="exact"/>
              <w:jc w:val="center"/>
              <w:rPr>
                <w:rFonts w:hint="default" w:ascii="Times New Roman" w:hAnsi="Times New Roman" w:eastAsia="方正仿宋_GBK" w:cs="Times New Roman"/>
                <w:color w:val="auto"/>
                <w:sz w:val="24"/>
                <w:szCs w:val="20"/>
                <w:lang w:val="en-US" w:eastAsia="zh-CN"/>
              </w:rPr>
            </w:pPr>
            <w:r>
              <w:rPr>
                <w:rFonts w:hint="default" w:ascii="Times New Roman" w:hAnsi="Times New Roman" w:eastAsia="方正仿宋_GBK" w:cs="Times New Roman"/>
                <w:color w:val="auto"/>
                <w:sz w:val="24"/>
                <w:szCs w:val="20"/>
                <w:lang w:val="en-US" w:eastAsia="zh-CN"/>
              </w:rPr>
              <w:t>Ⅱ类</w:t>
            </w:r>
          </w:p>
        </w:tc>
        <w:tc>
          <w:tcPr>
            <w:tcW w:w="578" w:type="pct"/>
            <w:tcBorders>
              <w:tl2br w:val="nil"/>
              <w:tr2bl w:val="nil"/>
            </w:tcBorders>
            <w:vAlign w:val="center"/>
          </w:tcPr>
          <w:p w14:paraId="528652BB">
            <w:pPr>
              <w:adjustRightInd w:val="0"/>
              <w:snapToGrid w:val="0"/>
              <w:spacing w:line="400" w:lineRule="exact"/>
              <w:jc w:val="center"/>
              <w:rPr>
                <w:rFonts w:hint="default" w:ascii="Times New Roman" w:hAnsi="Times New Roman" w:eastAsia="方正仿宋_GBK" w:cs="Times New Roman"/>
                <w:color w:val="auto"/>
                <w:sz w:val="24"/>
                <w:szCs w:val="20"/>
                <w:lang w:val="en-US" w:eastAsia="zh-CN"/>
              </w:rPr>
            </w:pPr>
            <w:r>
              <w:rPr>
                <w:rFonts w:hint="default" w:ascii="Times New Roman" w:hAnsi="Times New Roman" w:eastAsia="方正仿宋_GBK" w:cs="Times New Roman"/>
                <w:color w:val="auto"/>
                <w:sz w:val="24"/>
                <w:szCs w:val="20"/>
                <w:lang w:val="en-US" w:eastAsia="zh-CN"/>
              </w:rPr>
              <w:t>Ⅱ类</w:t>
            </w:r>
          </w:p>
        </w:tc>
        <w:tc>
          <w:tcPr>
            <w:tcW w:w="644" w:type="pct"/>
            <w:tcBorders>
              <w:tl2br w:val="nil"/>
              <w:tr2bl w:val="nil"/>
            </w:tcBorders>
            <w:vAlign w:val="center"/>
          </w:tcPr>
          <w:p w14:paraId="671372B6">
            <w:pPr>
              <w:adjustRightInd w:val="0"/>
              <w:snapToGrid w:val="0"/>
              <w:spacing w:line="400" w:lineRule="exact"/>
              <w:jc w:val="center"/>
              <w:rPr>
                <w:rFonts w:hint="default" w:ascii="Times New Roman" w:hAnsi="Times New Roman" w:eastAsia="方正仿宋_GBK" w:cs="Times New Roman"/>
                <w:color w:val="auto"/>
                <w:sz w:val="24"/>
                <w:szCs w:val="20"/>
                <w:lang w:val="en-US" w:eastAsia="zh-CN"/>
              </w:rPr>
            </w:pPr>
            <w:r>
              <w:rPr>
                <w:rFonts w:hint="default" w:ascii="Times New Roman" w:hAnsi="Times New Roman" w:eastAsia="方正仿宋_GBK" w:cs="Times New Roman"/>
                <w:color w:val="auto"/>
                <w:sz w:val="24"/>
                <w:szCs w:val="20"/>
                <w:lang w:val="en-US" w:eastAsia="zh-CN"/>
              </w:rPr>
              <w:t>Ⅱ类</w:t>
            </w:r>
          </w:p>
        </w:tc>
        <w:tc>
          <w:tcPr>
            <w:tcW w:w="717" w:type="pct"/>
            <w:tcBorders>
              <w:tl2br w:val="nil"/>
              <w:tr2bl w:val="nil"/>
            </w:tcBorders>
            <w:vAlign w:val="center"/>
          </w:tcPr>
          <w:p w14:paraId="34F7685B">
            <w:pPr>
              <w:adjustRightInd w:val="0"/>
              <w:snapToGrid w:val="0"/>
              <w:spacing w:line="400" w:lineRule="exact"/>
              <w:jc w:val="center"/>
              <w:rPr>
                <w:rFonts w:hint="default" w:ascii="Times New Roman" w:hAnsi="Times New Roman" w:eastAsia="方正仿宋_GBK" w:cs="Times New Roman"/>
                <w:color w:val="auto"/>
                <w:sz w:val="24"/>
                <w:szCs w:val="20"/>
                <w:lang w:val="en-US" w:eastAsia="zh-CN"/>
              </w:rPr>
            </w:pPr>
            <w:r>
              <w:rPr>
                <w:rFonts w:hint="default" w:ascii="Times New Roman" w:hAnsi="Times New Roman" w:eastAsia="方正仿宋_GBK" w:cs="Times New Roman"/>
                <w:color w:val="auto"/>
                <w:sz w:val="24"/>
                <w:szCs w:val="20"/>
                <w:lang w:val="en-US" w:eastAsia="zh-CN"/>
              </w:rPr>
              <w:t>Ⅱ类</w:t>
            </w:r>
          </w:p>
        </w:tc>
      </w:tr>
      <w:tr w14:paraId="3D632B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exact"/>
        </w:trPr>
        <w:tc>
          <w:tcPr>
            <w:tcW w:w="175" w:type="pct"/>
            <w:tcBorders>
              <w:tl2br w:val="nil"/>
              <w:tr2bl w:val="nil"/>
            </w:tcBorders>
            <w:vAlign w:val="center"/>
          </w:tcPr>
          <w:p w14:paraId="36893F82">
            <w:pPr>
              <w:adjustRightInd w:val="0"/>
              <w:snapToGrid w:val="0"/>
              <w:spacing w:line="400" w:lineRule="exact"/>
              <w:jc w:val="center"/>
              <w:rPr>
                <w:rFonts w:hint="default" w:ascii="Times New Roman" w:hAnsi="Times New Roman" w:eastAsia="方正仿宋_GBK" w:cs="Times New Roman"/>
                <w:color w:val="auto"/>
                <w:sz w:val="24"/>
                <w:szCs w:val="20"/>
                <w:lang w:val="en-US" w:eastAsia="zh-CN"/>
              </w:rPr>
            </w:pPr>
            <w:r>
              <w:rPr>
                <w:rFonts w:hint="default" w:ascii="Times New Roman" w:hAnsi="Times New Roman" w:eastAsia="方正仿宋_GBK" w:cs="Times New Roman"/>
                <w:color w:val="auto"/>
                <w:sz w:val="24"/>
                <w:szCs w:val="20"/>
                <w:lang w:val="en-US" w:eastAsia="zh-CN"/>
              </w:rPr>
              <w:t>2</w:t>
            </w:r>
          </w:p>
        </w:tc>
        <w:tc>
          <w:tcPr>
            <w:tcW w:w="509" w:type="pct"/>
            <w:tcBorders>
              <w:tl2br w:val="nil"/>
              <w:tr2bl w:val="nil"/>
            </w:tcBorders>
            <w:vAlign w:val="center"/>
          </w:tcPr>
          <w:p w14:paraId="5DABFBA0">
            <w:pPr>
              <w:adjustRightInd w:val="0"/>
              <w:snapToGrid w:val="0"/>
              <w:spacing w:line="400" w:lineRule="exact"/>
              <w:jc w:val="center"/>
              <w:rPr>
                <w:rFonts w:hint="default" w:ascii="Times New Roman" w:hAnsi="Times New Roman" w:eastAsia="方正仿宋_GBK" w:cs="Times New Roman"/>
                <w:color w:val="auto"/>
                <w:sz w:val="24"/>
                <w:szCs w:val="20"/>
                <w:lang w:val="en-US" w:eastAsia="zh-CN"/>
              </w:rPr>
            </w:pPr>
            <w:r>
              <w:rPr>
                <w:rFonts w:hint="default" w:ascii="Times New Roman" w:hAnsi="Times New Roman" w:eastAsia="方正仿宋_GBK" w:cs="Times New Roman"/>
                <w:color w:val="auto"/>
                <w:sz w:val="24"/>
                <w:szCs w:val="20"/>
                <w:lang w:val="en-US" w:eastAsia="zh-CN"/>
              </w:rPr>
              <w:t>漠沙镇</w:t>
            </w:r>
          </w:p>
        </w:tc>
        <w:tc>
          <w:tcPr>
            <w:tcW w:w="496" w:type="pct"/>
            <w:tcBorders>
              <w:tl2br w:val="nil"/>
              <w:tr2bl w:val="nil"/>
            </w:tcBorders>
            <w:vAlign w:val="center"/>
          </w:tcPr>
          <w:p w14:paraId="1C246DCB">
            <w:pPr>
              <w:pStyle w:val="23"/>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方正仿宋_GBK" w:cs="Times New Roman"/>
                <w:color w:val="auto"/>
                <w:kern w:val="2"/>
                <w:sz w:val="24"/>
                <w:szCs w:val="20"/>
                <w:lang w:val="en-US" w:eastAsia="zh-CN" w:bidi="ar-SA"/>
              </w:rPr>
            </w:pPr>
            <w:r>
              <w:rPr>
                <w:rFonts w:hint="default" w:ascii="Times New Roman" w:hAnsi="Times New Roman" w:eastAsia="方正仿宋_GBK" w:cs="Times New Roman"/>
                <w:color w:val="auto"/>
                <w:kern w:val="2"/>
                <w:sz w:val="24"/>
                <w:szCs w:val="20"/>
                <w:lang w:val="en-US" w:eastAsia="zh-CN" w:bidi="ar-SA"/>
              </w:rPr>
              <w:t>光山河水库</w:t>
            </w:r>
          </w:p>
        </w:tc>
        <w:tc>
          <w:tcPr>
            <w:tcW w:w="564" w:type="pct"/>
            <w:tcBorders>
              <w:tl2br w:val="nil"/>
              <w:tr2bl w:val="nil"/>
            </w:tcBorders>
            <w:vAlign w:val="center"/>
          </w:tcPr>
          <w:p w14:paraId="781CE7DF">
            <w:pPr>
              <w:adjustRightInd w:val="0"/>
              <w:snapToGrid w:val="0"/>
              <w:spacing w:line="400" w:lineRule="exact"/>
              <w:jc w:val="center"/>
              <w:rPr>
                <w:rFonts w:hint="default" w:ascii="Times New Roman" w:hAnsi="Times New Roman" w:eastAsia="方正仿宋_GBK" w:cs="Times New Roman"/>
                <w:color w:val="auto"/>
                <w:sz w:val="24"/>
                <w:szCs w:val="20"/>
                <w:lang w:val="en-US" w:eastAsia="zh-CN"/>
              </w:rPr>
            </w:pPr>
            <w:r>
              <w:rPr>
                <w:rFonts w:hint="default" w:ascii="Times New Roman" w:hAnsi="Times New Roman" w:eastAsia="方正仿宋_GBK" w:cs="Times New Roman"/>
                <w:color w:val="auto"/>
                <w:sz w:val="24"/>
                <w:szCs w:val="20"/>
                <w:lang w:val="en-US" w:eastAsia="zh-CN"/>
              </w:rPr>
              <w:t>Ⅱ类</w:t>
            </w:r>
          </w:p>
        </w:tc>
        <w:tc>
          <w:tcPr>
            <w:tcW w:w="661" w:type="pct"/>
            <w:tcBorders>
              <w:tl2br w:val="nil"/>
              <w:tr2bl w:val="nil"/>
            </w:tcBorders>
            <w:vAlign w:val="center"/>
          </w:tcPr>
          <w:p w14:paraId="19A1E898">
            <w:pPr>
              <w:adjustRightInd w:val="0"/>
              <w:snapToGrid w:val="0"/>
              <w:spacing w:line="400" w:lineRule="exact"/>
              <w:jc w:val="center"/>
              <w:rPr>
                <w:rFonts w:hint="default" w:ascii="Times New Roman" w:hAnsi="Times New Roman" w:eastAsia="方正仿宋_GBK" w:cs="Times New Roman"/>
                <w:color w:val="auto"/>
                <w:sz w:val="24"/>
                <w:szCs w:val="20"/>
                <w:lang w:val="en-US" w:eastAsia="zh-CN"/>
              </w:rPr>
            </w:pPr>
            <w:r>
              <w:rPr>
                <w:rFonts w:hint="default" w:ascii="Times New Roman" w:hAnsi="Times New Roman" w:eastAsia="方正仿宋_GBK" w:cs="Times New Roman"/>
                <w:color w:val="auto"/>
                <w:sz w:val="24"/>
                <w:szCs w:val="20"/>
                <w:lang w:val="en-US" w:eastAsia="zh-CN"/>
              </w:rPr>
              <w:t>Ⅱ类</w:t>
            </w:r>
          </w:p>
        </w:tc>
        <w:tc>
          <w:tcPr>
            <w:tcW w:w="653" w:type="pct"/>
            <w:tcBorders>
              <w:tl2br w:val="nil"/>
              <w:tr2bl w:val="nil"/>
            </w:tcBorders>
            <w:vAlign w:val="center"/>
          </w:tcPr>
          <w:p w14:paraId="2B86DA1F">
            <w:pPr>
              <w:adjustRightInd w:val="0"/>
              <w:snapToGrid w:val="0"/>
              <w:spacing w:line="400" w:lineRule="exact"/>
              <w:jc w:val="center"/>
              <w:rPr>
                <w:rFonts w:hint="default" w:ascii="Times New Roman" w:hAnsi="Times New Roman" w:eastAsia="方正仿宋_GBK" w:cs="Times New Roman"/>
                <w:color w:val="auto"/>
                <w:sz w:val="24"/>
                <w:szCs w:val="20"/>
                <w:lang w:val="en-US" w:eastAsia="zh-CN"/>
              </w:rPr>
            </w:pPr>
            <w:r>
              <w:rPr>
                <w:rFonts w:hint="default" w:ascii="Times New Roman" w:hAnsi="Times New Roman" w:eastAsia="方正仿宋_GBK" w:cs="Times New Roman"/>
                <w:color w:val="auto"/>
                <w:sz w:val="24"/>
                <w:szCs w:val="20"/>
                <w:lang w:val="en-US" w:eastAsia="zh-CN"/>
              </w:rPr>
              <w:t>Ⅰ类</w:t>
            </w:r>
          </w:p>
        </w:tc>
        <w:tc>
          <w:tcPr>
            <w:tcW w:w="578" w:type="pct"/>
            <w:tcBorders>
              <w:tl2br w:val="nil"/>
              <w:tr2bl w:val="nil"/>
            </w:tcBorders>
            <w:vAlign w:val="center"/>
          </w:tcPr>
          <w:p w14:paraId="510D6BA5">
            <w:pPr>
              <w:adjustRightInd w:val="0"/>
              <w:snapToGrid w:val="0"/>
              <w:spacing w:line="400" w:lineRule="exact"/>
              <w:jc w:val="center"/>
              <w:rPr>
                <w:rFonts w:hint="default" w:ascii="Times New Roman" w:hAnsi="Times New Roman" w:eastAsia="方正仿宋_GBK" w:cs="Times New Roman"/>
                <w:color w:val="auto"/>
                <w:sz w:val="24"/>
                <w:szCs w:val="20"/>
                <w:lang w:val="en-US" w:eastAsia="zh-CN"/>
              </w:rPr>
            </w:pPr>
            <w:r>
              <w:rPr>
                <w:rFonts w:hint="default" w:ascii="Times New Roman" w:hAnsi="Times New Roman" w:eastAsia="方正仿宋_GBK" w:cs="Times New Roman"/>
                <w:color w:val="auto"/>
                <w:sz w:val="24"/>
                <w:szCs w:val="20"/>
                <w:lang w:val="en-US" w:eastAsia="zh-CN"/>
              </w:rPr>
              <w:t>Ⅱ类</w:t>
            </w:r>
          </w:p>
        </w:tc>
        <w:tc>
          <w:tcPr>
            <w:tcW w:w="644" w:type="pct"/>
            <w:tcBorders>
              <w:tl2br w:val="nil"/>
              <w:tr2bl w:val="nil"/>
            </w:tcBorders>
            <w:vAlign w:val="center"/>
          </w:tcPr>
          <w:p w14:paraId="7004B6F2">
            <w:pPr>
              <w:adjustRightInd w:val="0"/>
              <w:snapToGrid w:val="0"/>
              <w:spacing w:line="400" w:lineRule="exact"/>
              <w:jc w:val="center"/>
              <w:rPr>
                <w:rFonts w:hint="default" w:ascii="Times New Roman" w:hAnsi="Times New Roman" w:eastAsia="方正仿宋_GBK" w:cs="Times New Roman"/>
                <w:color w:val="auto"/>
                <w:sz w:val="24"/>
                <w:szCs w:val="20"/>
                <w:lang w:val="en-US" w:eastAsia="zh-CN"/>
              </w:rPr>
            </w:pPr>
            <w:r>
              <w:rPr>
                <w:rFonts w:hint="default" w:ascii="Times New Roman" w:hAnsi="Times New Roman" w:eastAsia="方正仿宋_GBK" w:cs="Times New Roman"/>
                <w:color w:val="auto"/>
                <w:sz w:val="24"/>
                <w:szCs w:val="20"/>
                <w:lang w:val="en-US" w:eastAsia="zh-CN"/>
              </w:rPr>
              <w:t>Ⅱ类</w:t>
            </w:r>
          </w:p>
        </w:tc>
        <w:tc>
          <w:tcPr>
            <w:tcW w:w="717" w:type="pct"/>
            <w:tcBorders>
              <w:tl2br w:val="nil"/>
              <w:tr2bl w:val="nil"/>
            </w:tcBorders>
            <w:vAlign w:val="center"/>
          </w:tcPr>
          <w:p w14:paraId="2E1514A3">
            <w:pPr>
              <w:adjustRightInd w:val="0"/>
              <w:snapToGrid w:val="0"/>
              <w:spacing w:line="400" w:lineRule="exact"/>
              <w:jc w:val="center"/>
              <w:rPr>
                <w:rFonts w:hint="default" w:ascii="Times New Roman" w:hAnsi="Times New Roman" w:eastAsia="方正仿宋_GBK" w:cs="Times New Roman"/>
                <w:color w:val="auto"/>
                <w:sz w:val="24"/>
                <w:szCs w:val="20"/>
                <w:lang w:val="en-US" w:eastAsia="zh-CN"/>
              </w:rPr>
            </w:pPr>
            <w:r>
              <w:rPr>
                <w:rFonts w:hint="default" w:ascii="Times New Roman" w:hAnsi="Times New Roman" w:eastAsia="方正仿宋_GBK" w:cs="Times New Roman"/>
                <w:color w:val="auto"/>
                <w:sz w:val="24"/>
                <w:szCs w:val="20"/>
                <w:lang w:val="en-US" w:eastAsia="zh-CN"/>
              </w:rPr>
              <w:t>Ⅱ类</w:t>
            </w:r>
          </w:p>
        </w:tc>
      </w:tr>
      <w:tr w14:paraId="447FB8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4" w:hRule="exact"/>
        </w:trPr>
        <w:tc>
          <w:tcPr>
            <w:tcW w:w="175" w:type="pct"/>
            <w:tcBorders>
              <w:tl2br w:val="nil"/>
              <w:tr2bl w:val="nil"/>
            </w:tcBorders>
          </w:tcPr>
          <w:p w14:paraId="6C594043">
            <w:pPr>
              <w:adjustRightInd w:val="0"/>
              <w:snapToGrid w:val="0"/>
              <w:spacing w:line="400" w:lineRule="exact"/>
              <w:jc w:val="center"/>
              <w:rPr>
                <w:rFonts w:hint="default" w:ascii="Times New Roman" w:hAnsi="Times New Roman" w:eastAsia="方正仿宋_GBK" w:cs="Times New Roman"/>
                <w:color w:val="auto"/>
                <w:sz w:val="24"/>
                <w:szCs w:val="20"/>
                <w:lang w:val="en-US" w:eastAsia="zh-CN"/>
              </w:rPr>
            </w:pPr>
            <w:r>
              <w:rPr>
                <w:rFonts w:hint="default" w:ascii="Times New Roman" w:hAnsi="Times New Roman" w:eastAsia="方正仿宋_GBK" w:cs="Times New Roman"/>
                <w:color w:val="auto"/>
                <w:sz w:val="24"/>
                <w:szCs w:val="20"/>
                <w:lang w:val="en-US" w:eastAsia="zh-CN"/>
              </w:rPr>
              <w:t>3</w:t>
            </w:r>
          </w:p>
        </w:tc>
        <w:tc>
          <w:tcPr>
            <w:tcW w:w="509" w:type="pct"/>
            <w:tcBorders>
              <w:tl2br w:val="nil"/>
              <w:tr2bl w:val="nil"/>
            </w:tcBorders>
            <w:vAlign w:val="center"/>
          </w:tcPr>
          <w:p w14:paraId="445381FF">
            <w:pPr>
              <w:adjustRightInd w:val="0"/>
              <w:snapToGrid w:val="0"/>
              <w:spacing w:line="400" w:lineRule="exact"/>
              <w:jc w:val="center"/>
              <w:rPr>
                <w:rFonts w:hint="default" w:ascii="Times New Roman" w:hAnsi="Times New Roman" w:eastAsia="方正仿宋_GBK" w:cs="Times New Roman"/>
                <w:color w:val="auto"/>
                <w:sz w:val="24"/>
                <w:szCs w:val="20"/>
                <w:lang w:val="en-US" w:eastAsia="zh-CN"/>
              </w:rPr>
            </w:pPr>
            <w:r>
              <w:rPr>
                <w:rFonts w:hint="default" w:ascii="Times New Roman" w:hAnsi="Times New Roman" w:eastAsia="方正仿宋_GBK" w:cs="Times New Roman"/>
                <w:color w:val="auto"/>
                <w:sz w:val="24"/>
                <w:szCs w:val="20"/>
                <w:lang w:val="en-US" w:eastAsia="zh-CN"/>
              </w:rPr>
              <w:t>戛洒镇</w:t>
            </w:r>
          </w:p>
        </w:tc>
        <w:tc>
          <w:tcPr>
            <w:tcW w:w="496" w:type="pct"/>
            <w:tcBorders>
              <w:tl2br w:val="nil"/>
              <w:tr2bl w:val="nil"/>
            </w:tcBorders>
            <w:vAlign w:val="center"/>
          </w:tcPr>
          <w:p w14:paraId="64E848EC">
            <w:pPr>
              <w:pStyle w:val="23"/>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方正仿宋_GBK" w:cs="Times New Roman"/>
                <w:color w:val="auto"/>
                <w:kern w:val="2"/>
                <w:sz w:val="24"/>
                <w:szCs w:val="20"/>
                <w:lang w:val="en-US" w:eastAsia="zh-CN" w:bidi="ar-SA"/>
              </w:rPr>
            </w:pPr>
            <w:r>
              <w:rPr>
                <w:rFonts w:hint="default" w:ascii="Times New Roman" w:hAnsi="Times New Roman" w:eastAsia="方正仿宋_GBK" w:cs="Times New Roman"/>
                <w:color w:val="auto"/>
                <w:kern w:val="2"/>
                <w:sz w:val="24"/>
                <w:szCs w:val="20"/>
                <w:lang w:val="en-US" w:eastAsia="zh-CN" w:bidi="ar-SA"/>
              </w:rPr>
              <w:t>南恩河</w:t>
            </w:r>
          </w:p>
        </w:tc>
        <w:tc>
          <w:tcPr>
            <w:tcW w:w="564" w:type="pct"/>
            <w:tcBorders>
              <w:tl2br w:val="nil"/>
              <w:tr2bl w:val="nil"/>
            </w:tcBorders>
            <w:vAlign w:val="center"/>
          </w:tcPr>
          <w:p w14:paraId="330928D6">
            <w:pPr>
              <w:adjustRightInd w:val="0"/>
              <w:snapToGrid w:val="0"/>
              <w:spacing w:line="400" w:lineRule="exact"/>
              <w:jc w:val="center"/>
              <w:rPr>
                <w:rFonts w:hint="default" w:ascii="Times New Roman" w:hAnsi="Times New Roman" w:eastAsia="方正仿宋_GBK" w:cs="Times New Roman"/>
                <w:color w:val="auto"/>
                <w:sz w:val="24"/>
                <w:szCs w:val="20"/>
                <w:lang w:val="en-US" w:eastAsia="zh-CN"/>
              </w:rPr>
            </w:pPr>
            <w:r>
              <w:rPr>
                <w:rFonts w:hint="default" w:ascii="Times New Roman" w:hAnsi="Times New Roman" w:eastAsia="方正仿宋_GBK" w:cs="Times New Roman"/>
                <w:color w:val="auto"/>
                <w:sz w:val="24"/>
                <w:szCs w:val="20"/>
                <w:lang w:val="en-US" w:eastAsia="zh-CN"/>
              </w:rPr>
              <w:t>Ⅱ类</w:t>
            </w:r>
          </w:p>
        </w:tc>
        <w:tc>
          <w:tcPr>
            <w:tcW w:w="661" w:type="pct"/>
            <w:tcBorders>
              <w:tl2br w:val="nil"/>
              <w:tr2bl w:val="nil"/>
            </w:tcBorders>
            <w:vAlign w:val="center"/>
          </w:tcPr>
          <w:p w14:paraId="76CA7DDD">
            <w:pPr>
              <w:adjustRightInd w:val="0"/>
              <w:snapToGrid w:val="0"/>
              <w:spacing w:line="400" w:lineRule="exact"/>
              <w:jc w:val="center"/>
              <w:rPr>
                <w:rFonts w:hint="default" w:ascii="Times New Roman" w:hAnsi="Times New Roman" w:eastAsia="方正仿宋_GBK" w:cs="Times New Roman"/>
                <w:color w:val="auto"/>
                <w:sz w:val="24"/>
                <w:szCs w:val="20"/>
                <w:lang w:val="en-US" w:eastAsia="zh-CN"/>
              </w:rPr>
            </w:pPr>
            <w:r>
              <w:rPr>
                <w:rFonts w:hint="default" w:ascii="Times New Roman" w:hAnsi="Times New Roman" w:eastAsia="方正仿宋_GBK" w:cs="Times New Roman"/>
                <w:color w:val="auto"/>
                <w:sz w:val="24"/>
                <w:szCs w:val="20"/>
                <w:lang w:val="en-US" w:eastAsia="zh-CN"/>
              </w:rPr>
              <w:t>Ⅴ类（粪大肠菌群）</w:t>
            </w:r>
          </w:p>
        </w:tc>
        <w:tc>
          <w:tcPr>
            <w:tcW w:w="653" w:type="pct"/>
            <w:tcBorders>
              <w:tl2br w:val="nil"/>
              <w:tr2bl w:val="nil"/>
            </w:tcBorders>
            <w:vAlign w:val="center"/>
          </w:tcPr>
          <w:p w14:paraId="7ABDB2C7">
            <w:pPr>
              <w:adjustRightInd w:val="0"/>
              <w:snapToGrid w:val="0"/>
              <w:spacing w:line="400" w:lineRule="exact"/>
              <w:jc w:val="center"/>
              <w:rPr>
                <w:rFonts w:hint="default" w:ascii="Times New Roman" w:hAnsi="Times New Roman" w:eastAsia="方正仿宋_GBK" w:cs="Times New Roman"/>
                <w:color w:val="auto"/>
                <w:sz w:val="24"/>
                <w:szCs w:val="20"/>
                <w:lang w:val="en-US" w:eastAsia="zh-CN"/>
              </w:rPr>
            </w:pPr>
            <w:r>
              <w:rPr>
                <w:rFonts w:hint="default" w:ascii="Times New Roman" w:hAnsi="Times New Roman" w:eastAsia="方正仿宋_GBK" w:cs="Times New Roman"/>
                <w:color w:val="auto"/>
                <w:sz w:val="24"/>
                <w:szCs w:val="20"/>
                <w:lang w:val="en-US" w:eastAsia="zh-CN"/>
              </w:rPr>
              <w:t>Ⅱ类</w:t>
            </w:r>
          </w:p>
        </w:tc>
        <w:tc>
          <w:tcPr>
            <w:tcW w:w="578" w:type="pct"/>
            <w:tcBorders>
              <w:tl2br w:val="nil"/>
              <w:tr2bl w:val="nil"/>
            </w:tcBorders>
            <w:vAlign w:val="center"/>
          </w:tcPr>
          <w:p w14:paraId="6A581DBE">
            <w:pPr>
              <w:adjustRightInd w:val="0"/>
              <w:snapToGrid w:val="0"/>
              <w:spacing w:line="400" w:lineRule="exact"/>
              <w:jc w:val="center"/>
              <w:rPr>
                <w:rFonts w:hint="default" w:ascii="Times New Roman" w:hAnsi="Times New Roman" w:eastAsia="方正仿宋_GBK" w:cs="Times New Roman"/>
                <w:color w:val="auto"/>
                <w:sz w:val="24"/>
                <w:szCs w:val="20"/>
                <w:lang w:val="en-US" w:eastAsia="zh-CN"/>
              </w:rPr>
            </w:pPr>
            <w:r>
              <w:rPr>
                <w:rFonts w:hint="default" w:ascii="Times New Roman" w:hAnsi="Times New Roman" w:eastAsia="方正仿宋_GBK" w:cs="Times New Roman"/>
                <w:color w:val="auto"/>
                <w:sz w:val="24"/>
                <w:szCs w:val="20"/>
                <w:lang w:val="en-US" w:eastAsia="zh-CN"/>
              </w:rPr>
              <w:t>Ⅱ类</w:t>
            </w:r>
          </w:p>
        </w:tc>
        <w:tc>
          <w:tcPr>
            <w:tcW w:w="644" w:type="pct"/>
            <w:tcBorders>
              <w:tl2br w:val="nil"/>
              <w:tr2bl w:val="nil"/>
            </w:tcBorders>
            <w:vAlign w:val="center"/>
          </w:tcPr>
          <w:p w14:paraId="413CEC18">
            <w:pPr>
              <w:adjustRightInd w:val="0"/>
              <w:snapToGrid w:val="0"/>
              <w:spacing w:line="400" w:lineRule="exact"/>
              <w:jc w:val="center"/>
              <w:rPr>
                <w:rFonts w:hint="default" w:ascii="Times New Roman" w:hAnsi="Times New Roman" w:eastAsia="方正仿宋_GBK" w:cs="Times New Roman"/>
                <w:color w:val="auto"/>
                <w:sz w:val="24"/>
                <w:szCs w:val="20"/>
                <w:lang w:val="en-US" w:eastAsia="zh-CN"/>
              </w:rPr>
            </w:pPr>
            <w:r>
              <w:rPr>
                <w:rFonts w:hint="default" w:ascii="Times New Roman" w:hAnsi="Times New Roman" w:eastAsia="方正仿宋_GBK" w:cs="Times New Roman"/>
                <w:color w:val="auto"/>
                <w:sz w:val="24"/>
                <w:szCs w:val="20"/>
                <w:lang w:val="en-US" w:eastAsia="zh-CN"/>
              </w:rPr>
              <w:t>Ⅱ类</w:t>
            </w:r>
          </w:p>
        </w:tc>
        <w:tc>
          <w:tcPr>
            <w:tcW w:w="717" w:type="pct"/>
            <w:tcBorders>
              <w:tl2br w:val="nil"/>
              <w:tr2bl w:val="nil"/>
            </w:tcBorders>
            <w:vAlign w:val="center"/>
          </w:tcPr>
          <w:p w14:paraId="7BEEBC13">
            <w:pPr>
              <w:adjustRightInd w:val="0"/>
              <w:snapToGrid w:val="0"/>
              <w:spacing w:line="400" w:lineRule="exact"/>
              <w:jc w:val="center"/>
              <w:rPr>
                <w:rFonts w:hint="default" w:ascii="Times New Roman" w:hAnsi="Times New Roman" w:eastAsia="方正仿宋_GBK" w:cs="Times New Roman"/>
                <w:color w:val="auto"/>
                <w:sz w:val="24"/>
                <w:szCs w:val="20"/>
                <w:lang w:val="en-US" w:eastAsia="zh-CN"/>
              </w:rPr>
            </w:pPr>
            <w:r>
              <w:rPr>
                <w:rFonts w:hint="default" w:ascii="Times New Roman" w:hAnsi="Times New Roman" w:eastAsia="方正仿宋_GBK" w:cs="Times New Roman"/>
                <w:color w:val="auto"/>
                <w:sz w:val="24"/>
                <w:szCs w:val="20"/>
                <w:lang w:val="en-US" w:eastAsia="zh-CN"/>
              </w:rPr>
              <w:t>Ⅱ类</w:t>
            </w:r>
          </w:p>
        </w:tc>
      </w:tr>
      <w:tr w14:paraId="341954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3" w:hRule="exact"/>
        </w:trPr>
        <w:tc>
          <w:tcPr>
            <w:tcW w:w="175" w:type="pct"/>
            <w:tcBorders>
              <w:tl2br w:val="nil"/>
              <w:tr2bl w:val="nil"/>
            </w:tcBorders>
          </w:tcPr>
          <w:p w14:paraId="5A63AB05">
            <w:pPr>
              <w:adjustRightInd w:val="0"/>
              <w:snapToGrid w:val="0"/>
              <w:spacing w:line="400" w:lineRule="exact"/>
              <w:jc w:val="center"/>
              <w:rPr>
                <w:rFonts w:hint="default" w:ascii="Times New Roman" w:hAnsi="Times New Roman" w:eastAsia="方正仿宋_GBK" w:cs="Times New Roman"/>
                <w:color w:val="auto"/>
                <w:sz w:val="24"/>
                <w:szCs w:val="20"/>
                <w:lang w:val="en-US" w:eastAsia="zh-CN"/>
              </w:rPr>
            </w:pPr>
            <w:r>
              <w:rPr>
                <w:rFonts w:hint="default" w:ascii="Times New Roman" w:hAnsi="Times New Roman" w:eastAsia="方正仿宋_GBK" w:cs="Times New Roman"/>
                <w:color w:val="auto"/>
                <w:sz w:val="24"/>
                <w:szCs w:val="20"/>
                <w:lang w:val="en-US" w:eastAsia="zh-CN"/>
              </w:rPr>
              <w:t>4</w:t>
            </w:r>
          </w:p>
        </w:tc>
        <w:tc>
          <w:tcPr>
            <w:tcW w:w="509" w:type="pct"/>
            <w:tcBorders>
              <w:tl2br w:val="nil"/>
              <w:tr2bl w:val="nil"/>
            </w:tcBorders>
            <w:vAlign w:val="center"/>
          </w:tcPr>
          <w:p w14:paraId="658C6B59">
            <w:pPr>
              <w:adjustRightInd w:val="0"/>
              <w:snapToGrid w:val="0"/>
              <w:spacing w:line="400" w:lineRule="exact"/>
              <w:jc w:val="center"/>
              <w:rPr>
                <w:rFonts w:hint="default" w:ascii="Times New Roman" w:hAnsi="Times New Roman" w:eastAsia="方正仿宋_GBK" w:cs="Times New Roman"/>
                <w:color w:val="auto"/>
                <w:sz w:val="24"/>
                <w:szCs w:val="20"/>
                <w:lang w:val="en-US" w:eastAsia="zh-CN"/>
              </w:rPr>
            </w:pPr>
            <w:r>
              <w:rPr>
                <w:rFonts w:hint="default" w:ascii="Times New Roman" w:hAnsi="Times New Roman" w:eastAsia="方正仿宋_GBK" w:cs="Times New Roman"/>
                <w:color w:val="auto"/>
                <w:sz w:val="24"/>
                <w:szCs w:val="20"/>
                <w:lang w:val="en-US" w:eastAsia="zh-CN"/>
              </w:rPr>
              <w:t>戛洒镇</w:t>
            </w:r>
          </w:p>
        </w:tc>
        <w:tc>
          <w:tcPr>
            <w:tcW w:w="496" w:type="pct"/>
            <w:tcBorders>
              <w:tl2br w:val="nil"/>
              <w:tr2bl w:val="nil"/>
            </w:tcBorders>
            <w:vAlign w:val="center"/>
          </w:tcPr>
          <w:p w14:paraId="63EF26D8">
            <w:pPr>
              <w:pStyle w:val="23"/>
              <w:keepNext w:val="0"/>
              <w:keepLines w:val="0"/>
              <w:pageBreakBefore w:val="0"/>
              <w:widowControl w:val="0"/>
              <w:suppressLineNumbers w:val="0"/>
              <w:kinsoku/>
              <w:wordWrap/>
              <w:overflowPunct w:val="0"/>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方正仿宋_GBK" w:cs="Times New Roman"/>
                <w:color w:val="auto"/>
                <w:kern w:val="2"/>
                <w:sz w:val="24"/>
                <w:szCs w:val="20"/>
                <w:lang w:val="en-US" w:eastAsia="zh-CN" w:bidi="ar-SA"/>
              </w:rPr>
            </w:pPr>
            <w:r>
              <w:rPr>
                <w:rFonts w:hint="default" w:ascii="Times New Roman" w:hAnsi="Times New Roman" w:eastAsia="方正仿宋_GBK" w:cs="Times New Roman"/>
                <w:color w:val="auto"/>
                <w:kern w:val="2"/>
                <w:sz w:val="24"/>
                <w:szCs w:val="20"/>
                <w:lang w:val="en-US" w:eastAsia="zh-CN" w:bidi="ar-SA"/>
              </w:rPr>
              <w:t>达哈河</w:t>
            </w:r>
          </w:p>
        </w:tc>
        <w:tc>
          <w:tcPr>
            <w:tcW w:w="564" w:type="pct"/>
            <w:tcBorders>
              <w:tl2br w:val="nil"/>
              <w:tr2bl w:val="nil"/>
            </w:tcBorders>
            <w:vAlign w:val="center"/>
          </w:tcPr>
          <w:p w14:paraId="6A6C628E">
            <w:pPr>
              <w:adjustRightInd w:val="0"/>
              <w:snapToGrid w:val="0"/>
              <w:spacing w:line="400" w:lineRule="exact"/>
              <w:jc w:val="center"/>
              <w:rPr>
                <w:rFonts w:hint="default" w:ascii="Times New Roman" w:hAnsi="Times New Roman" w:eastAsia="方正仿宋_GBK" w:cs="Times New Roman"/>
                <w:color w:val="auto"/>
                <w:sz w:val="24"/>
                <w:szCs w:val="20"/>
                <w:lang w:val="en-US" w:eastAsia="zh-CN"/>
              </w:rPr>
            </w:pPr>
            <w:r>
              <w:rPr>
                <w:rFonts w:hint="default" w:ascii="Times New Roman" w:hAnsi="Times New Roman" w:eastAsia="方正仿宋_GBK" w:cs="Times New Roman"/>
                <w:color w:val="auto"/>
                <w:sz w:val="24"/>
                <w:szCs w:val="20"/>
                <w:lang w:val="en-US" w:eastAsia="zh-CN"/>
              </w:rPr>
              <w:t>Ⅱ类</w:t>
            </w:r>
          </w:p>
        </w:tc>
        <w:tc>
          <w:tcPr>
            <w:tcW w:w="661" w:type="pct"/>
            <w:tcBorders>
              <w:tl2br w:val="nil"/>
              <w:tr2bl w:val="nil"/>
            </w:tcBorders>
            <w:vAlign w:val="center"/>
          </w:tcPr>
          <w:p w14:paraId="3DB1F93E">
            <w:pPr>
              <w:adjustRightInd w:val="0"/>
              <w:snapToGrid w:val="0"/>
              <w:spacing w:line="400" w:lineRule="exact"/>
              <w:jc w:val="center"/>
              <w:rPr>
                <w:rFonts w:hint="default" w:ascii="Times New Roman" w:hAnsi="Times New Roman" w:eastAsia="方正仿宋_GBK" w:cs="Times New Roman"/>
                <w:color w:val="auto"/>
                <w:sz w:val="24"/>
                <w:szCs w:val="20"/>
                <w:lang w:val="en-US" w:eastAsia="zh-CN"/>
              </w:rPr>
            </w:pPr>
            <w:r>
              <w:rPr>
                <w:rFonts w:hint="default" w:ascii="Times New Roman" w:hAnsi="Times New Roman" w:eastAsia="方正仿宋_GBK" w:cs="Times New Roman"/>
                <w:color w:val="auto"/>
                <w:sz w:val="24"/>
                <w:szCs w:val="20"/>
                <w:lang w:val="en-US" w:eastAsia="zh-CN"/>
              </w:rPr>
              <w:t>Ⅲ（粪大肠菌群）</w:t>
            </w:r>
          </w:p>
        </w:tc>
        <w:tc>
          <w:tcPr>
            <w:tcW w:w="653" w:type="pct"/>
            <w:tcBorders>
              <w:tl2br w:val="nil"/>
              <w:tr2bl w:val="nil"/>
            </w:tcBorders>
            <w:vAlign w:val="center"/>
          </w:tcPr>
          <w:p w14:paraId="2475E8DA">
            <w:pPr>
              <w:adjustRightInd w:val="0"/>
              <w:snapToGrid w:val="0"/>
              <w:spacing w:line="400" w:lineRule="exact"/>
              <w:jc w:val="center"/>
              <w:rPr>
                <w:rFonts w:hint="default" w:ascii="Times New Roman" w:hAnsi="Times New Roman" w:eastAsia="方正仿宋_GBK" w:cs="Times New Roman"/>
                <w:color w:val="auto"/>
                <w:sz w:val="24"/>
                <w:szCs w:val="20"/>
                <w:lang w:val="en-US" w:eastAsia="zh-CN"/>
              </w:rPr>
            </w:pPr>
            <w:r>
              <w:rPr>
                <w:rFonts w:hint="default" w:ascii="Times New Roman" w:hAnsi="Times New Roman" w:eastAsia="方正仿宋_GBK" w:cs="Times New Roman"/>
                <w:color w:val="auto"/>
                <w:sz w:val="24"/>
                <w:szCs w:val="20"/>
                <w:lang w:val="en-US" w:eastAsia="zh-CN"/>
              </w:rPr>
              <w:t>Ⅱ类</w:t>
            </w:r>
          </w:p>
        </w:tc>
        <w:tc>
          <w:tcPr>
            <w:tcW w:w="578" w:type="pct"/>
            <w:tcBorders>
              <w:tl2br w:val="nil"/>
              <w:tr2bl w:val="nil"/>
            </w:tcBorders>
            <w:vAlign w:val="center"/>
          </w:tcPr>
          <w:p w14:paraId="46A2A8EA">
            <w:pPr>
              <w:adjustRightInd w:val="0"/>
              <w:snapToGrid w:val="0"/>
              <w:spacing w:line="400" w:lineRule="exact"/>
              <w:jc w:val="center"/>
              <w:rPr>
                <w:rFonts w:hint="default" w:ascii="Times New Roman" w:hAnsi="Times New Roman" w:eastAsia="方正仿宋_GBK" w:cs="Times New Roman"/>
                <w:color w:val="auto"/>
                <w:sz w:val="24"/>
                <w:szCs w:val="20"/>
                <w:lang w:val="en-US" w:eastAsia="zh-CN"/>
              </w:rPr>
            </w:pPr>
            <w:r>
              <w:rPr>
                <w:rFonts w:hint="default" w:ascii="Times New Roman" w:hAnsi="Times New Roman" w:eastAsia="方正仿宋_GBK" w:cs="Times New Roman"/>
                <w:color w:val="auto"/>
                <w:sz w:val="24"/>
                <w:szCs w:val="20"/>
                <w:lang w:val="en-US" w:eastAsia="zh-CN"/>
              </w:rPr>
              <w:t>Ⅱ类</w:t>
            </w:r>
          </w:p>
        </w:tc>
        <w:tc>
          <w:tcPr>
            <w:tcW w:w="644" w:type="pct"/>
            <w:tcBorders>
              <w:tl2br w:val="nil"/>
              <w:tr2bl w:val="nil"/>
            </w:tcBorders>
            <w:vAlign w:val="center"/>
          </w:tcPr>
          <w:p w14:paraId="47D62E0D">
            <w:pPr>
              <w:adjustRightInd w:val="0"/>
              <w:snapToGrid w:val="0"/>
              <w:spacing w:line="400" w:lineRule="exact"/>
              <w:jc w:val="center"/>
              <w:rPr>
                <w:rFonts w:hint="default" w:ascii="Times New Roman" w:hAnsi="Times New Roman" w:eastAsia="方正仿宋_GBK" w:cs="Times New Roman"/>
                <w:color w:val="auto"/>
                <w:sz w:val="24"/>
                <w:szCs w:val="20"/>
                <w:lang w:val="en-US" w:eastAsia="zh-CN"/>
              </w:rPr>
            </w:pPr>
            <w:r>
              <w:rPr>
                <w:rFonts w:hint="default" w:ascii="Times New Roman" w:hAnsi="Times New Roman" w:eastAsia="方正仿宋_GBK" w:cs="Times New Roman"/>
                <w:color w:val="auto"/>
                <w:sz w:val="24"/>
                <w:szCs w:val="20"/>
                <w:lang w:val="en-US" w:eastAsia="zh-CN"/>
              </w:rPr>
              <w:t>Ⅱ类</w:t>
            </w:r>
          </w:p>
        </w:tc>
        <w:tc>
          <w:tcPr>
            <w:tcW w:w="717" w:type="pct"/>
            <w:tcBorders>
              <w:tl2br w:val="nil"/>
              <w:tr2bl w:val="nil"/>
            </w:tcBorders>
            <w:vAlign w:val="center"/>
          </w:tcPr>
          <w:p w14:paraId="0A17A60A">
            <w:pPr>
              <w:adjustRightInd w:val="0"/>
              <w:snapToGrid w:val="0"/>
              <w:spacing w:line="400" w:lineRule="exact"/>
              <w:jc w:val="center"/>
              <w:rPr>
                <w:rFonts w:hint="default" w:ascii="Times New Roman" w:hAnsi="Times New Roman" w:eastAsia="方正仿宋_GBK" w:cs="Times New Roman"/>
                <w:color w:val="auto"/>
                <w:sz w:val="24"/>
                <w:szCs w:val="20"/>
                <w:lang w:val="en-US" w:eastAsia="zh-CN"/>
              </w:rPr>
            </w:pPr>
            <w:r>
              <w:rPr>
                <w:rFonts w:hint="default" w:ascii="Times New Roman" w:hAnsi="Times New Roman" w:eastAsia="方正仿宋_GBK" w:cs="Times New Roman"/>
                <w:color w:val="auto"/>
                <w:sz w:val="24"/>
                <w:szCs w:val="20"/>
                <w:lang w:val="en-US" w:eastAsia="zh-CN"/>
              </w:rPr>
              <w:t>Ⅱ类</w:t>
            </w:r>
          </w:p>
        </w:tc>
      </w:tr>
    </w:tbl>
    <w:p w14:paraId="406D5DC2">
      <w:pPr>
        <w:pStyle w:val="6"/>
        <w:bidi w:val="0"/>
        <w:rPr>
          <w:rFonts w:ascii="Times New Roman" w:hAnsi="Times New Roman" w:eastAsia="仿宋" w:cs="Times New Roman"/>
          <w:b/>
          <w:bCs/>
          <w:snapToGrid w:val="0"/>
          <w:color w:val="auto"/>
          <w:kern w:val="2"/>
          <w:sz w:val="28"/>
          <w:szCs w:val="32"/>
          <w:lang w:val="en-US" w:eastAsia="zh-CN" w:bidi="ar-SA"/>
        </w:rPr>
      </w:pPr>
      <w:r>
        <w:rPr>
          <w:rFonts w:ascii="Times New Roman" w:hAnsi="Times New Roman" w:eastAsia="仿宋" w:cs="Times New Roman"/>
          <w:b/>
          <w:bCs/>
          <w:snapToGrid w:val="0"/>
          <w:color w:val="auto"/>
          <w:kern w:val="2"/>
          <w:sz w:val="28"/>
          <w:szCs w:val="32"/>
          <w:lang w:val="en-US" w:eastAsia="zh-CN" w:bidi="ar-SA"/>
        </w:rPr>
        <w:t>2.1.5.2环境空气质量</w:t>
      </w:r>
    </w:p>
    <w:p w14:paraId="0E45F08D">
      <w:pPr>
        <w:keepNext w:val="0"/>
        <w:keepLines w:val="0"/>
        <w:pageBreakBefore w:val="0"/>
        <w:widowControl/>
        <w:suppressLineNumbers w:val="0"/>
        <w:kinsoku/>
        <w:wordWrap/>
        <w:overflowPunct/>
        <w:topLinePunct w:val="0"/>
        <w:autoSpaceDE/>
        <w:autoSpaceDN/>
        <w:bidi w:val="0"/>
        <w:adjustRightInd/>
        <w:snapToGrid/>
        <w:spacing w:line="500" w:lineRule="exact"/>
        <w:ind w:firstLine="560" w:firstLineChars="200"/>
        <w:jc w:val="left"/>
        <w:textAlignment w:val="auto"/>
        <w:rPr>
          <w:rFonts w:hint="eastAsia" w:ascii="Times New Roman" w:hAnsi="Times New Roman" w:eastAsia="方正仿宋_GBK" w:cs="Times New Roman"/>
          <w:b w:val="0"/>
          <w:bCs w:val="0"/>
          <w:color w:val="auto"/>
          <w:sz w:val="28"/>
          <w:szCs w:val="28"/>
          <w:highlight w:val="none"/>
          <w:lang w:val="en-US" w:eastAsia="zh-CN"/>
        </w:rPr>
      </w:pPr>
      <w:r>
        <w:rPr>
          <w:rFonts w:hint="eastAsia" w:ascii="Times New Roman" w:hAnsi="Times New Roman" w:eastAsia="方正仿宋_GBK" w:cs="方正仿宋_GBK"/>
          <w:b w:val="0"/>
          <w:bCs w:val="0"/>
          <w:color w:val="auto"/>
          <w:sz w:val="28"/>
          <w:szCs w:val="28"/>
          <w:lang w:val="en-US" w:eastAsia="zh-CN"/>
        </w:rPr>
        <w:t>新平县环境空气自动监测站于2016年11月6日通过验收，正式运行，位于新平县新平一小。监测项目为PM</w:t>
      </w:r>
      <w:r>
        <w:rPr>
          <w:rFonts w:hint="eastAsia" w:ascii="Times New Roman" w:hAnsi="Times New Roman" w:eastAsia="方正仿宋_GBK" w:cs="方正仿宋_GBK"/>
          <w:b w:val="0"/>
          <w:bCs w:val="0"/>
          <w:color w:val="auto"/>
          <w:sz w:val="28"/>
          <w:szCs w:val="28"/>
          <w:vertAlign w:val="subscript"/>
          <w:lang w:val="en-US" w:eastAsia="zh-CN"/>
        </w:rPr>
        <w:t>10</w:t>
      </w:r>
      <w:r>
        <w:rPr>
          <w:rFonts w:hint="eastAsia" w:ascii="Times New Roman" w:hAnsi="Times New Roman" w:eastAsia="方正仿宋_GBK" w:cs="方正仿宋_GBK"/>
          <w:b w:val="0"/>
          <w:bCs w:val="0"/>
          <w:color w:val="auto"/>
          <w:sz w:val="28"/>
          <w:szCs w:val="28"/>
          <w:lang w:val="en-US" w:eastAsia="zh-CN"/>
        </w:rPr>
        <w:t>、PM</w:t>
      </w:r>
      <w:r>
        <w:rPr>
          <w:rFonts w:hint="eastAsia" w:ascii="Times New Roman" w:hAnsi="Times New Roman" w:eastAsia="方正仿宋_GBK" w:cs="方正仿宋_GBK"/>
          <w:b w:val="0"/>
          <w:bCs w:val="0"/>
          <w:color w:val="auto"/>
          <w:sz w:val="28"/>
          <w:szCs w:val="28"/>
          <w:vertAlign w:val="subscript"/>
          <w:lang w:val="en-US" w:eastAsia="zh-CN"/>
        </w:rPr>
        <w:t>2.5</w:t>
      </w:r>
      <w:r>
        <w:rPr>
          <w:rFonts w:hint="eastAsia" w:ascii="Times New Roman" w:hAnsi="Times New Roman" w:eastAsia="方正仿宋_GBK" w:cs="方正仿宋_GBK"/>
          <w:b w:val="0"/>
          <w:bCs w:val="0"/>
          <w:color w:val="auto"/>
          <w:sz w:val="28"/>
          <w:szCs w:val="28"/>
          <w:lang w:val="en-US" w:eastAsia="zh-CN"/>
        </w:rPr>
        <w:t>、臭氧、一氧化碳、二氧化硫、二氧化氮（含一氧化氮）、气温、气压、风速、湿度、风向等。2017—2021年，新平县环境空</w:t>
      </w:r>
      <w:r>
        <w:rPr>
          <w:rFonts w:hint="default" w:ascii="Times New Roman" w:hAnsi="Times New Roman" w:eastAsia="方正仿宋_GBK" w:cs="Times New Roman"/>
          <w:b w:val="0"/>
          <w:bCs w:val="0"/>
          <w:color w:val="auto"/>
          <w:sz w:val="28"/>
          <w:szCs w:val="28"/>
          <w:lang w:val="en-US" w:eastAsia="zh-CN"/>
        </w:rPr>
        <w:t>气优良率保持在98.6%～100%之间。根据2017</w:t>
      </w:r>
      <w:r>
        <w:rPr>
          <w:rFonts w:hint="eastAsia" w:ascii="Times New Roman" w:hAnsi="Times New Roman" w:eastAsia="方正仿宋_GBK" w:cs="Times New Roman"/>
          <w:b w:val="0"/>
          <w:bCs w:val="0"/>
          <w:color w:val="auto"/>
          <w:sz w:val="28"/>
          <w:szCs w:val="28"/>
          <w:lang w:val="en-US" w:eastAsia="zh-CN"/>
        </w:rPr>
        <w:t>—</w:t>
      </w:r>
      <w:r>
        <w:rPr>
          <w:rFonts w:hint="default" w:ascii="Times New Roman" w:hAnsi="Times New Roman" w:eastAsia="方正仿宋_GBK" w:cs="Times New Roman"/>
          <w:b w:val="0"/>
          <w:bCs w:val="0"/>
          <w:color w:val="auto"/>
          <w:sz w:val="28"/>
          <w:szCs w:val="28"/>
          <w:lang w:val="en-US" w:eastAsia="zh-CN"/>
        </w:rPr>
        <w:t>2021年《玉溪市环境质量状况公报》，2017</w:t>
      </w:r>
      <w:r>
        <w:rPr>
          <w:rFonts w:hint="eastAsia" w:ascii="Times New Roman" w:hAnsi="Times New Roman" w:eastAsia="方正仿宋_GBK" w:cs="Times New Roman"/>
          <w:b w:val="0"/>
          <w:bCs w:val="0"/>
          <w:color w:val="auto"/>
          <w:sz w:val="28"/>
          <w:szCs w:val="28"/>
          <w:lang w:val="en-US" w:eastAsia="zh-CN"/>
        </w:rPr>
        <w:t>—</w:t>
      </w:r>
      <w:r>
        <w:rPr>
          <w:rFonts w:hint="default" w:ascii="Times New Roman" w:hAnsi="Times New Roman" w:eastAsia="方正仿宋_GBK" w:cs="Times New Roman"/>
          <w:b w:val="0"/>
          <w:bCs w:val="0"/>
          <w:color w:val="auto"/>
          <w:sz w:val="28"/>
          <w:szCs w:val="28"/>
          <w:lang w:val="en-US" w:eastAsia="zh-CN"/>
        </w:rPr>
        <w:t>2021年新平县环境空气质量均满足《环境空气质量标准》（GB3095-2012）二级标准要求</w:t>
      </w:r>
      <w:r>
        <w:rPr>
          <w:rFonts w:hint="default" w:ascii="Times New Roman" w:hAnsi="Times New Roman" w:eastAsia="方正仿宋_GBK" w:cs="Times New Roman"/>
          <w:b w:val="0"/>
          <w:bCs w:val="0"/>
          <w:color w:val="auto"/>
          <w:sz w:val="28"/>
          <w:szCs w:val="28"/>
          <w:highlight w:val="none"/>
          <w:lang w:val="en-US" w:eastAsia="zh-CN"/>
        </w:rPr>
        <w:t>，但是环境空气优良率存在逐年下降的情况，首要污染物主要是O</w:t>
      </w:r>
      <w:r>
        <w:rPr>
          <w:rFonts w:hint="default" w:ascii="Times New Roman" w:hAnsi="Times New Roman" w:eastAsia="方正仿宋_GBK" w:cs="Times New Roman"/>
          <w:b w:val="0"/>
          <w:bCs w:val="0"/>
          <w:color w:val="auto"/>
          <w:sz w:val="28"/>
          <w:szCs w:val="28"/>
          <w:highlight w:val="none"/>
          <w:vertAlign w:val="subscript"/>
          <w:lang w:val="en-US" w:eastAsia="zh-CN"/>
        </w:rPr>
        <w:t>3</w:t>
      </w:r>
      <w:r>
        <w:rPr>
          <w:rFonts w:hint="default" w:ascii="Times New Roman" w:hAnsi="Times New Roman" w:eastAsia="方正仿宋_GBK" w:cs="Times New Roman"/>
          <w:b w:val="0"/>
          <w:bCs w:val="0"/>
          <w:color w:val="auto"/>
          <w:sz w:val="28"/>
          <w:szCs w:val="28"/>
          <w:highlight w:val="none"/>
          <w:lang w:val="en-US" w:eastAsia="zh-CN"/>
        </w:rPr>
        <w:t>、细颗粒物（PM</w:t>
      </w:r>
      <w:r>
        <w:rPr>
          <w:rFonts w:hint="default" w:ascii="Times New Roman" w:hAnsi="Times New Roman" w:eastAsia="方正仿宋_GBK" w:cs="Times New Roman"/>
          <w:b w:val="0"/>
          <w:bCs w:val="0"/>
          <w:color w:val="auto"/>
          <w:sz w:val="28"/>
          <w:szCs w:val="28"/>
          <w:highlight w:val="none"/>
          <w:vertAlign w:val="subscript"/>
          <w:lang w:val="en-US" w:eastAsia="zh-CN"/>
        </w:rPr>
        <w:t>2.5</w:t>
      </w:r>
      <w:r>
        <w:rPr>
          <w:rFonts w:hint="default" w:ascii="Times New Roman" w:hAnsi="Times New Roman" w:eastAsia="方正仿宋_GBK" w:cs="Times New Roman"/>
          <w:b w:val="0"/>
          <w:bCs w:val="0"/>
          <w:color w:val="auto"/>
          <w:sz w:val="28"/>
          <w:szCs w:val="28"/>
          <w:highlight w:val="none"/>
          <w:lang w:val="en-US" w:eastAsia="zh-CN"/>
        </w:rPr>
        <w:t>）、可吸入颗粒物（PM</w:t>
      </w:r>
      <w:r>
        <w:rPr>
          <w:rFonts w:hint="default" w:ascii="Times New Roman" w:hAnsi="Times New Roman" w:eastAsia="方正仿宋_GBK" w:cs="Times New Roman"/>
          <w:b w:val="0"/>
          <w:bCs w:val="0"/>
          <w:color w:val="auto"/>
          <w:sz w:val="28"/>
          <w:szCs w:val="28"/>
          <w:highlight w:val="none"/>
          <w:vertAlign w:val="subscript"/>
          <w:lang w:val="en-US" w:eastAsia="zh-CN"/>
        </w:rPr>
        <w:t>10</w:t>
      </w:r>
      <w:r>
        <w:rPr>
          <w:rFonts w:hint="default" w:ascii="Times New Roman" w:hAnsi="Times New Roman" w:eastAsia="方正仿宋_GBK" w:cs="Times New Roman"/>
          <w:b w:val="0"/>
          <w:bCs w:val="0"/>
          <w:color w:val="auto"/>
          <w:sz w:val="28"/>
          <w:szCs w:val="28"/>
          <w:highlight w:val="none"/>
          <w:lang w:val="en-US" w:eastAsia="zh-CN"/>
        </w:rPr>
        <w:t>）</w:t>
      </w:r>
      <w:r>
        <w:rPr>
          <w:rFonts w:hint="eastAsia" w:ascii="Times New Roman" w:hAnsi="Times New Roman" w:eastAsia="方正仿宋_GBK" w:cs="Times New Roman"/>
          <w:b w:val="0"/>
          <w:bCs w:val="0"/>
          <w:color w:val="auto"/>
          <w:sz w:val="28"/>
          <w:szCs w:val="28"/>
          <w:highlight w:val="none"/>
          <w:lang w:val="en-US" w:eastAsia="zh-CN"/>
        </w:rPr>
        <w:t>。</w:t>
      </w:r>
    </w:p>
    <w:p w14:paraId="2BD1E6C7">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auto"/>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val="0"/>
          <w:bCs w:val="0"/>
          <w:color w:val="auto"/>
          <w:sz w:val="28"/>
          <w:szCs w:val="28"/>
          <w:highlight w:val="none"/>
          <w:lang w:val="en-US" w:eastAsia="zh-CN"/>
        </w:rPr>
        <w:t>颗粒物污染来源主要是春季县城附近区域森林计划烧除和东南亚春耕生物质燃烧</w:t>
      </w:r>
      <w:r>
        <w:rPr>
          <w:rFonts w:hint="eastAsia" w:ascii="Times New Roman" w:hAnsi="Times New Roman" w:eastAsia="方正仿宋_GBK" w:cs="Times New Roman"/>
          <w:b w:val="0"/>
          <w:bCs w:val="0"/>
          <w:color w:val="auto"/>
          <w:sz w:val="28"/>
          <w:szCs w:val="28"/>
          <w:highlight w:val="none"/>
          <w:lang w:val="en-US" w:eastAsia="zh-CN"/>
        </w:rPr>
        <w:t>，</w:t>
      </w:r>
      <w:r>
        <w:rPr>
          <w:rFonts w:hint="default" w:ascii="Times New Roman" w:hAnsi="Times New Roman" w:eastAsia="方正仿宋_GBK" w:cs="Times New Roman"/>
          <w:b w:val="0"/>
          <w:bCs w:val="0"/>
          <w:color w:val="auto"/>
          <w:sz w:val="28"/>
          <w:szCs w:val="28"/>
          <w:highlight w:val="none"/>
          <w:lang w:val="en-US" w:eastAsia="zh-CN"/>
        </w:rPr>
        <w:t>臭氧浓度变化则主要与植物生长旺盛程度有关。</w:t>
      </w:r>
      <w:r>
        <w:rPr>
          <w:rFonts w:hint="default" w:ascii="Times New Roman" w:hAnsi="Times New Roman" w:eastAsia="方正仿宋_GBK" w:cs="Times New Roman"/>
          <w:b w:val="0"/>
          <w:bCs w:val="0"/>
          <w:color w:val="auto"/>
          <w:sz w:val="28"/>
          <w:szCs w:val="28"/>
          <w:lang w:val="en-US" w:eastAsia="zh-CN"/>
        </w:rPr>
        <w:t>详见表2.1.5.2-1和表2.1.5.2-2。</w:t>
      </w:r>
    </w:p>
    <w:p w14:paraId="751B9CD2">
      <w:pPr>
        <w:adjustRightInd w:val="0"/>
        <w:snapToGrid w:val="0"/>
        <w:spacing w:line="400" w:lineRule="exact"/>
        <w:jc w:val="center"/>
        <w:rPr>
          <w:rFonts w:hint="default" w:ascii="Times New Roman" w:hAnsi="Times New Roman" w:eastAsia="方正仿宋_GBK" w:cs="Times New Roman"/>
          <w:b/>
          <w:color w:val="auto"/>
          <w:sz w:val="28"/>
          <w:szCs w:val="28"/>
        </w:rPr>
      </w:pPr>
      <w:r>
        <w:rPr>
          <w:rFonts w:hint="default" w:ascii="Times New Roman" w:hAnsi="Times New Roman" w:eastAsia="方正仿宋_GBK" w:cs="Times New Roman"/>
          <w:b/>
          <w:color w:val="auto"/>
          <w:sz w:val="28"/>
          <w:szCs w:val="28"/>
        </w:rPr>
        <w:t>表</w:t>
      </w:r>
      <w:r>
        <w:rPr>
          <w:rFonts w:hint="default" w:ascii="Times New Roman" w:hAnsi="Times New Roman" w:eastAsia="方正仿宋_GBK" w:cs="Times New Roman"/>
          <w:b w:val="0"/>
          <w:bCs w:val="0"/>
          <w:color w:val="auto"/>
          <w:sz w:val="32"/>
          <w:szCs w:val="32"/>
          <w:lang w:val="en-US" w:eastAsia="zh-CN"/>
        </w:rPr>
        <w:t>2.1.5.2-1</w:t>
      </w:r>
      <w:r>
        <w:rPr>
          <w:rFonts w:hint="default" w:ascii="Times New Roman" w:hAnsi="Times New Roman" w:eastAsia="方正仿宋_GBK" w:cs="Times New Roman"/>
          <w:b/>
          <w:color w:val="auto"/>
          <w:sz w:val="28"/>
          <w:szCs w:val="28"/>
          <w:lang w:eastAsia="zh-CN"/>
        </w:rPr>
        <w:t>新平县</w:t>
      </w:r>
      <w:r>
        <w:rPr>
          <w:rFonts w:hint="default" w:ascii="Times New Roman" w:hAnsi="Times New Roman" w:eastAsia="方正仿宋_GBK" w:cs="Times New Roman"/>
          <w:b/>
          <w:color w:val="auto"/>
          <w:sz w:val="28"/>
          <w:szCs w:val="28"/>
        </w:rPr>
        <w:t>201</w:t>
      </w:r>
      <w:r>
        <w:rPr>
          <w:rFonts w:hint="default" w:ascii="Times New Roman" w:hAnsi="Times New Roman" w:eastAsia="方正仿宋_GBK" w:cs="Times New Roman"/>
          <w:b/>
          <w:color w:val="auto"/>
          <w:sz w:val="28"/>
          <w:szCs w:val="28"/>
          <w:lang w:val="en-US" w:eastAsia="zh-CN"/>
        </w:rPr>
        <w:t>7</w:t>
      </w:r>
      <w:r>
        <w:rPr>
          <w:rFonts w:hint="eastAsia" w:ascii="Times New Roman" w:hAnsi="Times New Roman" w:eastAsia="方正仿宋_GBK" w:cs="Times New Roman"/>
          <w:b/>
          <w:color w:val="auto"/>
          <w:sz w:val="28"/>
          <w:szCs w:val="28"/>
          <w:lang w:val="en-US" w:eastAsia="zh-CN"/>
        </w:rPr>
        <w:t>—</w:t>
      </w:r>
      <w:r>
        <w:rPr>
          <w:rFonts w:hint="default" w:ascii="Times New Roman" w:hAnsi="Times New Roman" w:eastAsia="方正仿宋_GBK" w:cs="Times New Roman"/>
          <w:b/>
          <w:color w:val="auto"/>
          <w:sz w:val="28"/>
          <w:szCs w:val="28"/>
        </w:rPr>
        <w:t>2021年环境空气优良率统计表</w:t>
      </w:r>
    </w:p>
    <w:tbl>
      <w:tblPr>
        <w:tblStyle w:val="26"/>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2"/>
        <w:gridCol w:w="923"/>
        <w:gridCol w:w="723"/>
        <w:gridCol w:w="1146"/>
        <w:gridCol w:w="778"/>
        <w:gridCol w:w="740"/>
        <w:gridCol w:w="929"/>
        <w:gridCol w:w="921"/>
        <w:gridCol w:w="1475"/>
      </w:tblGrid>
      <w:tr w14:paraId="0ED53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8" w:type="pct"/>
            <w:vAlign w:val="center"/>
          </w:tcPr>
          <w:p w14:paraId="7409F46D">
            <w:pPr>
              <w:widowControl/>
              <w:spacing w:line="400" w:lineRule="exact"/>
              <w:jc w:val="center"/>
              <w:rPr>
                <w:rFonts w:hint="default" w:ascii="Times New Roman" w:hAnsi="Times New Roman" w:eastAsia="方正仿宋_GBK" w:cs="Times New Roman"/>
                <w:b/>
                <w:bCs/>
                <w:color w:val="auto"/>
                <w:sz w:val="24"/>
                <w:szCs w:val="20"/>
              </w:rPr>
            </w:pPr>
            <w:r>
              <w:rPr>
                <w:rFonts w:hint="default" w:ascii="Times New Roman" w:hAnsi="Times New Roman" w:eastAsia="方正仿宋_GBK" w:cs="Times New Roman"/>
                <w:b/>
                <w:bCs/>
                <w:color w:val="auto"/>
                <w:sz w:val="24"/>
                <w:szCs w:val="20"/>
              </w:rPr>
              <w:t>年度</w:t>
            </w:r>
          </w:p>
        </w:tc>
        <w:tc>
          <w:tcPr>
            <w:tcW w:w="541" w:type="pct"/>
            <w:vAlign w:val="center"/>
          </w:tcPr>
          <w:p w14:paraId="43C5B786">
            <w:pPr>
              <w:widowControl/>
              <w:spacing w:line="400" w:lineRule="exact"/>
              <w:jc w:val="center"/>
              <w:rPr>
                <w:rFonts w:hint="default" w:ascii="Times New Roman" w:hAnsi="Times New Roman" w:eastAsia="方正仿宋_GBK" w:cs="Times New Roman"/>
                <w:b/>
                <w:bCs/>
                <w:color w:val="auto"/>
                <w:sz w:val="24"/>
                <w:szCs w:val="20"/>
              </w:rPr>
            </w:pPr>
            <w:r>
              <w:rPr>
                <w:rFonts w:hint="default" w:ascii="Times New Roman" w:hAnsi="Times New Roman" w:eastAsia="方正仿宋_GBK" w:cs="Times New Roman"/>
                <w:b/>
                <w:bCs/>
                <w:color w:val="auto"/>
                <w:sz w:val="24"/>
                <w:szCs w:val="20"/>
              </w:rPr>
              <w:t>有效天数</w:t>
            </w:r>
          </w:p>
        </w:tc>
        <w:tc>
          <w:tcPr>
            <w:tcW w:w="424" w:type="pct"/>
            <w:vAlign w:val="center"/>
          </w:tcPr>
          <w:p w14:paraId="342736E6">
            <w:pPr>
              <w:widowControl/>
              <w:spacing w:line="400" w:lineRule="exact"/>
              <w:jc w:val="center"/>
              <w:rPr>
                <w:rFonts w:hint="default" w:ascii="Times New Roman" w:hAnsi="Times New Roman" w:eastAsia="方正仿宋_GBK" w:cs="Times New Roman"/>
                <w:b/>
                <w:bCs/>
                <w:color w:val="auto"/>
                <w:sz w:val="24"/>
                <w:szCs w:val="20"/>
              </w:rPr>
            </w:pPr>
            <w:r>
              <w:rPr>
                <w:rFonts w:hint="default" w:ascii="Times New Roman" w:hAnsi="Times New Roman" w:eastAsia="方正仿宋_GBK" w:cs="Times New Roman"/>
                <w:b/>
                <w:bCs/>
                <w:color w:val="auto"/>
                <w:sz w:val="24"/>
                <w:szCs w:val="20"/>
              </w:rPr>
              <w:t>优良天数</w:t>
            </w:r>
          </w:p>
        </w:tc>
        <w:tc>
          <w:tcPr>
            <w:tcW w:w="672" w:type="pct"/>
            <w:vAlign w:val="center"/>
          </w:tcPr>
          <w:p w14:paraId="4C7E7A90">
            <w:pPr>
              <w:widowControl/>
              <w:spacing w:line="400" w:lineRule="exact"/>
              <w:jc w:val="center"/>
              <w:rPr>
                <w:rFonts w:hint="default" w:ascii="Times New Roman" w:hAnsi="Times New Roman" w:eastAsia="方正仿宋_GBK" w:cs="Times New Roman"/>
                <w:b/>
                <w:bCs/>
                <w:color w:val="auto"/>
                <w:sz w:val="24"/>
                <w:szCs w:val="20"/>
              </w:rPr>
            </w:pPr>
            <w:r>
              <w:rPr>
                <w:rFonts w:hint="default" w:ascii="Times New Roman" w:hAnsi="Times New Roman" w:eastAsia="方正仿宋_GBK" w:cs="Times New Roman"/>
                <w:b/>
                <w:bCs/>
                <w:color w:val="auto"/>
                <w:sz w:val="24"/>
                <w:szCs w:val="20"/>
              </w:rPr>
              <w:t>优良率</w:t>
            </w:r>
            <w:r>
              <w:rPr>
                <w:rFonts w:hint="eastAsia" w:ascii="Times New Roman" w:hAnsi="Times New Roman" w:eastAsia="方正仿宋_GBK" w:cs="Times New Roman"/>
                <w:b/>
                <w:bCs/>
                <w:color w:val="auto"/>
                <w:sz w:val="24"/>
                <w:szCs w:val="20"/>
                <w:lang w:eastAsia="zh-CN"/>
              </w:rPr>
              <w:t>(</w:t>
            </w:r>
            <w:r>
              <w:rPr>
                <w:rFonts w:hint="default" w:ascii="Times New Roman" w:hAnsi="Times New Roman" w:eastAsia="方正仿宋_GBK" w:cs="Times New Roman"/>
                <w:b/>
                <w:bCs/>
                <w:color w:val="auto"/>
                <w:sz w:val="24"/>
                <w:szCs w:val="20"/>
              </w:rPr>
              <w:t>%)</w:t>
            </w:r>
          </w:p>
        </w:tc>
        <w:tc>
          <w:tcPr>
            <w:tcW w:w="456" w:type="pct"/>
            <w:vAlign w:val="center"/>
          </w:tcPr>
          <w:p w14:paraId="500009AD">
            <w:pPr>
              <w:widowControl/>
              <w:spacing w:line="400" w:lineRule="exact"/>
              <w:jc w:val="center"/>
              <w:rPr>
                <w:rFonts w:hint="default" w:ascii="Times New Roman" w:hAnsi="Times New Roman" w:eastAsia="方正仿宋_GBK" w:cs="Times New Roman"/>
                <w:b/>
                <w:bCs/>
                <w:color w:val="auto"/>
                <w:sz w:val="24"/>
                <w:szCs w:val="20"/>
              </w:rPr>
            </w:pPr>
            <w:r>
              <w:rPr>
                <w:rFonts w:hint="default" w:ascii="Times New Roman" w:hAnsi="Times New Roman" w:eastAsia="方正仿宋_GBK" w:cs="Times New Roman"/>
                <w:b/>
                <w:bCs/>
                <w:color w:val="auto"/>
                <w:sz w:val="24"/>
                <w:szCs w:val="20"/>
              </w:rPr>
              <w:t>轻度污染</w:t>
            </w:r>
          </w:p>
        </w:tc>
        <w:tc>
          <w:tcPr>
            <w:tcW w:w="434" w:type="pct"/>
            <w:vAlign w:val="center"/>
          </w:tcPr>
          <w:p w14:paraId="0550CF0A">
            <w:pPr>
              <w:widowControl/>
              <w:spacing w:line="400" w:lineRule="exact"/>
              <w:jc w:val="center"/>
              <w:rPr>
                <w:rFonts w:hint="default" w:ascii="Times New Roman" w:hAnsi="Times New Roman" w:eastAsia="方正仿宋_GBK" w:cs="Times New Roman"/>
                <w:b/>
                <w:bCs/>
                <w:color w:val="auto"/>
                <w:sz w:val="24"/>
                <w:szCs w:val="20"/>
              </w:rPr>
            </w:pPr>
            <w:r>
              <w:rPr>
                <w:rFonts w:hint="default" w:ascii="Times New Roman" w:hAnsi="Times New Roman" w:eastAsia="方正仿宋_GBK" w:cs="Times New Roman"/>
                <w:b/>
                <w:bCs/>
                <w:color w:val="auto"/>
                <w:sz w:val="24"/>
                <w:szCs w:val="20"/>
              </w:rPr>
              <w:t>中度污染</w:t>
            </w:r>
          </w:p>
        </w:tc>
        <w:tc>
          <w:tcPr>
            <w:tcW w:w="545" w:type="pct"/>
            <w:vAlign w:val="center"/>
          </w:tcPr>
          <w:p w14:paraId="70DF8EC5">
            <w:pPr>
              <w:widowControl/>
              <w:spacing w:line="400" w:lineRule="exact"/>
              <w:jc w:val="center"/>
              <w:rPr>
                <w:rFonts w:hint="default" w:ascii="Times New Roman" w:hAnsi="Times New Roman" w:eastAsia="方正仿宋_GBK" w:cs="Times New Roman"/>
                <w:b/>
                <w:bCs/>
                <w:color w:val="auto"/>
                <w:sz w:val="24"/>
                <w:szCs w:val="20"/>
              </w:rPr>
            </w:pPr>
            <w:r>
              <w:rPr>
                <w:rFonts w:hint="default" w:ascii="Times New Roman" w:hAnsi="Times New Roman" w:eastAsia="方正仿宋_GBK" w:cs="Times New Roman"/>
                <w:b/>
                <w:bCs/>
                <w:color w:val="auto"/>
                <w:sz w:val="24"/>
                <w:szCs w:val="20"/>
              </w:rPr>
              <w:t>重度污染</w:t>
            </w:r>
          </w:p>
        </w:tc>
        <w:tc>
          <w:tcPr>
            <w:tcW w:w="540" w:type="pct"/>
            <w:vAlign w:val="center"/>
          </w:tcPr>
          <w:p w14:paraId="779CBCE8">
            <w:pPr>
              <w:widowControl/>
              <w:spacing w:line="400" w:lineRule="exact"/>
              <w:jc w:val="center"/>
              <w:rPr>
                <w:rFonts w:hint="default" w:ascii="Times New Roman" w:hAnsi="Times New Roman" w:eastAsia="方正仿宋_GBK" w:cs="Times New Roman"/>
                <w:b/>
                <w:bCs/>
                <w:color w:val="auto"/>
                <w:sz w:val="24"/>
                <w:szCs w:val="20"/>
              </w:rPr>
            </w:pPr>
            <w:r>
              <w:rPr>
                <w:rFonts w:hint="default" w:ascii="Times New Roman" w:hAnsi="Times New Roman" w:eastAsia="方正仿宋_GBK" w:cs="Times New Roman"/>
                <w:b/>
                <w:bCs/>
                <w:color w:val="auto"/>
                <w:sz w:val="24"/>
                <w:szCs w:val="20"/>
              </w:rPr>
              <w:t>严重污染</w:t>
            </w:r>
          </w:p>
        </w:tc>
        <w:tc>
          <w:tcPr>
            <w:tcW w:w="865" w:type="pct"/>
            <w:vAlign w:val="center"/>
          </w:tcPr>
          <w:p w14:paraId="3AFE290E">
            <w:pPr>
              <w:widowControl/>
              <w:spacing w:line="400" w:lineRule="exact"/>
              <w:jc w:val="center"/>
              <w:rPr>
                <w:rFonts w:hint="default" w:ascii="Times New Roman" w:hAnsi="Times New Roman" w:eastAsia="方正仿宋_GBK" w:cs="Times New Roman"/>
                <w:b/>
                <w:bCs/>
                <w:color w:val="auto"/>
                <w:sz w:val="24"/>
                <w:szCs w:val="20"/>
              </w:rPr>
            </w:pPr>
            <w:r>
              <w:rPr>
                <w:rFonts w:hint="default" w:ascii="Times New Roman" w:hAnsi="Times New Roman" w:eastAsia="方正仿宋_GBK" w:cs="Times New Roman"/>
                <w:b/>
                <w:bCs/>
                <w:color w:val="auto"/>
                <w:sz w:val="24"/>
                <w:szCs w:val="20"/>
              </w:rPr>
              <w:t>环境空气质量综合评价</w:t>
            </w:r>
          </w:p>
        </w:tc>
      </w:tr>
      <w:tr w14:paraId="710EA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8" w:type="pct"/>
            <w:vAlign w:val="center"/>
          </w:tcPr>
          <w:p w14:paraId="6156F7CB">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default" w:ascii="Times New Roman" w:hAnsi="Times New Roman" w:eastAsia="方正仿宋_GBK" w:cs="Times New Roman"/>
                <w:color w:val="auto"/>
                <w:sz w:val="24"/>
                <w:szCs w:val="20"/>
                <w:lang w:val="en-US" w:eastAsia="zh-CN"/>
              </w:rPr>
              <w:t>2017</w:t>
            </w:r>
          </w:p>
        </w:tc>
        <w:tc>
          <w:tcPr>
            <w:tcW w:w="541" w:type="pct"/>
            <w:vAlign w:val="center"/>
          </w:tcPr>
          <w:p w14:paraId="17349CEE">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default" w:ascii="Times New Roman" w:hAnsi="Times New Roman" w:eastAsia="方正仿宋_GBK" w:cs="Times New Roman"/>
                <w:color w:val="auto"/>
                <w:sz w:val="24"/>
                <w:szCs w:val="20"/>
                <w:lang w:val="en-US" w:eastAsia="zh-CN"/>
              </w:rPr>
              <w:t>358</w:t>
            </w:r>
          </w:p>
        </w:tc>
        <w:tc>
          <w:tcPr>
            <w:tcW w:w="424" w:type="pct"/>
            <w:vAlign w:val="center"/>
          </w:tcPr>
          <w:p w14:paraId="2604932B">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default" w:ascii="Times New Roman" w:hAnsi="Times New Roman" w:eastAsia="方正仿宋_GBK" w:cs="Times New Roman"/>
                <w:color w:val="auto"/>
                <w:sz w:val="24"/>
                <w:szCs w:val="20"/>
                <w:lang w:val="en-US" w:eastAsia="zh-CN"/>
              </w:rPr>
              <w:t>354</w:t>
            </w:r>
          </w:p>
        </w:tc>
        <w:tc>
          <w:tcPr>
            <w:tcW w:w="672" w:type="pct"/>
            <w:vAlign w:val="center"/>
          </w:tcPr>
          <w:p w14:paraId="6C23E706">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default" w:ascii="Times New Roman" w:hAnsi="Times New Roman" w:eastAsia="方正仿宋_GBK" w:cs="Times New Roman"/>
                <w:color w:val="auto"/>
                <w:sz w:val="24"/>
                <w:szCs w:val="20"/>
                <w:lang w:val="en-US" w:eastAsia="zh-CN"/>
              </w:rPr>
              <w:t>98.9</w:t>
            </w:r>
          </w:p>
        </w:tc>
        <w:tc>
          <w:tcPr>
            <w:tcW w:w="456" w:type="pct"/>
            <w:vAlign w:val="center"/>
          </w:tcPr>
          <w:p w14:paraId="0AB21ABB">
            <w:pPr>
              <w:widowControl/>
              <w:spacing w:line="400" w:lineRule="exact"/>
              <w:jc w:val="center"/>
              <w:rPr>
                <w:rFonts w:hint="default" w:ascii="Times New Roman" w:hAnsi="Times New Roman" w:eastAsia="方正仿宋_GBK" w:cs="Times New Roman"/>
                <w:color w:val="auto"/>
                <w:sz w:val="24"/>
                <w:szCs w:val="20"/>
              </w:rPr>
            </w:pPr>
            <w:r>
              <w:rPr>
                <w:rFonts w:hint="default" w:ascii="Times New Roman" w:hAnsi="Times New Roman" w:eastAsia="方正仿宋_GBK" w:cs="Times New Roman"/>
                <w:color w:val="auto"/>
                <w:sz w:val="24"/>
                <w:szCs w:val="20"/>
                <w:lang w:val="en-US" w:eastAsia="zh-CN"/>
              </w:rPr>
              <w:t>4</w:t>
            </w:r>
          </w:p>
        </w:tc>
        <w:tc>
          <w:tcPr>
            <w:tcW w:w="434" w:type="pct"/>
            <w:vAlign w:val="center"/>
          </w:tcPr>
          <w:p w14:paraId="589E16D7">
            <w:pPr>
              <w:widowControl/>
              <w:spacing w:line="400" w:lineRule="exact"/>
              <w:jc w:val="center"/>
              <w:rPr>
                <w:rFonts w:hint="default" w:ascii="Times New Roman" w:hAnsi="Times New Roman" w:eastAsia="方正仿宋_GBK" w:cs="Times New Roman"/>
                <w:color w:val="auto"/>
                <w:sz w:val="24"/>
                <w:szCs w:val="20"/>
              </w:rPr>
            </w:pPr>
            <w:r>
              <w:rPr>
                <w:rFonts w:hint="default" w:ascii="Times New Roman" w:hAnsi="Times New Roman" w:eastAsia="方正仿宋_GBK" w:cs="Times New Roman"/>
                <w:color w:val="auto"/>
                <w:sz w:val="24"/>
                <w:szCs w:val="20"/>
              </w:rPr>
              <w:t>0</w:t>
            </w:r>
          </w:p>
        </w:tc>
        <w:tc>
          <w:tcPr>
            <w:tcW w:w="545" w:type="pct"/>
            <w:vAlign w:val="center"/>
          </w:tcPr>
          <w:p w14:paraId="0F21A784">
            <w:pPr>
              <w:widowControl/>
              <w:spacing w:line="400" w:lineRule="exact"/>
              <w:jc w:val="center"/>
              <w:rPr>
                <w:rFonts w:hint="default" w:ascii="Times New Roman" w:hAnsi="Times New Roman" w:eastAsia="方正仿宋_GBK" w:cs="Times New Roman"/>
                <w:color w:val="auto"/>
                <w:sz w:val="24"/>
                <w:szCs w:val="20"/>
              </w:rPr>
            </w:pPr>
            <w:r>
              <w:rPr>
                <w:rFonts w:hint="default" w:ascii="Times New Roman" w:hAnsi="Times New Roman" w:eastAsia="方正仿宋_GBK" w:cs="Times New Roman"/>
                <w:color w:val="auto"/>
                <w:sz w:val="24"/>
                <w:szCs w:val="20"/>
              </w:rPr>
              <w:t>0</w:t>
            </w:r>
          </w:p>
        </w:tc>
        <w:tc>
          <w:tcPr>
            <w:tcW w:w="540" w:type="pct"/>
            <w:vAlign w:val="center"/>
          </w:tcPr>
          <w:p w14:paraId="711774D1">
            <w:pPr>
              <w:widowControl/>
              <w:spacing w:line="400" w:lineRule="exact"/>
              <w:jc w:val="center"/>
              <w:rPr>
                <w:rFonts w:hint="default" w:ascii="Times New Roman" w:hAnsi="Times New Roman" w:eastAsia="方正仿宋_GBK" w:cs="Times New Roman"/>
                <w:color w:val="auto"/>
                <w:sz w:val="24"/>
                <w:szCs w:val="20"/>
              </w:rPr>
            </w:pPr>
            <w:r>
              <w:rPr>
                <w:rFonts w:hint="default" w:ascii="Times New Roman" w:hAnsi="Times New Roman" w:eastAsia="方正仿宋_GBK" w:cs="Times New Roman"/>
                <w:color w:val="auto"/>
                <w:sz w:val="24"/>
                <w:szCs w:val="20"/>
              </w:rPr>
              <w:t>0</w:t>
            </w:r>
          </w:p>
        </w:tc>
        <w:tc>
          <w:tcPr>
            <w:tcW w:w="865" w:type="pct"/>
            <w:vAlign w:val="center"/>
          </w:tcPr>
          <w:p w14:paraId="7C4F7435">
            <w:pPr>
              <w:widowControl/>
              <w:spacing w:line="400" w:lineRule="exact"/>
              <w:jc w:val="center"/>
              <w:rPr>
                <w:rFonts w:hint="default" w:ascii="Times New Roman" w:hAnsi="Times New Roman" w:eastAsia="方正仿宋_GBK" w:cs="Times New Roman"/>
                <w:color w:val="auto"/>
                <w:sz w:val="24"/>
                <w:szCs w:val="20"/>
              </w:rPr>
            </w:pPr>
            <w:r>
              <w:rPr>
                <w:rFonts w:hint="default" w:ascii="Times New Roman" w:hAnsi="Times New Roman" w:eastAsia="方正仿宋_GBK" w:cs="Times New Roman"/>
                <w:color w:val="auto"/>
                <w:sz w:val="24"/>
                <w:szCs w:val="20"/>
              </w:rPr>
              <w:t>二级</w:t>
            </w:r>
          </w:p>
        </w:tc>
      </w:tr>
      <w:tr w14:paraId="33854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8" w:type="pct"/>
            <w:vAlign w:val="center"/>
          </w:tcPr>
          <w:p w14:paraId="7FB02897">
            <w:pPr>
              <w:widowControl/>
              <w:spacing w:line="400" w:lineRule="exact"/>
              <w:jc w:val="center"/>
              <w:rPr>
                <w:rFonts w:hint="default" w:ascii="Times New Roman" w:hAnsi="Times New Roman" w:eastAsia="方正仿宋_GBK" w:cs="Times New Roman"/>
                <w:color w:val="auto"/>
                <w:sz w:val="24"/>
                <w:szCs w:val="20"/>
              </w:rPr>
            </w:pPr>
            <w:r>
              <w:rPr>
                <w:rFonts w:hint="default" w:ascii="Times New Roman" w:hAnsi="Times New Roman" w:eastAsia="方正仿宋_GBK" w:cs="Times New Roman"/>
                <w:color w:val="auto"/>
                <w:sz w:val="24"/>
                <w:szCs w:val="20"/>
              </w:rPr>
              <w:t>2018</w:t>
            </w:r>
          </w:p>
        </w:tc>
        <w:tc>
          <w:tcPr>
            <w:tcW w:w="541" w:type="pct"/>
            <w:vAlign w:val="center"/>
          </w:tcPr>
          <w:p w14:paraId="57CBDD9D">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default" w:ascii="Times New Roman" w:hAnsi="Times New Roman" w:eastAsia="方正仿宋_GBK" w:cs="Times New Roman"/>
                <w:color w:val="auto"/>
                <w:sz w:val="24"/>
                <w:szCs w:val="20"/>
                <w:lang w:val="en-US" w:eastAsia="zh-CN"/>
              </w:rPr>
              <w:t>361</w:t>
            </w:r>
          </w:p>
        </w:tc>
        <w:tc>
          <w:tcPr>
            <w:tcW w:w="424" w:type="pct"/>
            <w:vAlign w:val="center"/>
          </w:tcPr>
          <w:p w14:paraId="66013A02">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default" w:ascii="Times New Roman" w:hAnsi="Times New Roman" w:eastAsia="方正仿宋_GBK" w:cs="Times New Roman"/>
                <w:color w:val="auto"/>
                <w:sz w:val="24"/>
                <w:szCs w:val="20"/>
                <w:lang w:val="en-US" w:eastAsia="zh-CN"/>
              </w:rPr>
              <w:t>359</w:t>
            </w:r>
          </w:p>
        </w:tc>
        <w:tc>
          <w:tcPr>
            <w:tcW w:w="672" w:type="pct"/>
            <w:vAlign w:val="center"/>
          </w:tcPr>
          <w:p w14:paraId="160CFD94">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default" w:ascii="Times New Roman" w:hAnsi="Times New Roman" w:eastAsia="方正仿宋_GBK" w:cs="Times New Roman"/>
                <w:color w:val="auto"/>
                <w:sz w:val="24"/>
                <w:szCs w:val="20"/>
                <w:lang w:val="en-US" w:eastAsia="zh-CN"/>
              </w:rPr>
              <w:t>99.4</w:t>
            </w:r>
          </w:p>
        </w:tc>
        <w:tc>
          <w:tcPr>
            <w:tcW w:w="456" w:type="pct"/>
            <w:vAlign w:val="center"/>
          </w:tcPr>
          <w:p w14:paraId="072E0B42">
            <w:pPr>
              <w:widowControl/>
              <w:spacing w:line="400" w:lineRule="exact"/>
              <w:jc w:val="center"/>
              <w:rPr>
                <w:rFonts w:hint="default" w:ascii="Times New Roman" w:hAnsi="Times New Roman" w:eastAsia="方正仿宋_GBK" w:cs="Times New Roman"/>
                <w:color w:val="auto"/>
                <w:sz w:val="24"/>
                <w:szCs w:val="20"/>
              </w:rPr>
            </w:pPr>
            <w:r>
              <w:rPr>
                <w:rFonts w:hint="default" w:ascii="Times New Roman" w:hAnsi="Times New Roman" w:eastAsia="方正仿宋_GBK" w:cs="Times New Roman"/>
                <w:color w:val="auto"/>
                <w:sz w:val="24"/>
                <w:szCs w:val="20"/>
                <w:lang w:val="en-US" w:eastAsia="zh-CN"/>
              </w:rPr>
              <w:t>2</w:t>
            </w:r>
          </w:p>
        </w:tc>
        <w:tc>
          <w:tcPr>
            <w:tcW w:w="434" w:type="pct"/>
            <w:vAlign w:val="center"/>
          </w:tcPr>
          <w:p w14:paraId="4272F482">
            <w:pPr>
              <w:widowControl/>
              <w:spacing w:line="400" w:lineRule="exact"/>
              <w:jc w:val="center"/>
              <w:rPr>
                <w:rFonts w:hint="default" w:ascii="Times New Roman" w:hAnsi="Times New Roman" w:eastAsia="方正仿宋_GBK" w:cs="Times New Roman"/>
                <w:color w:val="auto"/>
                <w:sz w:val="24"/>
                <w:szCs w:val="20"/>
              </w:rPr>
            </w:pPr>
            <w:r>
              <w:rPr>
                <w:rFonts w:hint="default" w:ascii="Times New Roman" w:hAnsi="Times New Roman" w:eastAsia="方正仿宋_GBK" w:cs="Times New Roman"/>
                <w:color w:val="auto"/>
                <w:sz w:val="24"/>
                <w:szCs w:val="20"/>
              </w:rPr>
              <w:t>0</w:t>
            </w:r>
          </w:p>
        </w:tc>
        <w:tc>
          <w:tcPr>
            <w:tcW w:w="545" w:type="pct"/>
            <w:vAlign w:val="center"/>
          </w:tcPr>
          <w:p w14:paraId="40925D14">
            <w:pPr>
              <w:widowControl/>
              <w:spacing w:line="400" w:lineRule="exact"/>
              <w:jc w:val="center"/>
              <w:rPr>
                <w:rFonts w:hint="default" w:ascii="Times New Roman" w:hAnsi="Times New Roman" w:eastAsia="方正仿宋_GBK" w:cs="Times New Roman"/>
                <w:color w:val="auto"/>
                <w:sz w:val="24"/>
                <w:szCs w:val="20"/>
              </w:rPr>
            </w:pPr>
            <w:r>
              <w:rPr>
                <w:rFonts w:hint="default" w:ascii="Times New Roman" w:hAnsi="Times New Roman" w:eastAsia="方正仿宋_GBK" w:cs="Times New Roman"/>
                <w:color w:val="auto"/>
                <w:sz w:val="24"/>
                <w:szCs w:val="20"/>
              </w:rPr>
              <w:t>0</w:t>
            </w:r>
          </w:p>
        </w:tc>
        <w:tc>
          <w:tcPr>
            <w:tcW w:w="540" w:type="pct"/>
            <w:vAlign w:val="center"/>
          </w:tcPr>
          <w:p w14:paraId="5CD6913D">
            <w:pPr>
              <w:widowControl/>
              <w:spacing w:line="400" w:lineRule="exact"/>
              <w:jc w:val="center"/>
              <w:rPr>
                <w:rFonts w:hint="default" w:ascii="Times New Roman" w:hAnsi="Times New Roman" w:eastAsia="方正仿宋_GBK" w:cs="Times New Roman"/>
                <w:color w:val="auto"/>
                <w:sz w:val="24"/>
                <w:szCs w:val="20"/>
              </w:rPr>
            </w:pPr>
            <w:r>
              <w:rPr>
                <w:rFonts w:hint="default" w:ascii="Times New Roman" w:hAnsi="Times New Roman" w:eastAsia="方正仿宋_GBK" w:cs="Times New Roman"/>
                <w:color w:val="auto"/>
                <w:sz w:val="24"/>
                <w:szCs w:val="20"/>
              </w:rPr>
              <w:t>0</w:t>
            </w:r>
          </w:p>
        </w:tc>
        <w:tc>
          <w:tcPr>
            <w:tcW w:w="865" w:type="pct"/>
            <w:vAlign w:val="center"/>
          </w:tcPr>
          <w:p w14:paraId="111B63F9">
            <w:pPr>
              <w:widowControl/>
              <w:spacing w:line="400" w:lineRule="exact"/>
              <w:jc w:val="center"/>
              <w:rPr>
                <w:rFonts w:hint="default" w:ascii="Times New Roman" w:hAnsi="Times New Roman" w:eastAsia="方正仿宋_GBK" w:cs="Times New Roman"/>
                <w:color w:val="auto"/>
                <w:sz w:val="24"/>
                <w:szCs w:val="20"/>
              </w:rPr>
            </w:pPr>
            <w:r>
              <w:rPr>
                <w:rFonts w:hint="default" w:ascii="Times New Roman" w:hAnsi="Times New Roman" w:eastAsia="方正仿宋_GBK" w:cs="Times New Roman"/>
                <w:color w:val="auto"/>
                <w:sz w:val="24"/>
                <w:szCs w:val="20"/>
              </w:rPr>
              <w:t>二级</w:t>
            </w:r>
          </w:p>
        </w:tc>
      </w:tr>
      <w:tr w14:paraId="67A2F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8" w:type="pct"/>
            <w:vAlign w:val="center"/>
          </w:tcPr>
          <w:p w14:paraId="64FB722C">
            <w:pPr>
              <w:widowControl/>
              <w:spacing w:line="400" w:lineRule="exact"/>
              <w:jc w:val="center"/>
              <w:rPr>
                <w:rFonts w:hint="default" w:ascii="Times New Roman" w:hAnsi="Times New Roman" w:eastAsia="方正仿宋_GBK" w:cs="Times New Roman"/>
                <w:color w:val="auto"/>
                <w:sz w:val="24"/>
                <w:szCs w:val="20"/>
              </w:rPr>
            </w:pPr>
            <w:r>
              <w:rPr>
                <w:rFonts w:hint="default" w:ascii="Times New Roman" w:hAnsi="Times New Roman" w:eastAsia="方正仿宋_GBK" w:cs="Times New Roman"/>
                <w:color w:val="auto"/>
                <w:sz w:val="24"/>
                <w:szCs w:val="20"/>
              </w:rPr>
              <w:t>2019</w:t>
            </w:r>
          </w:p>
        </w:tc>
        <w:tc>
          <w:tcPr>
            <w:tcW w:w="541" w:type="pct"/>
            <w:vAlign w:val="center"/>
          </w:tcPr>
          <w:p w14:paraId="12E705CF">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default" w:ascii="Times New Roman" w:hAnsi="Times New Roman" w:eastAsia="方正仿宋_GBK" w:cs="Times New Roman"/>
                <w:color w:val="auto"/>
                <w:sz w:val="24"/>
                <w:szCs w:val="20"/>
                <w:lang w:val="en-US" w:eastAsia="zh-CN"/>
              </w:rPr>
              <w:t>351</w:t>
            </w:r>
          </w:p>
        </w:tc>
        <w:tc>
          <w:tcPr>
            <w:tcW w:w="424" w:type="pct"/>
            <w:vAlign w:val="center"/>
          </w:tcPr>
          <w:p w14:paraId="42AB0CD8">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default" w:ascii="Times New Roman" w:hAnsi="Times New Roman" w:eastAsia="方正仿宋_GBK" w:cs="Times New Roman"/>
                <w:color w:val="auto"/>
                <w:sz w:val="24"/>
                <w:szCs w:val="20"/>
                <w:lang w:val="en-US" w:eastAsia="zh-CN"/>
              </w:rPr>
              <w:t>346</w:t>
            </w:r>
          </w:p>
        </w:tc>
        <w:tc>
          <w:tcPr>
            <w:tcW w:w="672" w:type="pct"/>
            <w:vAlign w:val="center"/>
          </w:tcPr>
          <w:p w14:paraId="0A3369B6">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default" w:ascii="Times New Roman" w:hAnsi="Times New Roman" w:eastAsia="方正仿宋_GBK" w:cs="Times New Roman"/>
                <w:color w:val="auto"/>
                <w:sz w:val="24"/>
                <w:szCs w:val="20"/>
                <w:lang w:val="en-US" w:eastAsia="zh-CN"/>
              </w:rPr>
              <w:t>98.6</w:t>
            </w:r>
          </w:p>
        </w:tc>
        <w:tc>
          <w:tcPr>
            <w:tcW w:w="456" w:type="pct"/>
            <w:vAlign w:val="center"/>
          </w:tcPr>
          <w:p w14:paraId="206DCD2C">
            <w:pPr>
              <w:widowControl/>
              <w:spacing w:line="400" w:lineRule="exact"/>
              <w:jc w:val="center"/>
              <w:rPr>
                <w:rFonts w:hint="default" w:ascii="Times New Roman" w:hAnsi="Times New Roman" w:eastAsia="方正仿宋_GBK" w:cs="Times New Roman"/>
                <w:color w:val="auto"/>
                <w:sz w:val="24"/>
                <w:szCs w:val="20"/>
              </w:rPr>
            </w:pPr>
            <w:r>
              <w:rPr>
                <w:rFonts w:hint="default" w:ascii="Times New Roman" w:hAnsi="Times New Roman" w:eastAsia="方正仿宋_GBK" w:cs="Times New Roman"/>
                <w:color w:val="auto"/>
                <w:sz w:val="24"/>
                <w:szCs w:val="20"/>
                <w:lang w:val="en-US" w:eastAsia="zh-CN"/>
              </w:rPr>
              <w:t>5</w:t>
            </w:r>
          </w:p>
        </w:tc>
        <w:tc>
          <w:tcPr>
            <w:tcW w:w="434" w:type="pct"/>
            <w:vAlign w:val="center"/>
          </w:tcPr>
          <w:p w14:paraId="19C4180F">
            <w:pPr>
              <w:widowControl/>
              <w:spacing w:line="400" w:lineRule="exact"/>
              <w:jc w:val="center"/>
              <w:rPr>
                <w:rFonts w:hint="default" w:ascii="Times New Roman" w:hAnsi="Times New Roman" w:eastAsia="方正仿宋_GBK" w:cs="Times New Roman"/>
                <w:color w:val="auto"/>
                <w:sz w:val="24"/>
                <w:szCs w:val="20"/>
              </w:rPr>
            </w:pPr>
            <w:r>
              <w:rPr>
                <w:rFonts w:hint="default" w:ascii="Times New Roman" w:hAnsi="Times New Roman" w:eastAsia="方正仿宋_GBK" w:cs="Times New Roman"/>
                <w:color w:val="auto"/>
                <w:sz w:val="24"/>
                <w:szCs w:val="20"/>
              </w:rPr>
              <w:t>0</w:t>
            </w:r>
          </w:p>
        </w:tc>
        <w:tc>
          <w:tcPr>
            <w:tcW w:w="545" w:type="pct"/>
            <w:vAlign w:val="center"/>
          </w:tcPr>
          <w:p w14:paraId="28EB6C9C">
            <w:pPr>
              <w:widowControl/>
              <w:spacing w:line="400" w:lineRule="exact"/>
              <w:jc w:val="center"/>
              <w:rPr>
                <w:rFonts w:hint="default" w:ascii="Times New Roman" w:hAnsi="Times New Roman" w:eastAsia="方正仿宋_GBK" w:cs="Times New Roman"/>
                <w:color w:val="auto"/>
                <w:sz w:val="24"/>
                <w:szCs w:val="20"/>
              </w:rPr>
            </w:pPr>
            <w:r>
              <w:rPr>
                <w:rFonts w:hint="default" w:ascii="Times New Roman" w:hAnsi="Times New Roman" w:eastAsia="方正仿宋_GBK" w:cs="Times New Roman"/>
                <w:color w:val="auto"/>
                <w:sz w:val="24"/>
                <w:szCs w:val="20"/>
              </w:rPr>
              <w:t>0</w:t>
            </w:r>
          </w:p>
        </w:tc>
        <w:tc>
          <w:tcPr>
            <w:tcW w:w="540" w:type="pct"/>
            <w:vAlign w:val="center"/>
          </w:tcPr>
          <w:p w14:paraId="284D65CF">
            <w:pPr>
              <w:widowControl/>
              <w:spacing w:line="400" w:lineRule="exact"/>
              <w:jc w:val="center"/>
              <w:rPr>
                <w:rFonts w:hint="default" w:ascii="Times New Roman" w:hAnsi="Times New Roman" w:eastAsia="方正仿宋_GBK" w:cs="Times New Roman"/>
                <w:color w:val="auto"/>
                <w:sz w:val="24"/>
                <w:szCs w:val="20"/>
              </w:rPr>
            </w:pPr>
            <w:r>
              <w:rPr>
                <w:rFonts w:hint="default" w:ascii="Times New Roman" w:hAnsi="Times New Roman" w:eastAsia="方正仿宋_GBK" w:cs="Times New Roman"/>
                <w:color w:val="auto"/>
                <w:sz w:val="24"/>
                <w:szCs w:val="20"/>
              </w:rPr>
              <w:t>0</w:t>
            </w:r>
          </w:p>
        </w:tc>
        <w:tc>
          <w:tcPr>
            <w:tcW w:w="865" w:type="pct"/>
            <w:vAlign w:val="center"/>
          </w:tcPr>
          <w:p w14:paraId="6F6CD25A">
            <w:pPr>
              <w:widowControl/>
              <w:spacing w:line="400" w:lineRule="exact"/>
              <w:jc w:val="center"/>
              <w:rPr>
                <w:rFonts w:hint="default" w:ascii="Times New Roman" w:hAnsi="Times New Roman" w:eastAsia="方正仿宋_GBK" w:cs="Times New Roman"/>
                <w:color w:val="auto"/>
                <w:sz w:val="24"/>
                <w:szCs w:val="20"/>
              </w:rPr>
            </w:pPr>
            <w:r>
              <w:rPr>
                <w:rFonts w:hint="default" w:ascii="Times New Roman" w:hAnsi="Times New Roman" w:eastAsia="方正仿宋_GBK" w:cs="Times New Roman"/>
                <w:color w:val="auto"/>
                <w:sz w:val="24"/>
                <w:szCs w:val="20"/>
              </w:rPr>
              <w:t>二级</w:t>
            </w:r>
          </w:p>
        </w:tc>
      </w:tr>
      <w:tr w14:paraId="5A1B4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8" w:type="pct"/>
          </w:tcPr>
          <w:p w14:paraId="12D0CB70">
            <w:pPr>
              <w:widowControl/>
              <w:spacing w:line="400" w:lineRule="exact"/>
              <w:jc w:val="center"/>
              <w:rPr>
                <w:rFonts w:hint="default" w:ascii="Times New Roman" w:hAnsi="Times New Roman" w:eastAsia="方正仿宋_GBK" w:cs="Times New Roman"/>
                <w:color w:val="auto"/>
                <w:sz w:val="24"/>
                <w:szCs w:val="20"/>
              </w:rPr>
            </w:pPr>
            <w:r>
              <w:rPr>
                <w:rFonts w:hint="default" w:ascii="Times New Roman" w:hAnsi="Times New Roman" w:eastAsia="方正仿宋_GBK" w:cs="Times New Roman"/>
                <w:color w:val="auto"/>
                <w:sz w:val="24"/>
                <w:szCs w:val="20"/>
              </w:rPr>
              <w:t>2020</w:t>
            </w:r>
          </w:p>
        </w:tc>
        <w:tc>
          <w:tcPr>
            <w:tcW w:w="541" w:type="pct"/>
            <w:vAlign w:val="center"/>
          </w:tcPr>
          <w:p w14:paraId="74733AD9">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default" w:ascii="Times New Roman" w:hAnsi="Times New Roman" w:eastAsia="方正仿宋_GBK" w:cs="Times New Roman"/>
                <w:color w:val="auto"/>
                <w:sz w:val="24"/>
                <w:szCs w:val="20"/>
                <w:lang w:val="en-US" w:eastAsia="zh-CN"/>
              </w:rPr>
              <w:t>354</w:t>
            </w:r>
          </w:p>
        </w:tc>
        <w:tc>
          <w:tcPr>
            <w:tcW w:w="424" w:type="pct"/>
            <w:vAlign w:val="center"/>
          </w:tcPr>
          <w:p w14:paraId="3F40A6C3">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default" w:ascii="Times New Roman" w:hAnsi="Times New Roman" w:eastAsia="方正仿宋_GBK" w:cs="Times New Roman"/>
                <w:color w:val="auto"/>
                <w:sz w:val="24"/>
                <w:szCs w:val="20"/>
                <w:lang w:val="en-US" w:eastAsia="zh-CN"/>
              </w:rPr>
              <w:t>354</w:t>
            </w:r>
          </w:p>
        </w:tc>
        <w:tc>
          <w:tcPr>
            <w:tcW w:w="672" w:type="pct"/>
            <w:vAlign w:val="center"/>
          </w:tcPr>
          <w:p w14:paraId="15F03B42">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default" w:ascii="Times New Roman" w:hAnsi="Times New Roman" w:eastAsia="方正仿宋_GBK" w:cs="Times New Roman"/>
                <w:color w:val="auto"/>
                <w:sz w:val="24"/>
                <w:szCs w:val="20"/>
                <w:lang w:val="en-US" w:eastAsia="zh-CN"/>
              </w:rPr>
              <w:t>100</w:t>
            </w:r>
          </w:p>
        </w:tc>
        <w:tc>
          <w:tcPr>
            <w:tcW w:w="456" w:type="pct"/>
            <w:vAlign w:val="center"/>
          </w:tcPr>
          <w:p w14:paraId="7FFC337E">
            <w:pPr>
              <w:widowControl/>
              <w:spacing w:line="400" w:lineRule="exact"/>
              <w:jc w:val="center"/>
              <w:rPr>
                <w:rFonts w:hint="default" w:ascii="Times New Roman" w:hAnsi="Times New Roman" w:eastAsia="方正仿宋_GBK" w:cs="Times New Roman"/>
                <w:color w:val="auto"/>
                <w:sz w:val="24"/>
                <w:szCs w:val="20"/>
              </w:rPr>
            </w:pPr>
            <w:r>
              <w:rPr>
                <w:rFonts w:hint="default" w:ascii="Times New Roman" w:hAnsi="Times New Roman" w:eastAsia="方正仿宋_GBK" w:cs="Times New Roman"/>
                <w:color w:val="auto"/>
                <w:sz w:val="24"/>
                <w:szCs w:val="20"/>
                <w:lang w:val="en-US" w:eastAsia="zh-CN"/>
              </w:rPr>
              <w:t>0</w:t>
            </w:r>
          </w:p>
        </w:tc>
        <w:tc>
          <w:tcPr>
            <w:tcW w:w="434" w:type="pct"/>
            <w:vAlign w:val="center"/>
          </w:tcPr>
          <w:p w14:paraId="76138EEE">
            <w:pPr>
              <w:widowControl/>
              <w:spacing w:line="400" w:lineRule="exact"/>
              <w:jc w:val="center"/>
              <w:rPr>
                <w:rFonts w:hint="default" w:ascii="Times New Roman" w:hAnsi="Times New Roman" w:eastAsia="方正仿宋_GBK" w:cs="Times New Roman"/>
                <w:color w:val="auto"/>
                <w:sz w:val="24"/>
                <w:szCs w:val="20"/>
              </w:rPr>
            </w:pPr>
            <w:r>
              <w:rPr>
                <w:rFonts w:hint="default" w:ascii="Times New Roman" w:hAnsi="Times New Roman" w:eastAsia="方正仿宋_GBK" w:cs="Times New Roman"/>
                <w:color w:val="auto"/>
                <w:sz w:val="24"/>
                <w:szCs w:val="20"/>
              </w:rPr>
              <w:t>0</w:t>
            </w:r>
          </w:p>
        </w:tc>
        <w:tc>
          <w:tcPr>
            <w:tcW w:w="545" w:type="pct"/>
            <w:vAlign w:val="center"/>
          </w:tcPr>
          <w:p w14:paraId="416E3E5C">
            <w:pPr>
              <w:widowControl/>
              <w:spacing w:line="400" w:lineRule="exact"/>
              <w:jc w:val="center"/>
              <w:rPr>
                <w:rFonts w:hint="default" w:ascii="Times New Roman" w:hAnsi="Times New Roman" w:eastAsia="方正仿宋_GBK" w:cs="Times New Roman"/>
                <w:color w:val="auto"/>
                <w:sz w:val="24"/>
                <w:szCs w:val="20"/>
              </w:rPr>
            </w:pPr>
            <w:r>
              <w:rPr>
                <w:rFonts w:hint="default" w:ascii="Times New Roman" w:hAnsi="Times New Roman" w:eastAsia="方正仿宋_GBK" w:cs="Times New Roman"/>
                <w:color w:val="auto"/>
                <w:sz w:val="24"/>
                <w:szCs w:val="20"/>
              </w:rPr>
              <w:t>0</w:t>
            </w:r>
          </w:p>
        </w:tc>
        <w:tc>
          <w:tcPr>
            <w:tcW w:w="540" w:type="pct"/>
            <w:vAlign w:val="center"/>
          </w:tcPr>
          <w:p w14:paraId="69DE40F8">
            <w:pPr>
              <w:widowControl/>
              <w:spacing w:line="400" w:lineRule="exact"/>
              <w:jc w:val="center"/>
              <w:rPr>
                <w:rFonts w:hint="default" w:ascii="Times New Roman" w:hAnsi="Times New Roman" w:eastAsia="方正仿宋_GBK" w:cs="Times New Roman"/>
                <w:color w:val="auto"/>
                <w:sz w:val="24"/>
                <w:szCs w:val="20"/>
              </w:rPr>
            </w:pPr>
            <w:r>
              <w:rPr>
                <w:rFonts w:hint="default" w:ascii="Times New Roman" w:hAnsi="Times New Roman" w:eastAsia="方正仿宋_GBK" w:cs="Times New Roman"/>
                <w:color w:val="auto"/>
                <w:sz w:val="24"/>
                <w:szCs w:val="20"/>
              </w:rPr>
              <w:t>0</w:t>
            </w:r>
          </w:p>
        </w:tc>
        <w:tc>
          <w:tcPr>
            <w:tcW w:w="865" w:type="pct"/>
            <w:vAlign w:val="center"/>
          </w:tcPr>
          <w:p w14:paraId="2BA43C03">
            <w:pPr>
              <w:widowControl/>
              <w:spacing w:line="400" w:lineRule="exact"/>
              <w:jc w:val="center"/>
              <w:rPr>
                <w:rFonts w:hint="default" w:ascii="Times New Roman" w:hAnsi="Times New Roman" w:eastAsia="方正仿宋_GBK" w:cs="Times New Roman"/>
                <w:color w:val="auto"/>
                <w:sz w:val="24"/>
                <w:szCs w:val="20"/>
              </w:rPr>
            </w:pPr>
            <w:r>
              <w:rPr>
                <w:rFonts w:hint="default" w:ascii="Times New Roman" w:hAnsi="Times New Roman" w:eastAsia="方正仿宋_GBK" w:cs="Times New Roman"/>
                <w:color w:val="auto"/>
                <w:sz w:val="24"/>
                <w:szCs w:val="20"/>
              </w:rPr>
              <w:t>二级</w:t>
            </w:r>
          </w:p>
        </w:tc>
      </w:tr>
      <w:tr w14:paraId="2E110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8" w:type="pct"/>
          </w:tcPr>
          <w:p w14:paraId="2850A783">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default" w:ascii="Times New Roman" w:hAnsi="Times New Roman" w:eastAsia="方正仿宋_GBK" w:cs="Times New Roman"/>
                <w:color w:val="auto"/>
                <w:sz w:val="24"/>
                <w:szCs w:val="20"/>
                <w:lang w:val="en-US" w:eastAsia="zh-CN"/>
              </w:rPr>
              <w:t>2021</w:t>
            </w:r>
          </w:p>
        </w:tc>
        <w:tc>
          <w:tcPr>
            <w:tcW w:w="541" w:type="pct"/>
            <w:vAlign w:val="center"/>
          </w:tcPr>
          <w:p w14:paraId="3822C51F">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default" w:ascii="Times New Roman" w:hAnsi="Times New Roman" w:eastAsia="方正仿宋_GBK" w:cs="Times New Roman"/>
                <w:color w:val="auto"/>
                <w:sz w:val="24"/>
                <w:szCs w:val="20"/>
                <w:lang w:val="en-US" w:eastAsia="zh-CN"/>
              </w:rPr>
              <w:t>361</w:t>
            </w:r>
          </w:p>
        </w:tc>
        <w:tc>
          <w:tcPr>
            <w:tcW w:w="424" w:type="pct"/>
            <w:vAlign w:val="center"/>
          </w:tcPr>
          <w:p w14:paraId="03557FD8">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default" w:ascii="Times New Roman" w:hAnsi="Times New Roman" w:eastAsia="方正仿宋_GBK" w:cs="Times New Roman"/>
                <w:color w:val="auto"/>
                <w:sz w:val="24"/>
                <w:szCs w:val="20"/>
                <w:lang w:val="en-US" w:eastAsia="zh-CN"/>
              </w:rPr>
              <w:t>360</w:t>
            </w:r>
          </w:p>
        </w:tc>
        <w:tc>
          <w:tcPr>
            <w:tcW w:w="672" w:type="pct"/>
            <w:vAlign w:val="center"/>
          </w:tcPr>
          <w:p w14:paraId="5F9C38F6">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default" w:ascii="Times New Roman" w:hAnsi="Times New Roman" w:eastAsia="方正仿宋_GBK" w:cs="Times New Roman"/>
                <w:color w:val="auto"/>
                <w:sz w:val="24"/>
                <w:szCs w:val="20"/>
                <w:lang w:val="en-US" w:eastAsia="zh-CN"/>
              </w:rPr>
              <w:t>99.72</w:t>
            </w:r>
          </w:p>
        </w:tc>
        <w:tc>
          <w:tcPr>
            <w:tcW w:w="456" w:type="pct"/>
            <w:vAlign w:val="center"/>
          </w:tcPr>
          <w:p w14:paraId="1AF99FFF">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default" w:ascii="Times New Roman" w:hAnsi="Times New Roman" w:eastAsia="方正仿宋_GBK" w:cs="Times New Roman"/>
                <w:color w:val="auto"/>
                <w:sz w:val="24"/>
                <w:szCs w:val="20"/>
                <w:lang w:val="en-US" w:eastAsia="zh-CN"/>
              </w:rPr>
              <w:t>1</w:t>
            </w:r>
          </w:p>
        </w:tc>
        <w:tc>
          <w:tcPr>
            <w:tcW w:w="434" w:type="pct"/>
            <w:vAlign w:val="center"/>
          </w:tcPr>
          <w:p w14:paraId="29AACA51">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default" w:ascii="Times New Roman" w:hAnsi="Times New Roman" w:eastAsia="方正仿宋_GBK" w:cs="Times New Roman"/>
                <w:color w:val="auto"/>
                <w:sz w:val="24"/>
                <w:szCs w:val="20"/>
                <w:lang w:val="en-US" w:eastAsia="zh-CN"/>
              </w:rPr>
              <w:t>0</w:t>
            </w:r>
          </w:p>
        </w:tc>
        <w:tc>
          <w:tcPr>
            <w:tcW w:w="545" w:type="pct"/>
            <w:vAlign w:val="center"/>
          </w:tcPr>
          <w:p w14:paraId="3FAAF051">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default" w:ascii="Times New Roman" w:hAnsi="Times New Roman" w:eastAsia="方正仿宋_GBK" w:cs="Times New Roman"/>
                <w:color w:val="auto"/>
                <w:sz w:val="24"/>
                <w:szCs w:val="20"/>
                <w:lang w:val="en-US" w:eastAsia="zh-CN"/>
              </w:rPr>
              <w:t>0</w:t>
            </w:r>
          </w:p>
        </w:tc>
        <w:tc>
          <w:tcPr>
            <w:tcW w:w="540" w:type="pct"/>
            <w:vAlign w:val="center"/>
          </w:tcPr>
          <w:p w14:paraId="0F44F85C">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default" w:ascii="Times New Roman" w:hAnsi="Times New Roman" w:eastAsia="方正仿宋_GBK" w:cs="Times New Roman"/>
                <w:color w:val="auto"/>
                <w:sz w:val="24"/>
                <w:szCs w:val="20"/>
                <w:lang w:val="en-US" w:eastAsia="zh-CN"/>
              </w:rPr>
              <w:t>0</w:t>
            </w:r>
          </w:p>
        </w:tc>
        <w:tc>
          <w:tcPr>
            <w:tcW w:w="865" w:type="pct"/>
            <w:vAlign w:val="center"/>
          </w:tcPr>
          <w:p w14:paraId="0E483F52">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default" w:ascii="Times New Roman" w:hAnsi="Times New Roman" w:eastAsia="方正仿宋_GBK" w:cs="Times New Roman"/>
                <w:color w:val="auto"/>
                <w:sz w:val="24"/>
                <w:szCs w:val="20"/>
                <w:lang w:val="en-US" w:eastAsia="zh-CN"/>
              </w:rPr>
              <w:t>二级</w:t>
            </w:r>
          </w:p>
        </w:tc>
      </w:tr>
    </w:tbl>
    <w:p w14:paraId="28E01781">
      <w:pPr>
        <w:adjustRightInd w:val="0"/>
        <w:snapToGrid w:val="0"/>
        <w:spacing w:line="400" w:lineRule="exact"/>
        <w:jc w:val="center"/>
        <w:rPr>
          <w:rFonts w:hint="default" w:ascii="Times New Roman" w:hAnsi="Times New Roman" w:eastAsia="方正仿宋_GBK" w:cs="Times New Roman"/>
          <w:b/>
          <w:color w:val="auto"/>
          <w:sz w:val="28"/>
          <w:szCs w:val="28"/>
        </w:rPr>
      </w:pPr>
    </w:p>
    <w:p w14:paraId="61CAD73B">
      <w:pPr>
        <w:adjustRightInd w:val="0"/>
        <w:snapToGrid w:val="0"/>
        <w:spacing w:line="400" w:lineRule="exact"/>
        <w:jc w:val="center"/>
        <w:rPr>
          <w:rFonts w:hint="default" w:ascii="Times New Roman" w:hAnsi="Times New Roman" w:eastAsia="方正仿宋_GBK" w:cs="Times New Roman"/>
          <w:b/>
          <w:color w:val="auto"/>
          <w:sz w:val="28"/>
          <w:szCs w:val="28"/>
        </w:rPr>
      </w:pPr>
      <w:r>
        <w:rPr>
          <w:rFonts w:hint="default" w:ascii="Times New Roman" w:hAnsi="Times New Roman" w:eastAsia="方正仿宋_GBK" w:cs="Times New Roman"/>
          <w:b/>
          <w:color w:val="auto"/>
          <w:sz w:val="28"/>
          <w:szCs w:val="28"/>
        </w:rPr>
        <w:t>表</w:t>
      </w:r>
      <w:r>
        <w:rPr>
          <w:rFonts w:hint="default" w:ascii="Times New Roman" w:hAnsi="Times New Roman" w:eastAsia="方正仿宋_GBK" w:cs="Times New Roman"/>
          <w:b w:val="0"/>
          <w:bCs w:val="0"/>
          <w:color w:val="auto"/>
          <w:sz w:val="32"/>
          <w:szCs w:val="32"/>
          <w:lang w:val="en-US" w:eastAsia="zh-CN"/>
        </w:rPr>
        <w:t>2.1.5.2-2</w:t>
      </w:r>
      <w:r>
        <w:rPr>
          <w:rFonts w:hint="default" w:ascii="Times New Roman" w:hAnsi="Times New Roman" w:eastAsia="方正仿宋_GBK" w:cs="Times New Roman"/>
          <w:b/>
          <w:color w:val="auto"/>
          <w:sz w:val="28"/>
          <w:szCs w:val="28"/>
          <w:lang w:eastAsia="zh-CN"/>
        </w:rPr>
        <w:t>新平县</w:t>
      </w:r>
      <w:r>
        <w:rPr>
          <w:rFonts w:hint="default" w:ascii="Times New Roman" w:hAnsi="Times New Roman" w:eastAsia="方正仿宋_GBK" w:cs="Times New Roman"/>
          <w:b/>
          <w:color w:val="auto"/>
          <w:sz w:val="28"/>
          <w:szCs w:val="28"/>
        </w:rPr>
        <w:t>201</w:t>
      </w:r>
      <w:r>
        <w:rPr>
          <w:rFonts w:hint="eastAsia" w:ascii="Times New Roman" w:hAnsi="Times New Roman" w:eastAsia="方正仿宋_GBK" w:cs="Times New Roman"/>
          <w:b/>
          <w:color w:val="auto"/>
          <w:sz w:val="28"/>
          <w:szCs w:val="28"/>
          <w:lang w:val="en-US" w:eastAsia="zh-CN"/>
        </w:rPr>
        <w:t>7—</w:t>
      </w:r>
      <w:r>
        <w:rPr>
          <w:rFonts w:hint="default" w:ascii="Times New Roman" w:hAnsi="Times New Roman" w:eastAsia="方正仿宋_GBK" w:cs="Times New Roman"/>
          <w:b/>
          <w:color w:val="auto"/>
          <w:sz w:val="28"/>
          <w:szCs w:val="28"/>
        </w:rPr>
        <w:t>2021年空气主要污染物统计表</w:t>
      </w:r>
    </w:p>
    <w:p w14:paraId="3E58E53E">
      <w:pPr>
        <w:adjustRightInd w:val="0"/>
        <w:snapToGrid w:val="0"/>
        <w:spacing w:line="400" w:lineRule="exact"/>
        <w:jc w:val="center"/>
        <w:rPr>
          <w:rFonts w:hint="default" w:ascii="Times New Roman" w:hAnsi="Times New Roman" w:eastAsia="方正仿宋_GBK" w:cs="Times New Roman"/>
          <w:bCs/>
          <w:color w:val="auto"/>
          <w:sz w:val="24"/>
        </w:rPr>
      </w:pPr>
      <w:r>
        <w:rPr>
          <w:rFonts w:hint="default" w:ascii="Times New Roman" w:hAnsi="Times New Roman" w:eastAsia="方正仿宋_GBK" w:cs="Times New Roman"/>
          <w:bCs/>
          <w:color w:val="auto"/>
          <w:sz w:val="24"/>
        </w:rPr>
        <w:t>单位：(CO单位mg/m³，其余单位ug/m³)</w:t>
      </w:r>
    </w:p>
    <w:tbl>
      <w:tblPr>
        <w:tblStyle w:val="25"/>
        <w:tblW w:w="86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1221"/>
        <w:gridCol w:w="1330"/>
        <w:gridCol w:w="1181"/>
        <w:gridCol w:w="1243"/>
        <w:gridCol w:w="1625"/>
        <w:gridCol w:w="1242"/>
      </w:tblGrid>
      <w:tr w14:paraId="5D7BD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8" w:hRule="atLeast"/>
          <w:jc w:val="center"/>
        </w:trPr>
        <w:tc>
          <w:tcPr>
            <w:tcW w:w="765" w:type="dxa"/>
            <w:tcBorders>
              <w:left w:val="single" w:color="auto" w:sz="4" w:space="0"/>
              <w:right w:val="single" w:color="auto" w:sz="4" w:space="0"/>
            </w:tcBorders>
            <w:vAlign w:val="center"/>
          </w:tcPr>
          <w:p w14:paraId="5B2725DF">
            <w:pPr>
              <w:widowControl/>
              <w:spacing w:line="400" w:lineRule="exact"/>
              <w:jc w:val="center"/>
              <w:rPr>
                <w:rFonts w:hint="default" w:ascii="Times New Roman" w:hAnsi="Times New Roman" w:eastAsia="方正仿宋_GBK" w:cs="Times New Roman"/>
                <w:b/>
                <w:bCs/>
                <w:color w:val="auto"/>
                <w:sz w:val="24"/>
                <w:szCs w:val="20"/>
              </w:rPr>
            </w:pPr>
            <w:r>
              <w:rPr>
                <w:rFonts w:hint="default" w:ascii="Times New Roman" w:hAnsi="Times New Roman" w:eastAsia="方正仿宋_GBK" w:cs="Times New Roman"/>
                <w:b/>
                <w:bCs/>
                <w:color w:val="auto"/>
                <w:sz w:val="24"/>
                <w:szCs w:val="20"/>
              </w:rPr>
              <w:t>年度</w:t>
            </w:r>
          </w:p>
        </w:tc>
        <w:tc>
          <w:tcPr>
            <w:tcW w:w="1221" w:type="dxa"/>
            <w:tcBorders>
              <w:left w:val="single" w:color="auto" w:sz="4" w:space="0"/>
              <w:right w:val="single" w:color="auto" w:sz="4" w:space="0"/>
            </w:tcBorders>
            <w:vAlign w:val="center"/>
          </w:tcPr>
          <w:p w14:paraId="70E8E7AB">
            <w:pPr>
              <w:widowControl/>
              <w:spacing w:line="400" w:lineRule="exact"/>
              <w:jc w:val="center"/>
              <w:rPr>
                <w:rFonts w:hint="default" w:ascii="Times New Roman" w:hAnsi="Times New Roman" w:eastAsia="方正仿宋_GBK" w:cs="Times New Roman"/>
                <w:b/>
                <w:bCs/>
                <w:color w:val="auto"/>
                <w:sz w:val="24"/>
                <w:szCs w:val="20"/>
              </w:rPr>
            </w:pPr>
            <w:r>
              <w:rPr>
                <w:rFonts w:hint="default" w:ascii="Times New Roman" w:hAnsi="Times New Roman" w:eastAsia="方正仿宋_GBK" w:cs="Times New Roman"/>
                <w:b/>
                <w:bCs/>
                <w:color w:val="auto"/>
                <w:sz w:val="24"/>
                <w:szCs w:val="20"/>
              </w:rPr>
              <w:t>二氧化硫（SO</w:t>
            </w:r>
            <w:r>
              <w:rPr>
                <w:rFonts w:hint="default" w:ascii="Times New Roman" w:hAnsi="Times New Roman" w:eastAsia="方正仿宋_GBK" w:cs="Times New Roman"/>
                <w:b/>
                <w:bCs/>
                <w:color w:val="auto"/>
                <w:sz w:val="24"/>
                <w:szCs w:val="20"/>
                <w:vertAlign w:val="subscript"/>
              </w:rPr>
              <w:t>2</w:t>
            </w:r>
            <w:r>
              <w:rPr>
                <w:rFonts w:hint="default" w:ascii="Times New Roman" w:hAnsi="Times New Roman" w:eastAsia="方正仿宋_GBK" w:cs="Times New Roman"/>
                <w:b/>
                <w:bCs/>
                <w:color w:val="auto"/>
                <w:sz w:val="24"/>
                <w:szCs w:val="20"/>
              </w:rPr>
              <w:t>）</w:t>
            </w:r>
          </w:p>
        </w:tc>
        <w:tc>
          <w:tcPr>
            <w:tcW w:w="1330" w:type="dxa"/>
            <w:tcBorders>
              <w:left w:val="single" w:color="auto" w:sz="4" w:space="0"/>
              <w:right w:val="single" w:color="auto" w:sz="4" w:space="0"/>
            </w:tcBorders>
            <w:vAlign w:val="center"/>
          </w:tcPr>
          <w:p w14:paraId="02725936">
            <w:pPr>
              <w:widowControl/>
              <w:spacing w:line="400" w:lineRule="exact"/>
              <w:jc w:val="center"/>
              <w:rPr>
                <w:rFonts w:hint="default" w:ascii="Times New Roman" w:hAnsi="Times New Roman" w:eastAsia="方正仿宋_GBK" w:cs="Times New Roman"/>
                <w:b/>
                <w:bCs/>
                <w:color w:val="auto"/>
                <w:sz w:val="24"/>
                <w:szCs w:val="20"/>
              </w:rPr>
            </w:pPr>
            <w:r>
              <w:rPr>
                <w:rFonts w:hint="default" w:ascii="Times New Roman" w:hAnsi="Times New Roman" w:eastAsia="方正仿宋_GBK" w:cs="Times New Roman"/>
                <w:b/>
                <w:bCs/>
                <w:color w:val="auto"/>
                <w:sz w:val="24"/>
                <w:szCs w:val="20"/>
              </w:rPr>
              <w:t>二氧化氮（NO</w:t>
            </w:r>
            <w:r>
              <w:rPr>
                <w:rFonts w:hint="default" w:ascii="Times New Roman" w:hAnsi="Times New Roman" w:eastAsia="方正仿宋_GBK" w:cs="Times New Roman"/>
                <w:b/>
                <w:bCs/>
                <w:color w:val="auto"/>
                <w:sz w:val="24"/>
                <w:szCs w:val="20"/>
                <w:vertAlign w:val="subscript"/>
              </w:rPr>
              <w:t>2</w:t>
            </w:r>
            <w:r>
              <w:rPr>
                <w:rFonts w:hint="default" w:ascii="Times New Roman" w:hAnsi="Times New Roman" w:eastAsia="方正仿宋_GBK" w:cs="Times New Roman"/>
                <w:b/>
                <w:bCs/>
                <w:color w:val="auto"/>
                <w:sz w:val="24"/>
                <w:szCs w:val="20"/>
              </w:rPr>
              <w:t>）</w:t>
            </w:r>
          </w:p>
        </w:tc>
        <w:tc>
          <w:tcPr>
            <w:tcW w:w="1181" w:type="dxa"/>
            <w:tcBorders>
              <w:left w:val="single" w:color="auto" w:sz="4" w:space="0"/>
              <w:right w:val="single" w:color="auto" w:sz="4" w:space="0"/>
            </w:tcBorders>
            <w:vAlign w:val="center"/>
          </w:tcPr>
          <w:p w14:paraId="3862E5F3">
            <w:pPr>
              <w:widowControl/>
              <w:spacing w:line="400" w:lineRule="exact"/>
              <w:jc w:val="center"/>
              <w:rPr>
                <w:rFonts w:hint="default" w:ascii="Times New Roman" w:hAnsi="Times New Roman" w:eastAsia="方正仿宋_GBK" w:cs="Times New Roman"/>
                <w:b/>
                <w:bCs/>
                <w:color w:val="auto"/>
                <w:sz w:val="24"/>
                <w:szCs w:val="20"/>
              </w:rPr>
            </w:pPr>
            <w:r>
              <w:rPr>
                <w:rFonts w:hint="default" w:ascii="Times New Roman" w:hAnsi="Times New Roman" w:eastAsia="方正仿宋_GBK" w:cs="Times New Roman"/>
                <w:b/>
                <w:bCs/>
                <w:color w:val="auto"/>
                <w:sz w:val="24"/>
                <w:szCs w:val="20"/>
              </w:rPr>
              <w:t>一氧化碳（CO）</w:t>
            </w:r>
          </w:p>
        </w:tc>
        <w:tc>
          <w:tcPr>
            <w:tcW w:w="1243" w:type="dxa"/>
            <w:tcBorders>
              <w:left w:val="single" w:color="auto" w:sz="4" w:space="0"/>
              <w:right w:val="single" w:color="auto" w:sz="4" w:space="0"/>
            </w:tcBorders>
            <w:vAlign w:val="center"/>
          </w:tcPr>
          <w:p w14:paraId="511E662E">
            <w:pPr>
              <w:widowControl/>
              <w:spacing w:line="400" w:lineRule="exact"/>
              <w:jc w:val="center"/>
              <w:rPr>
                <w:rFonts w:hint="default" w:ascii="Times New Roman" w:hAnsi="Times New Roman" w:eastAsia="方正仿宋_GBK" w:cs="Times New Roman"/>
                <w:b/>
                <w:bCs/>
                <w:color w:val="auto"/>
                <w:sz w:val="24"/>
                <w:szCs w:val="20"/>
              </w:rPr>
            </w:pPr>
            <w:r>
              <w:rPr>
                <w:rFonts w:hint="default" w:ascii="Times New Roman" w:hAnsi="Times New Roman" w:eastAsia="方正仿宋_GBK" w:cs="Times New Roman"/>
                <w:b/>
                <w:bCs/>
                <w:color w:val="auto"/>
                <w:sz w:val="24"/>
                <w:szCs w:val="20"/>
              </w:rPr>
              <w:t>臭氧（O</w:t>
            </w:r>
            <w:r>
              <w:rPr>
                <w:rFonts w:hint="default" w:ascii="Times New Roman" w:hAnsi="Times New Roman" w:eastAsia="方正仿宋_GBK" w:cs="Times New Roman"/>
                <w:b/>
                <w:bCs/>
                <w:color w:val="auto"/>
                <w:sz w:val="24"/>
                <w:szCs w:val="20"/>
                <w:vertAlign w:val="subscript"/>
              </w:rPr>
              <w:t>3-</w:t>
            </w:r>
            <w:r>
              <w:rPr>
                <w:rFonts w:hint="default" w:ascii="Times New Roman" w:hAnsi="Times New Roman" w:eastAsia="方正仿宋_GBK" w:cs="Times New Roman"/>
                <w:b/>
                <w:bCs/>
                <w:color w:val="auto"/>
                <w:sz w:val="24"/>
                <w:szCs w:val="20"/>
              </w:rPr>
              <w:t>8h）</w:t>
            </w:r>
          </w:p>
        </w:tc>
        <w:tc>
          <w:tcPr>
            <w:tcW w:w="1625" w:type="dxa"/>
            <w:tcBorders>
              <w:left w:val="single" w:color="auto" w:sz="4" w:space="0"/>
              <w:right w:val="single" w:color="auto" w:sz="4" w:space="0"/>
            </w:tcBorders>
            <w:vAlign w:val="center"/>
          </w:tcPr>
          <w:p w14:paraId="4529F047">
            <w:pPr>
              <w:widowControl/>
              <w:spacing w:line="400" w:lineRule="exact"/>
              <w:jc w:val="center"/>
              <w:rPr>
                <w:rFonts w:hint="default" w:ascii="Times New Roman" w:hAnsi="Times New Roman" w:eastAsia="方正仿宋_GBK" w:cs="Times New Roman"/>
                <w:b/>
                <w:bCs/>
                <w:color w:val="auto"/>
                <w:sz w:val="24"/>
                <w:szCs w:val="20"/>
              </w:rPr>
            </w:pPr>
            <w:r>
              <w:rPr>
                <w:rFonts w:hint="default" w:ascii="Times New Roman" w:hAnsi="Times New Roman" w:eastAsia="方正仿宋_GBK" w:cs="Times New Roman"/>
                <w:b/>
                <w:bCs/>
                <w:color w:val="auto"/>
                <w:sz w:val="24"/>
                <w:szCs w:val="20"/>
              </w:rPr>
              <w:t>可吸入颗粒物（PM</w:t>
            </w:r>
            <w:r>
              <w:rPr>
                <w:rFonts w:hint="default" w:ascii="Times New Roman" w:hAnsi="Times New Roman" w:eastAsia="方正仿宋_GBK" w:cs="Times New Roman"/>
                <w:b/>
                <w:bCs/>
                <w:color w:val="auto"/>
                <w:sz w:val="24"/>
                <w:szCs w:val="20"/>
                <w:vertAlign w:val="subscript"/>
              </w:rPr>
              <w:t>10</w:t>
            </w:r>
            <w:r>
              <w:rPr>
                <w:rFonts w:hint="default" w:ascii="Times New Roman" w:hAnsi="Times New Roman" w:eastAsia="方正仿宋_GBK" w:cs="Times New Roman"/>
                <w:b/>
                <w:bCs/>
                <w:color w:val="auto"/>
                <w:sz w:val="24"/>
                <w:szCs w:val="20"/>
              </w:rPr>
              <w:t>）</w:t>
            </w:r>
          </w:p>
        </w:tc>
        <w:tc>
          <w:tcPr>
            <w:tcW w:w="1242" w:type="dxa"/>
            <w:tcBorders>
              <w:left w:val="single" w:color="auto" w:sz="4" w:space="0"/>
            </w:tcBorders>
            <w:vAlign w:val="center"/>
          </w:tcPr>
          <w:p w14:paraId="52DC95DC">
            <w:pPr>
              <w:widowControl/>
              <w:spacing w:line="400" w:lineRule="exact"/>
              <w:jc w:val="center"/>
              <w:rPr>
                <w:rFonts w:hint="default" w:ascii="Times New Roman" w:hAnsi="Times New Roman" w:eastAsia="方正仿宋_GBK" w:cs="Times New Roman"/>
                <w:b/>
                <w:bCs/>
                <w:color w:val="auto"/>
                <w:sz w:val="24"/>
                <w:szCs w:val="20"/>
              </w:rPr>
            </w:pPr>
            <w:r>
              <w:rPr>
                <w:rFonts w:hint="default" w:ascii="Times New Roman" w:hAnsi="Times New Roman" w:eastAsia="方正仿宋_GBK" w:cs="Times New Roman"/>
                <w:b/>
                <w:bCs/>
                <w:color w:val="auto"/>
                <w:sz w:val="24"/>
                <w:szCs w:val="20"/>
              </w:rPr>
              <w:t>细颗粒（PM</w:t>
            </w:r>
            <w:r>
              <w:rPr>
                <w:rFonts w:hint="default" w:ascii="Times New Roman" w:hAnsi="Times New Roman" w:eastAsia="方正仿宋_GBK" w:cs="Times New Roman"/>
                <w:b/>
                <w:bCs/>
                <w:color w:val="auto"/>
                <w:sz w:val="24"/>
                <w:szCs w:val="20"/>
                <w:vertAlign w:val="subscript"/>
              </w:rPr>
              <w:t>2.5</w:t>
            </w:r>
            <w:r>
              <w:rPr>
                <w:rFonts w:hint="default" w:ascii="Times New Roman" w:hAnsi="Times New Roman" w:eastAsia="方正仿宋_GBK" w:cs="Times New Roman"/>
                <w:b/>
                <w:bCs/>
                <w:color w:val="auto"/>
                <w:sz w:val="24"/>
                <w:szCs w:val="20"/>
              </w:rPr>
              <w:t>）</w:t>
            </w:r>
          </w:p>
        </w:tc>
      </w:tr>
      <w:tr w14:paraId="0AC54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765" w:type="dxa"/>
            <w:tcBorders>
              <w:left w:val="single" w:color="auto" w:sz="4" w:space="0"/>
              <w:right w:val="single" w:color="auto" w:sz="4" w:space="0"/>
            </w:tcBorders>
            <w:vAlign w:val="center"/>
          </w:tcPr>
          <w:p w14:paraId="641E252F">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default" w:ascii="Times New Roman" w:hAnsi="Times New Roman" w:eastAsia="方正仿宋_GBK" w:cs="Times New Roman"/>
                <w:color w:val="auto"/>
                <w:sz w:val="24"/>
                <w:szCs w:val="20"/>
                <w:lang w:val="en-US" w:eastAsia="zh-CN"/>
              </w:rPr>
              <w:t>2017</w:t>
            </w:r>
          </w:p>
        </w:tc>
        <w:tc>
          <w:tcPr>
            <w:tcW w:w="1221" w:type="dxa"/>
            <w:tcBorders>
              <w:left w:val="single" w:color="auto" w:sz="4" w:space="0"/>
              <w:right w:val="single" w:color="auto" w:sz="4" w:space="0"/>
            </w:tcBorders>
            <w:vAlign w:val="center"/>
          </w:tcPr>
          <w:p w14:paraId="09A1C929">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default" w:ascii="Times New Roman" w:hAnsi="Times New Roman" w:eastAsia="方正仿宋_GBK" w:cs="Times New Roman"/>
                <w:color w:val="auto"/>
                <w:sz w:val="24"/>
                <w:szCs w:val="20"/>
                <w:lang w:val="en-US" w:eastAsia="zh-CN"/>
              </w:rPr>
              <w:t>9</w:t>
            </w:r>
          </w:p>
        </w:tc>
        <w:tc>
          <w:tcPr>
            <w:tcW w:w="1330" w:type="dxa"/>
            <w:tcBorders>
              <w:left w:val="single" w:color="auto" w:sz="4" w:space="0"/>
              <w:right w:val="single" w:color="auto" w:sz="4" w:space="0"/>
            </w:tcBorders>
            <w:vAlign w:val="center"/>
          </w:tcPr>
          <w:p w14:paraId="70A7A76C">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default" w:ascii="Times New Roman" w:hAnsi="Times New Roman" w:eastAsia="方正仿宋_GBK" w:cs="Times New Roman"/>
                <w:color w:val="auto"/>
                <w:sz w:val="24"/>
                <w:szCs w:val="20"/>
                <w:lang w:val="en-US" w:eastAsia="zh-CN"/>
              </w:rPr>
              <w:t>10</w:t>
            </w:r>
          </w:p>
        </w:tc>
        <w:tc>
          <w:tcPr>
            <w:tcW w:w="1181" w:type="dxa"/>
            <w:tcBorders>
              <w:left w:val="single" w:color="auto" w:sz="4" w:space="0"/>
              <w:right w:val="single" w:color="auto" w:sz="4" w:space="0"/>
            </w:tcBorders>
            <w:vAlign w:val="center"/>
          </w:tcPr>
          <w:p w14:paraId="08411255">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default" w:ascii="Times New Roman" w:hAnsi="Times New Roman" w:eastAsia="方正仿宋_GBK" w:cs="Times New Roman"/>
                <w:color w:val="auto"/>
                <w:sz w:val="24"/>
                <w:szCs w:val="20"/>
                <w:lang w:val="en-US" w:eastAsia="zh-CN"/>
              </w:rPr>
              <w:t>1.2</w:t>
            </w:r>
          </w:p>
        </w:tc>
        <w:tc>
          <w:tcPr>
            <w:tcW w:w="1243" w:type="dxa"/>
            <w:tcBorders>
              <w:left w:val="single" w:color="auto" w:sz="4" w:space="0"/>
              <w:right w:val="single" w:color="auto" w:sz="4" w:space="0"/>
            </w:tcBorders>
            <w:vAlign w:val="center"/>
          </w:tcPr>
          <w:p w14:paraId="3EDABD2E">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default" w:ascii="Times New Roman" w:hAnsi="Times New Roman" w:eastAsia="方正仿宋_GBK" w:cs="Times New Roman"/>
                <w:color w:val="auto"/>
                <w:sz w:val="24"/>
                <w:szCs w:val="20"/>
                <w:lang w:val="en-US" w:eastAsia="zh-CN"/>
              </w:rPr>
              <w:t>121</w:t>
            </w:r>
          </w:p>
        </w:tc>
        <w:tc>
          <w:tcPr>
            <w:tcW w:w="1625" w:type="dxa"/>
            <w:tcBorders>
              <w:left w:val="single" w:color="auto" w:sz="4" w:space="0"/>
              <w:right w:val="single" w:color="auto" w:sz="4" w:space="0"/>
            </w:tcBorders>
            <w:vAlign w:val="center"/>
          </w:tcPr>
          <w:p w14:paraId="6847CEBC">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default" w:ascii="Times New Roman" w:hAnsi="Times New Roman" w:eastAsia="方正仿宋_GBK" w:cs="Times New Roman"/>
                <w:color w:val="auto"/>
                <w:sz w:val="24"/>
                <w:szCs w:val="20"/>
                <w:lang w:val="en-US" w:eastAsia="zh-CN"/>
              </w:rPr>
              <w:t>29</w:t>
            </w:r>
          </w:p>
        </w:tc>
        <w:tc>
          <w:tcPr>
            <w:tcW w:w="1242" w:type="dxa"/>
            <w:tcBorders>
              <w:left w:val="single" w:color="auto" w:sz="4" w:space="0"/>
            </w:tcBorders>
            <w:vAlign w:val="center"/>
          </w:tcPr>
          <w:p w14:paraId="46D95E9B">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default" w:ascii="Times New Roman" w:hAnsi="Times New Roman" w:eastAsia="方正仿宋_GBK" w:cs="Times New Roman"/>
                <w:color w:val="auto"/>
                <w:sz w:val="24"/>
                <w:szCs w:val="20"/>
                <w:lang w:val="en-US" w:eastAsia="zh-CN"/>
              </w:rPr>
              <w:t>18</w:t>
            </w:r>
          </w:p>
        </w:tc>
      </w:tr>
      <w:tr w14:paraId="67A7F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exact"/>
          <w:jc w:val="center"/>
        </w:trPr>
        <w:tc>
          <w:tcPr>
            <w:tcW w:w="765" w:type="dxa"/>
            <w:tcBorders>
              <w:top w:val="single" w:color="auto" w:sz="4" w:space="0"/>
            </w:tcBorders>
            <w:vAlign w:val="center"/>
          </w:tcPr>
          <w:p w14:paraId="37BAE051">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default" w:ascii="Times New Roman" w:hAnsi="Times New Roman" w:eastAsia="方正仿宋_GBK" w:cs="Times New Roman"/>
                <w:color w:val="auto"/>
                <w:sz w:val="24"/>
                <w:szCs w:val="20"/>
                <w:lang w:val="en-US" w:eastAsia="zh-CN"/>
              </w:rPr>
              <w:t>2018</w:t>
            </w:r>
          </w:p>
        </w:tc>
        <w:tc>
          <w:tcPr>
            <w:tcW w:w="1221" w:type="dxa"/>
            <w:tcBorders>
              <w:top w:val="single" w:color="auto" w:sz="4" w:space="0"/>
            </w:tcBorders>
            <w:vAlign w:val="center"/>
          </w:tcPr>
          <w:p w14:paraId="2DE24C13">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default" w:ascii="Times New Roman" w:hAnsi="Times New Roman" w:eastAsia="方正仿宋_GBK" w:cs="Times New Roman"/>
                <w:color w:val="auto"/>
                <w:sz w:val="24"/>
                <w:szCs w:val="20"/>
                <w:lang w:val="en-US" w:eastAsia="zh-CN"/>
              </w:rPr>
              <w:t>6</w:t>
            </w:r>
          </w:p>
        </w:tc>
        <w:tc>
          <w:tcPr>
            <w:tcW w:w="1330" w:type="dxa"/>
            <w:tcBorders>
              <w:top w:val="single" w:color="auto" w:sz="4" w:space="0"/>
            </w:tcBorders>
            <w:vAlign w:val="center"/>
          </w:tcPr>
          <w:p w14:paraId="7CAFF867">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default" w:ascii="Times New Roman" w:hAnsi="Times New Roman" w:eastAsia="方正仿宋_GBK" w:cs="Times New Roman"/>
                <w:color w:val="auto"/>
                <w:sz w:val="24"/>
                <w:szCs w:val="20"/>
                <w:lang w:val="en-US" w:eastAsia="zh-CN"/>
              </w:rPr>
              <w:t>10</w:t>
            </w:r>
          </w:p>
        </w:tc>
        <w:tc>
          <w:tcPr>
            <w:tcW w:w="1181" w:type="dxa"/>
            <w:tcBorders>
              <w:top w:val="single" w:color="auto" w:sz="4" w:space="0"/>
            </w:tcBorders>
            <w:vAlign w:val="center"/>
          </w:tcPr>
          <w:p w14:paraId="462DC285">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default" w:ascii="Times New Roman" w:hAnsi="Times New Roman" w:eastAsia="方正仿宋_GBK" w:cs="Times New Roman"/>
                <w:color w:val="auto"/>
                <w:sz w:val="24"/>
                <w:szCs w:val="20"/>
                <w:lang w:val="en-US" w:eastAsia="zh-CN"/>
              </w:rPr>
              <w:t>0.9</w:t>
            </w:r>
          </w:p>
        </w:tc>
        <w:tc>
          <w:tcPr>
            <w:tcW w:w="1243" w:type="dxa"/>
            <w:tcBorders>
              <w:top w:val="single" w:color="auto" w:sz="4" w:space="0"/>
            </w:tcBorders>
            <w:vAlign w:val="center"/>
          </w:tcPr>
          <w:p w14:paraId="17931111">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default" w:ascii="Times New Roman" w:hAnsi="Times New Roman" w:eastAsia="方正仿宋_GBK" w:cs="Times New Roman"/>
                <w:color w:val="auto"/>
                <w:sz w:val="24"/>
                <w:szCs w:val="20"/>
                <w:lang w:val="en-US" w:eastAsia="zh-CN"/>
              </w:rPr>
              <w:t>122</w:t>
            </w:r>
          </w:p>
        </w:tc>
        <w:tc>
          <w:tcPr>
            <w:tcW w:w="1625" w:type="dxa"/>
            <w:tcBorders>
              <w:top w:val="single" w:color="auto" w:sz="4" w:space="0"/>
              <w:bottom w:val="single" w:color="auto" w:sz="8" w:space="0"/>
            </w:tcBorders>
            <w:vAlign w:val="center"/>
          </w:tcPr>
          <w:p w14:paraId="04B60FF2">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default" w:ascii="Times New Roman" w:hAnsi="Times New Roman" w:eastAsia="方正仿宋_GBK" w:cs="Times New Roman"/>
                <w:color w:val="auto"/>
                <w:sz w:val="24"/>
                <w:szCs w:val="20"/>
                <w:lang w:val="en-US" w:eastAsia="zh-CN"/>
              </w:rPr>
              <w:t>34</w:t>
            </w:r>
          </w:p>
        </w:tc>
        <w:tc>
          <w:tcPr>
            <w:tcW w:w="1242" w:type="dxa"/>
            <w:tcBorders>
              <w:top w:val="single" w:color="auto" w:sz="4" w:space="0"/>
              <w:bottom w:val="single" w:color="auto" w:sz="8" w:space="0"/>
              <w:right w:val="single" w:color="auto" w:sz="4" w:space="0"/>
            </w:tcBorders>
            <w:vAlign w:val="center"/>
          </w:tcPr>
          <w:p w14:paraId="03EC672C">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default" w:ascii="Times New Roman" w:hAnsi="Times New Roman" w:eastAsia="方正仿宋_GBK" w:cs="Times New Roman"/>
                <w:color w:val="auto"/>
                <w:sz w:val="24"/>
                <w:szCs w:val="20"/>
                <w:lang w:val="en-US" w:eastAsia="zh-CN"/>
              </w:rPr>
              <w:t>19</w:t>
            </w:r>
          </w:p>
        </w:tc>
      </w:tr>
      <w:tr w14:paraId="61A68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exact"/>
          <w:jc w:val="center"/>
        </w:trPr>
        <w:tc>
          <w:tcPr>
            <w:tcW w:w="765" w:type="dxa"/>
            <w:vAlign w:val="center"/>
          </w:tcPr>
          <w:p w14:paraId="16FC482E">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default" w:ascii="Times New Roman" w:hAnsi="Times New Roman" w:eastAsia="方正仿宋_GBK" w:cs="Times New Roman"/>
                <w:color w:val="auto"/>
                <w:sz w:val="24"/>
                <w:szCs w:val="20"/>
                <w:lang w:val="en-US" w:eastAsia="zh-CN"/>
              </w:rPr>
              <w:t>2019</w:t>
            </w:r>
          </w:p>
        </w:tc>
        <w:tc>
          <w:tcPr>
            <w:tcW w:w="1221" w:type="dxa"/>
            <w:vAlign w:val="center"/>
          </w:tcPr>
          <w:p w14:paraId="3006BC72">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default" w:ascii="Times New Roman" w:hAnsi="Times New Roman" w:eastAsia="方正仿宋_GBK" w:cs="Times New Roman"/>
                <w:color w:val="auto"/>
                <w:sz w:val="24"/>
                <w:szCs w:val="20"/>
                <w:lang w:val="en-US" w:eastAsia="zh-CN"/>
              </w:rPr>
              <w:t>5</w:t>
            </w:r>
          </w:p>
        </w:tc>
        <w:tc>
          <w:tcPr>
            <w:tcW w:w="1330" w:type="dxa"/>
            <w:vAlign w:val="center"/>
          </w:tcPr>
          <w:p w14:paraId="0E7FDBC3">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default" w:ascii="Times New Roman" w:hAnsi="Times New Roman" w:eastAsia="方正仿宋_GBK" w:cs="Times New Roman"/>
                <w:color w:val="auto"/>
                <w:sz w:val="24"/>
                <w:szCs w:val="20"/>
                <w:lang w:val="en-US" w:eastAsia="zh-CN"/>
              </w:rPr>
              <w:t>9</w:t>
            </w:r>
          </w:p>
        </w:tc>
        <w:tc>
          <w:tcPr>
            <w:tcW w:w="1181" w:type="dxa"/>
            <w:vAlign w:val="center"/>
          </w:tcPr>
          <w:p w14:paraId="14CA295D">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default" w:ascii="Times New Roman" w:hAnsi="Times New Roman" w:eastAsia="方正仿宋_GBK" w:cs="Times New Roman"/>
                <w:color w:val="auto"/>
                <w:sz w:val="24"/>
                <w:szCs w:val="20"/>
                <w:lang w:val="en-US" w:eastAsia="zh-CN"/>
              </w:rPr>
              <w:t>0.8</w:t>
            </w:r>
          </w:p>
        </w:tc>
        <w:tc>
          <w:tcPr>
            <w:tcW w:w="1243" w:type="dxa"/>
            <w:vAlign w:val="center"/>
          </w:tcPr>
          <w:p w14:paraId="2AD0B6F4">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default" w:ascii="Times New Roman" w:hAnsi="Times New Roman" w:eastAsia="方正仿宋_GBK" w:cs="Times New Roman"/>
                <w:color w:val="auto"/>
                <w:sz w:val="24"/>
                <w:szCs w:val="20"/>
                <w:lang w:val="en-US" w:eastAsia="zh-CN"/>
              </w:rPr>
              <w:t>132</w:t>
            </w:r>
          </w:p>
        </w:tc>
        <w:tc>
          <w:tcPr>
            <w:tcW w:w="1625" w:type="dxa"/>
            <w:vAlign w:val="center"/>
          </w:tcPr>
          <w:p w14:paraId="6C58EA08">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default" w:ascii="Times New Roman" w:hAnsi="Times New Roman" w:eastAsia="方正仿宋_GBK" w:cs="Times New Roman"/>
                <w:color w:val="auto"/>
                <w:sz w:val="24"/>
                <w:szCs w:val="20"/>
                <w:lang w:val="en-US" w:eastAsia="zh-CN"/>
              </w:rPr>
              <w:t>30</w:t>
            </w:r>
          </w:p>
        </w:tc>
        <w:tc>
          <w:tcPr>
            <w:tcW w:w="1242" w:type="dxa"/>
            <w:tcBorders>
              <w:bottom w:val="single" w:color="auto" w:sz="8" w:space="0"/>
              <w:right w:val="single" w:color="auto" w:sz="4" w:space="0"/>
            </w:tcBorders>
            <w:vAlign w:val="center"/>
          </w:tcPr>
          <w:p w14:paraId="468D7A88">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default" w:ascii="Times New Roman" w:hAnsi="Times New Roman" w:eastAsia="方正仿宋_GBK" w:cs="Times New Roman"/>
                <w:color w:val="auto"/>
                <w:sz w:val="24"/>
                <w:szCs w:val="20"/>
                <w:lang w:val="en-US" w:eastAsia="zh-CN"/>
              </w:rPr>
              <w:t>18</w:t>
            </w:r>
          </w:p>
        </w:tc>
      </w:tr>
      <w:tr w14:paraId="20FA2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exact"/>
          <w:jc w:val="center"/>
        </w:trPr>
        <w:tc>
          <w:tcPr>
            <w:tcW w:w="765" w:type="dxa"/>
            <w:vAlign w:val="center"/>
          </w:tcPr>
          <w:p w14:paraId="749C78A6">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default" w:ascii="Times New Roman" w:hAnsi="Times New Roman" w:eastAsia="方正仿宋_GBK" w:cs="Times New Roman"/>
                <w:color w:val="auto"/>
                <w:sz w:val="24"/>
                <w:szCs w:val="20"/>
                <w:lang w:val="en-US" w:eastAsia="zh-CN"/>
              </w:rPr>
              <w:t>2020</w:t>
            </w:r>
          </w:p>
        </w:tc>
        <w:tc>
          <w:tcPr>
            <w:tcW w:w="1221" w:type="dxa"/>
            <w:vAlign w:val="center"/>
          </w:tcPr>
          <w:p w14:paraId="50B8223C">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default" w:ascii="Times New Roman" w:hAnsi="Times New Roman" w:eastAsia="方正仿宋_GBK" w:cs="Times New Roman"/>
                <w:color w:val="auto"/>
                <w:sz w:val="24"/>
                <w:szCs w:val="20"/>
                <w:lang w:val="en-US" w:eastAsia="zh-CN"/>
              </w:rPr>
              <w:t>5</w:t>
            </w:r>
          </w:p>
        </w:tc>
        <w:tc>
          <w:tcPr>
            <w:tcW w:w="1330" w:type="dxa"/>
            <w:vAlign w:val="center"/>
          </w:tcPr>
          <w:p w14:paraId="3CCBCFFD">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default" w:ascii="Times New Roman" w:hAnsi="Times New Roman" w:eastAsia="方正仿宋_GBK" w:cs="Times New Roman"/>
                <w:color w:val="auto"/>
                <w:sz w:val="24"/>
                <w:szCs w:val="20"/>
                <w:lang w:val="en-US" w:eastAsia="zh-CN"/>
              </w:rPr>
              <w:t>8</w:t>
            </w:r>
          </w:p>
        </w:tc>
        <w:tc>
          <w:tcPr>
            <w:tcW w:w="1181" w:type="dxa"/>
            <w:vAlign w:val="center"/>
          </w:tcPr>
          <w:p w14:paraId="08A000F8">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default" w:ascii="Times New Roman" w:hAnsi="Times New Roman" w:eastAsia="方正仿宋_GBK" w:cs="Times New Roman"/>
                <w:color w:val="auto"/>
                <w:sz w:val="24"/>
                <w:szCs w:val="20"/>
                <w:lang w:val="en-US" w:eastAsia="zh-CN"/>
              </w:rPr>
              <w:t>0.9</w:t>
            </w:r>
          </w:p>
        </w:tc>
        <w:tc>
          <w:tcPr>
            <w:tcW w:w="1243" w:type="dxa"/>
            <w:vAlign w:val="center"/>
          </w:tcPr>
          <w:p w14:paraId="7FD8D8AE">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default" w:ascii="Times New Roman" w:hAnsi="Times New Roman" w:eastAsia="方正仿宋_GBK" w:cs="Times New Roman"/>
                <w:color w:val="auto"/>
                <w:sz w:val="24"/>
                <w:szCs w:val="20"/>
                <w:lang w:val="en-US" w:eastAsia="zh-CN"/>
              </w:rPr>
              <w:t>121</w:t>
            </w:r>
          </w:p>
        </w:tc>
        <w:tc>
          <w:tcPr>
            <w:tcW w:w="1625" w:type="dxa"/>
            <w:vAlign w:val="center"/>
          </w:tcPr>
          <w:p w14:paraId="4480FCF7">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default" w:ascii="Times New Roman" w:hAnsi="Times New Roman" w:eastAsia="方正仿宋_GBK" w:cs="Times New Roman"/>
                <w:color w:val="auto"/>
                <w:sz w:val="24"/>
                <w:szCs w:val="20"/>
                <w:lang w:val="en-US" w:eastAsia="zh-CN"/>
              </w:rPr>
              <w:t>26</w:t>
            </w:r>
          </w:p>
        </w:tc>
        <w:tc>
          <w:tcPr>
            <w:tcW w:w="1242" w:type="dxa"/>
            <w:tcBorders>
              <w:top w:val="single" w:color="auto" w:sz="8" w:space="0"/>
              <w:right w:val="single" w:color="auto" w:sz="4" w:space="0"/>
            </w:tcBorders>
            <w:vAlign w:val="center"/>
          </w:tcPr>
          <w:p w14:paraId="6CCC7724">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default" w:ascii="Times New Roman" w:hAnsi="Times New Roman" w:eastAsia="方正仿宋_GBK" w:cs="Times New Roman"/>
                <w:color w:val="auto"/>
                <w:sz w:val="24"/>
                <w:szCs w:val="20"/>
                <w:lang w:val="en-US" w:eastAsia="zh-CN"/>
              </w:rPr>
              <w:t>16</w:t>
            </w:r>
          </w:p>
        </w:tc>
      </w:tr>
      <w:tr w14:paraId="350B2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exact"/>
          <w:jc w:val="center"/>
        </w:trPr>
        <w:tc>
          <w:tcPr>
            <w:tcW w:w="765" w:type="dxa"/>
            <w:vAlign w:val="center"/>
          </w:tcPr>
          <w:p w14:paraId="0EEECA84">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default" w:ascii="Times New Roman" w:hAnsi="Times New Roman" w:eastAsia="方正仿宋_GBK" w:cs="Times New Roman"/>
                <w:color w:val="auto"/>
                <w:sz w:val="24"/>
                <w:szCs w:val="20"/>
                <w:lang w:val="en-US" w:eastAsia="zh-CN"/>
              </w:rPr>
              <w:t>2021</w:t>
            </w:r>
          </w:p>
        </w:tc>
        <w:tc>
          <w:tcPr>
            <w:tcW w:w="1221" w:type="dxa"/>
            <w:vAlign w:val="center"/>
          </w:tcPr>
          <w:p w14:paraId="499ED82F">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default" w:ascii="Times New Roman" w:hAnsi="Times New Roman" w:eastAsia="方正仿宋_GBK" w:cs="Times New Roman"/>
                <w:color w:val="auto"/>
                <w:sz w:val="24"/>
                <w:szCs w:val="20"/>
                <w:lang w:val="en-US" w:eastAsia="zh-CN"/>
              </w:rPr>
              <w:t>5</w:t>
            </w:r>
          </w:p>
        </w:tc>
        <w:tc>
          <w:tcPr>
            <w:tcW w:w="1330" w:type="dxa"/>
            <w:vAlign w:val="center"/>
          </w:tcPr>
          <w:p w14:paraId="1F16282A">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default" w:ascii="Times New Roman" w:hAnsi="Times New Roman" w:eastAsia="方正仿宋_GBK" w:cs="Times New Roman"/>
                <w:color w:val="auto"/>
                <w:sz w:val="24"/>
                <w:szCs w:val="20"/>
                <w:lang w:val="en-US" w:eastAsia="zh-CN"/>
              </w:rPr>
              <w:t>8</w:t>
            </w:r>
          </w:p>
        </w:tc>
        <w:tc>
          <w:tcPr>
            <w:tcW w:w="1181" w:type="dxa"/>
            <w:vAlign w:val="center"/>
          </w:tcPr>
          <w:p w14:paraId="4DDABC79">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default" w:ascii="Times New Roman" w:hAnsi="Times New Roman" w:eastAsia="方正仿宋_GBK" w:cs="Times New Roman"/>
                <w:color w:val="auto"/>
                <w:sz w:val="24"/>
                <w:szCs w:val="20"/>
                <w:lang w:val="en-US" w:eastAsia="zh-CN"/>
              </w:rPr>
              <w:t>0.9</w:t>
            </w:r>
          </w:p>
        </w:tc>
        <w:tc>
          <w:tcPr>
            <w:tcW w:w="1243" w:type="dxa"/>
            <w:vAlign w:val="center"/>
          </w:tcPr>
          <w:p w14:paraId="7E40C25B">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default" w:ascii="Times New Roman" w:hAnsi="Times New Roman" w:eastAsia="方正仿宋_GBK" w:cs="Times New Roman"/>
                <w:color w:val="auto"/>
                <w:sz w:val="24"/>
                <w:szCs w:val="20"/>
                <w:lang w:val="en-US" w:eastAsia="zh-CN"/>
              </w:rPr>
              <w:t>114</w:t>
            </w:r>
          </w:p>
        </w:tc>
        <w:tc>
          <w:tcPr>
            <w:tcW w:w="1625" w:type="dxa"/>
            <w:vAlign w:val="center"/>
          </w:tcPr>
          <w:p w14:paraId="329E0FA7">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default" w:ascii="Times New Roman" w:hAnsi="Times New Roman" w:eastAsia="方正仿宋_GBK" w:cs="Times New Roman"/>
                <w:color w:val="auto"/>
                <w:sz w:val="24"/>
                <w:szCs w:val="20"/>
                <w:lang w:val="en-US" w:eastAsia="zh-CN"/>
              </w:rPr>
              <w:t>28</w:t>
            </w:r>
          </w:p>
        </w:tc>
        <w:tc>
          <w:tcPr>
            <w:tcW w:w="1242" w:type="dxa"/>
            <w:tcBorders>
              <w:top w:val="single" w:color="auto" w:sz="8" w:space="0"/>
              <w:right w:val="single" w:color="auto" w:sz="4" w:space="0"/>
            </w:tcBorders>
            <w:vAlign w:val="center"/>
          </w:tcPr>
          <w:p w14:paraId="2B19606C">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default" w:ascii="Times New Roman" w:hAnsi="Times New Roman" w:eastAsia="方正仿宋_GBK" w:cs="Times New Roman"/>
                <w:color w:val="auto"/>
                <w:sz w:val="24"/>
                <w:szCs w:val="20"/>
                <w:lang w:val="en-US" w:eastAsia="zh-CN"/>
              </w:rPr>
              <w:t>18</w:t>
            </w:r>
          </w:p>
        </w:tc>
      </w:tr>
    </w:tbl>
    <w:p w14:paraId="11C41C1A">
      <w:pPr>
        <w:pStyle w:val="6"/>
        <w:bidi w:val="0"/>
        <w:rPr>
          <w:rFonts w:ascii="Times New Roman" w:hAnsi="Times New Roman" w:eastAsia="仿宋" w:cs="Times New Roman"/>
          <w:b/>
          <w:bCs/>
          <w:snapToGrid w:val="0"/>
          <w:color w:val="auto"/>
          <w:kern w:val="2"/>
          <w:sz w:val="28"/>
          <w:szCs w:val="32"/>
          <w:lang w:val="en-US" w:eastAsia="zh-CN" w:bidi="ar-SA"/>
        </w:rPr>
      </w:pPr>
      <w:r>
        <w:rPr>
          <w:rFonts w:ascii="Times New Roman" w:hAnsi="Times New Roman" w:eastAsia="仿宋" w:cs="Times New Roman"/>
          <w:b/>
          <w:bCs/>
          <w:snapToGrid w:val="0"/>
          <w:color w:val="auto"/>
          <w:kern w:val="2"/>
          <w:sz w:val="28"/>
          <w:szCs w:val="32"/>
          <w:lang w:val="en-US" w:eastAsia="zh-CN" w:bidi="ar-SA"/>
        </w:rPr>
        <w:t>2.1.5.3声环境质量</w:t>
      </w:r>
    </w:p>
    <w:p w14:paraId="1712549D">
      <w:pPr>
        <w:keepNext w:val="0"/>
        <w:keepLines w:val="0"/>
        <w:pageBreakBefore w:val="0"/>
        <w:widowControl/>
        <w:suppressLineNumbers w:val="0"/>
        <w:kinsoku/>
        <w:wordWrap/>
        <w:overflowPunct/>
        <w:topLinePunct w:val="0"/>
        <w:autoSpaceDE/>
        <w:autoSpaceDN/>
        <w:bidi w:val="0"/>
        <w:adjustRightInd/>
        <w:snapToGrid/>
        <w:spacing w:line="500" w:lineRule="exact"/>
        <w:ind w:firstLine="560" w:firstLineChars="200"/>
        <w:jc w:val="left"/>
        <w:textAlignment w:val="auto"/>
        <w:rPr>
          <w:rFonts w:hint="default" w:ascii="Times New Roman" w:hAnsi="Times New Roman" w:eastAsia="方正仿宋_GBK" w:cs="方正仿宋_GBK"/>
          <w:b w:val="0"/>
          <w:bCs w:val="0"/>
          <w:color w:val="auto"/>
          <w:sz w:val="28"/>
          <w:szCs w:val="28"/>
          <w:lang w:val="en-US" w:eastAsia="zh-CN"/>
        </w:rPr>
      </w:pPr>
      <w:r>
        <w:rPr>
          <w:rFonts w:hint="default" w:ascii="Times New Roman" w:hAnsi="Times New Roman" w:eastAsia="方正仿宋_GBK" w:cs="方正仿宋_GBK"/>
          <w:b w:val="0"/>
          <w:bCs w:val="0"/>
          <w:color w:val="auto"/>
          <w:sz w:val="28"/>
          <w:szCs w:val="28"/>
          <w:lang w:val="en-US" w:eastAsia="zh-CN"/>
        </w:rPr>
        <w:t>根据《新平县城市声环境功能区划分（2019~2029）》，新平县全</w:t>
      </w:r>
      <w:r>
        <w:rPr>
          <w:rFonts w:hint="eastAsia" w:ascii="Times New Roman" w:hAnsi="Times New Roman" w:eastAsia="方正仿宋_GBK" w:cs="方正仿宋_GBK"/>
          <w:b w:val="0"/>
          <w:bCs w:val="0"/>
          <w:color w:val="auto"/>
          <w:sz w:val="28"/>
          <w:szCs w:val="28"/>
          <w:lang w:val="en-US" w:eastAsia="zh-CN"/>
        </w:rPr>
        <w:t>县</w:t>
      </w:r>
      <w:r>
        <w:rPr>
          <w:rFonts w:hint="default" w:ascii="Times New Roman" w:hAnsi="Times New Roman" w:eastAsia="方正仿宋_GBK" w:cs="方正仿宋_GBK"/>
          <w:b w:val="0"/>
          <w:bCs w:val="0"/>
          <w:color w:val="auto"/>
          <w:sz w:val="28"/>
          <w:szCs w:val="28"/>
          <w:lang w:val="en-US" w:eastAsia="zh-CN"/>
        </w:rPr>
        <w:t>开展70个区域环境噪声监测、21个道路交通噪声点位一年一次监测和7个城市功能区噪声每季度监测一次。</w:t>
      </w:r>
    </w:p>
    <w:p w14:paraId="0FAE5F79">
      <w:pPr>
        <w:keepNext w:val="0"/>
        <w:keepLines w:val="0"/>
        <w:pageBreakBefore w:val="0"/>
        <w:widowControl/>
        <w:suppressLineNumbers w:val="0"/>
        <w:kinsoku/>
        <w:wordWrap/>
        <w:overflowPunct/>
        <w:topLinePunct w:val="0"/>
        <w:autoSpaceDE/>
        <w:autoSpaceDN/>
        <w:bidi w:val="0"/>
        <w:adjustRightInd/>
        <w:snapToGrid/>
        <w:spacing w:line="500" w:lineRule="exact"/>
        <w:ind w:firstLine="560" w:firstLineChars="200"/>
        <w:jc w:val="left"/>
        <w:textAlignment w:val="auto"/>
        <w:rPr>
          <w:rFonts w:hint="default" w:ascii="Times New Roman" w:hAnsi="Times New Roman" w:eastAsia="方正仿宋_GBK" w:cs="方正仿宋_GBK"/>
          <w:b w:val="0"/>
          <w:bCs w:val="0"/>
          <w:color w:val="auto"/>
          <w:sz w:val="28"/>
          <w:szCs w:val="28"/>
          <w:lang w:val="en-US" w:eastAsia="zh-CN"/>
        </w:rPr>
      </w:pPr>
      <w:r>
        <w:rPr>
          <w:rFonts w:hint="default" w:ascii="Times New Roman" w:hAnsi="Times New Roman" w:eastAsia="方正仿宋_GBK" w:cs="方正仿宋_GBK"/>
          <w:b w:val="0"/>
          <w:bCs w:val="0"/>
          <w:color w:val="auto"/>
          <w:sz w:val="28"/>
          <w:szCs w:val="28"/>
          <w:lang w:val="en-US" w:eastAsia="zh-CN"/>
        </w:rPr>
        <w:t>（1）区域声环境质量状况</w:t>
      </w:r>
    </w:p>
    <w:p w14:paraId="1995161F">
      <w:pPr>
        <w:keepNext w:val="0"/>
        <w:keepLines w:val="0"/>
        <w:pageBreakBefore w:val="0"/>
        <w:widowControl/>
        <w:suppressLineNumbers w:val="0"/>
        <w:kinsoku/>
        <w:wordWrap/>
        <w:overflowPunct/>
        <w:topLinePunct w:val="0"/>
        <w:autoSpaceDE/>
        <w:autoSpaceDN/>
        <w:bidi w:val="0"/>
        <w:adjustRightInd/>
        <w:snapToGrid/>
        <w:spacing w:line="500" w:lineRule="exact"/>
        <w:ind w:firstLine="560" w:firstLineChars="200"/>
        <w:jc w:val="left"/>
        <w:textAlignment w:val="auto"/>
        <w:rPr>
          <w:rFonts w:hint="default" w:ascii="Times New Roman" w:hAnsi="Times New Roman" w:eastAsia="方正仿宋_GBK" w:cs="方正仿宋_GBK"/>
          <w:b w:val="0"/>
          <w:bCs w:val="0"/>
          <w:color w:val="auto"/>
          <w:sz w:val="28"/>
          <w:szCs w:val="28"/>
          <w:lang w:val="en-US" w:eastAsia="zh-CN"/>
        </w:rPr>
      </w:pPr>
      <w:r>
        <w:rPr>
          <w:rFonts w:hint="default" w:ascii="Times New Roman" w:hAnsi="Times New Roman" w:eastAsia="方正仿宋_GBK" w:cs="方正仿宋_GBK"/>
          <w:b w:val="0"/>
          <w:bCs w:val="0"/>
          <w:color w:val="auto"/>
          <w:sz w:val="28"/>
          <w:szCs w:val="28"/>
          <w:lang w:val="en-US" w:eastAsia="zh-CN"/>
        </w:rPr>
        <w:t>2019</w:t>
      </w:r>
      <w:r>
        <w:rPr>
          <w:rFonts w:hint="eastAsia" w:ascii="Times New Roman" w:hAnsi="Times New Roman" w:eastAsia="方正仿宋_GBK" w:cs="方正仿宋_GBK"/>
          <w:b w:val="0"/>
          <w:bCs w:val="0"/>
          <w:color w:val="auto"/>
          <w:sz w:val="28"/>
          <w:szCs w:val="28"/>
          <w:lang w:val="en-US" w:eastAsia="zh-CN"/>
        </w:rPr>
        <w:t>—</w:t>
      </w:r>
      <w:r>
        <w:rPr>
          <w:rFonts w:hint="default" w:ascii="Times New Roman" w:hAnsi="Times New Roman" w:eastAsia="方正仿宋_GBK" w:cs="方正仿宋_GBK"/>
          <w:b w:val="0"/>
          <w:bCs w:val="0"/>
          <w:color w:val="auto"/>
          <w:sz w:val="28"/>
          <w:szCs w:val="28"/>
          <w:lang w:val="en-US" w:eastAsia="zh-CN"/>
        </w:rPr>
        <w:t>2021年，新平县县城设区域声环境监测点位均为70个，区域昼间平均等效声级在42.2-46.2dB，评价等级为一级，质量为“好”。新平县区域声环境监测结果见表2.1.5.3-1。</w:t>
      </w:r>
    </w:p>
    <w:p w14:paraId="7AC45949">
      <w:pPr>
        <w:widowControl/>
        <w:jc w:val="center"/>
        <w:rPr>
          <w:rFonts w:ascii="Times New Roman" w:hAnsi="Times New Roman" w:eastAsia="仿宋" w:cs="Times New Roman"/>
          <w:b/>
          <w:bCs/>
          <w:color w:val="auto"/>
          <w:sz w:val="24"/>
        </w:rPr>
      </w:pPr>
      <w:r>
        <w:rPr>
          <w:rFonts w:ascii="Times New Roman" w:hAnsi="Times New Roman" w:eastAsia="仿宋" w:cs="Times New Roman"/>
          <w:b/>
          <w:bCs/>
          <w:color w:val="auto"/>
          <w:sz w:val="24"/>
        </w:rPr>
        <w:t>表</w:t>
      </w:r>
      <w:r>
        <w:rPr>
          <w:rFonts w:hint="default" w:ascii="Times New Roman" w:hAnsi="Times New Roman" w:eastAsia="仿宋" w:cs="Times New Roman"/>
          <w:b/>
          <w:bCs/>
          <w:color w:val="auto"/>
          <w:sz w:val="24"/>
          <w:lang w:val="en-US" w:eastAsia="zh-CN"/>
        </w:rPr>
        <w:t>2.1.5.</w:t>
      </w:r>
      <w:r>
        <w:rPr>
          <w:rFonts w:hint="eastAsia" w:ascii="Times New Roman" w:hAnsi="Times New Roman" w:eastAsia="仿宋" w:cs="Times New Roman"/>
          <w:b/>
          <w:bCs/>
          <w:color w:val="auto"/>
          <w:sz w:val="24"/>
          <w:lang w:val="en-US" w:eastAsia="zh-CN"/>
        </w:rPr>
        <w:t>3</w:t>
      </w:r>
      <w:r>
        <w:rPr>
          <w:rFonts w:hint="default" w:ascii="Times New Roman" w:hAnsi="Times New Roman" w:eastAsia="仿宋" w:cs="Times New Roman"/>
          <w:b/>
          <w:bCs/>
          <w:color w:val="auto"/>
          <w:sz w:val="24"/>
          <w:lang w:val="en-US" w:eastAsia="zh-CN"/>
        </w:rPr>
        <w:t>-</w:t>
      </w:r>
      <w:r>
        <w:rPr>
          <w:rFonts w:hint="eastAsia" w:ascii="Times New Roman" w:hAnsi="Times New Roman" w:eastAsia="仿宋" w:cs="Times New Roman"/>
          <w:b/>
          <w:bCs/>
          <w:color w:val="auto"/>
          <w:sz w:val="24"/>
          <w:lang w:val="en-US" w:eastAsia="zh-CN"/>
        </w:rPr>
        <w:t>1</w:t>
      </w:r>
      <w:r>
        <w:rPr>
          <w:rFonts w:ascii="Times New Roman" w:hAnsi="Times New Roman" w:eastAsia="仿宋" w:cs="Times New Roman"/>
          <w:b/>
          <w:bCs/>
          <w:color w:val="auto"/>
          <w:sz w:val="24"/>
        </w:rPr>
        <w:t xml:space="preserve"> 201</w:t>
      </w:r>
      <w:r>
        <w:rPr>
          <w:rFonts w:hint="eastAsia" w:ascii="Times New Roman" w:hAnsi="Times New Roman" w:eastAsia="仿宋" w:cs="Times New Roman"/>
          <w:b/>
          <w:bCs/>
          <w:color w:val="auto"/>
          <w:sz w:val="24"/>
          <w:lang w:val="en-US" w:eastAsia="zh-CN"/>
        </w:rPr>
        <w:t>9—</w:t>
      </w:r>
      <w:r>
        <w:rPr>
          <w:rFonts w:ascii="Times New Roman" w:hAnsi="Times New Roman" w:eastAsia="仿宋" w:cs="Times New Roman"/>
          <w:b/>
          <w:bCs/>
          <w:color w:val="auto"/>
          <w:sz w:val="24"/>
        </w:rPr>
        <w:t>2021年</w:t>
      </w:r>
      <w:r>
        <w:rPr>
          <w:rFonts w:hint="eastAsia" w:ascii="Times New Roman" w:hAnsi="Times New Roman" w:eastAsia="仿宋" w:cs="Times New Roman"/>
          <w:b/>
          <w:bCs/>
          <w:color w:val="auto"/>
          <w:sz w:val="24"/>
          <w:lang w:val="en-US" w:eastAsia="zh-CN"/>
        </w:rPr>
        <w:t>新平县</w:t>
      </w:r>
      <w:r>
        <w:rPr>
          <w:rFonts w:ascii="Times New Roman" w:hAnsi="Times New Roman" w:eastAsia="仿宋" w:cs="Times New Roman"/>
          <w:b/>
          <w:bCs/>
          <w:color w:val="auto"/>
          <w:sz w:val="24"/>
        </w:rPr>
        <w:t>的区域声环境质量统计表</w:t>
      </w:r>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3"/>
        <w:gridCol w:w="1594"/>
        <w:gridCol w:w="2234"/>
        <w:gridCol w:w="1702"/>
        <w:gridCol w:w="1749"/>
      </w:tblGrid>
      <w:tr w14:paraId="215EB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729" w:type="pct"/>
            <w:shd w:val="clear" w:color="auto" w:fill="FFFFFF" w:themeFill="background1"/>
            <w:vAlign w:val="center"/>
          </w:tcPr>
          <w:p w14:paraId="768D004F">
            <w:pPr>
              <w:widowControl/>
              <w:spacing w:line="400" w:lineRule="exact"/>
              <w:jc w:val="center"/>
              <w:rPr>
                <w:rFonts w:ascii="Times New Roman" w:hAnsi="Times New Roman" w:eastAsia="方正仿宋_GBK" w:cs="Times New Roman"/>
                <w:b/>
                <w:bCs/>
                <w:color w:val="auto"/>
                <w:sz w:val="24"/>
                <w:szCs w:val="20"/>
              </w:rPr>
            </w:pPr>
            <w:r>
              <w:rPr>
                <w:rFonts w:ascii="Times New Roman" w:hAnsi="Times New Roman" w:eastAsia="方正仿宋_GBK" w:cs="Times New Roman"/>
                <w:b/>
                <w:bCs/>
                <w:color w:val="auto"/>
                <w:sz w:val="24"/>
                <w:szCs w:val="20"/>
              </w:rPr>
              <w:t>年份</w:t>
            </w:r>
          </w:p>
        </w:tc>
        <w:tc>
          <w:tcPr>
            <w:tcW w:w="2245" w:type="pct"/>
            <w:gridSpan w:val="2"/>
            <w:shd w:val="clear" w:color="auto" w:fill="FFFFFF" w:themeFill="background1"/>
            <w:vAlign w:val="center"/>
          </w:tcPr>
          <w:p w14:paraId="727CDD3E">
            <w:pPr>
              <w:widowControl/>
              <w:spacing w:line="400" w:lineRule="exact"/>
              <w:jc w:val="center"/>
              <w:rPr>
                <w:rFonts w:ascii="Times New Roman" w:hAnsi="Times New Roman" w:eastAsia="方正仿宋_GBK" w:cs="Times New Roman"/>
                <w:b/>
                <w:bCs/>
                <w:color w:val="auto"/>
                <w:sz w:val="24"/>
                <w:szCs w:val="20"/>
              </w:rPr>
            </w:pPr>
            <w:r>
              <w:rPr>
                <w:rFonts w:ascii="Times New Roman" w:hAnsi="Times New Roman" w:eastAsia="方正仿宋_GBK" w:cs="Times New Roman"/>
                <w:b/>
                <w:bCs/>
                <w:color w:val="auto"/>
                <w:sz w:val="24"/>
                <w:szCs w:val="20"/>
              </w:rPr>
              <w:t>平均等效声级（dB（A））</w:t>
            </w:r>
          </w:p>
        </w:tc>
        <w:tc>
          <w:tcPr>
            <w:tcW w:w="998" w:type="pct"/>
            <w:shd w:val="clear" w:color="auto" w:fill="FFFFFF" w:themeFill="background1"/>
            <w:vAlign w:val="center"/>
          </w:tcPr>
          <w:p w14:paraId="54493EE0">
            <w:pPr>
              <w:widowControl/>
              <w:spacing w:line="400" w:lineRule="exact"/>
              <w:jc w:val="center"/>
              <w:rPr>
                <w:rFonts w:ascii="Times New Roman" w:hAnsi="Times New Roman" w:eastAsia="方正仿宋_GBK" w:cs="Times New Roman"/>
                <w:b/>
                <w:bCs/>
                <w:color w:val="auto"/>
                <w:sz w:val="24"/>
                <w:szCs w:val="20"/>
              </w:rPr>
            </w:pPr>
            <w:r>
              <w:rPr>
                <w:rFonts w:ascii="Times New Roman" w:hAnsi="Times New Roman" w:eastAsia="方正仿宋_GBK" w:cs="Times New Roman"/>
                <w:b/>
                <w:bCs/>
                <w:color w:val="auto"/>
                <w:sz w:val="24"/>
                <w:szCs w:val="20"/>
              </w:rPr>
              <w:t>等级</w:t>
            </w:r>
          </w:p>
        </w:tc>
        <w:tc>
          <w:tcPr>
            <w:tcW w:w="1026" w:type="pct"/>
            <w:shd w:val="clear" w:color="auto" w:fill="FFFFFF" w:themeFill="background1"/>
            <w:vAlign w:val="center"/>
          </w:tcPr>
          <w:p w14:paraId="460E0A3C">
            <w:pPr>
              <w:widowControl/>
              <w:spacing w:line="400" w:lineRule="exact"/>
              <w:jc w:val="center"/>
              <w:rPr>
                <w:rFonts w:ascii="Times New Roman" w:hAnsi="Times New Roman" w:eastAsia="方正仿宋_GBK" w:cs="Times New Roman"/>
                <w:b/>
                <w:bCs/>
                <w:color w:val="auto"/>
                <w:sz w:val="24"/>
                <w:szCs w:val="20"/>
              </w:rPr>
            </w:pPr>
            <w:r>
              <w:rPr>
                <w:rFonts w:ascii="Times New Roman" w:hAnsi="Times New Roman" w:eastAsia="方正仿宋_GBK" w:cs="Times New Roman"/>
                <w:b/>
                <w:bCs/>
                <w:color w:val="auto"/>
                <w:sz w:val="24"/>
                <w:szCs w:val="20"/>
              </w:rPr>
              <w:t>质量评价</w:t>
            </w:r>
          </w:p>
        </w:tc>
      </w:tr>
      <w:tr w14:paraId="25C93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Align w:val="center"/>
          </w:tcPr>
          <w:p w14:paraId="152F1B7B">
            <w:pPr>
              <w:widowControl/>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2019年</w:t>
            </w:r>
          </w:p>
        </w:tc>
        <w:tc>
          <w:tcPr>
            <w:tcW w:w="935" w:type="pct"/>
            <w:vAlign w:val="center"/>
          </w:tcPr>
          <w:p w14:paraId="464C6160">
            <w:pPr>
              <w:widowControl/>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昼间</w:t>
            </w:r>
          </w:p>
        </w:tc>
        <w:tc>
          <w:tcPr>
            <w:tcW w:w="1310" w:type="pct"/>
            <w:vAlign w:val="center"/>
          </w:tcPr>
          <w:p w14:paraId="714F68E6">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42.2</w:t>
            </w:r>
          </w:p>
        </w:tc>
        <w:tc>
          <w:tcPr>
            <w:tcW w:w="998" w:type="pct"/>
            <w:vAlign w:val="center"/>
          </w:tcPr>
          <w:p w14:paraId="3EA81CE4">
            <w:pPr>
              <w:widowControl/>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一级</w:t>
            </w:r>
          </w:p>
        </w:tc>
        <w:tc>
          <w:tcPr>
            <w:tcW w:w="1026" w:type="pct"/>
            <w:vAlign w:val="center"/>
          </w:tcPr>
          <w:p w14:paraId="549053FA">
            <w:pPr>
              <w:widowControl/>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好</w:t>
            </w:r>
          </w:p>
        </w:tc>
      </w:tr>
      <w:tr w14:paraId="6FAC4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Align w:val="center"/>
          </w:tcPr>
          <w:p w14:paraId="48338A08">
            <w:pPr>
              <w:widowControl/>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2020年</w:t>
            </w:r>
          </w:p>
        </w:tc>
        <w:tc>
          <w:tcPr>
            <w:tcW w:w="935" w:type="pct"/>
            <w:vAlign w:val="center"/>
          </w:tcPr>
          <w:p w14:paraId="701E1F24">
            <w:pPr>
              <w:widowControl/>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昼间</w:t>
            </w:r>
          </w:p>
        </w:tc>
        <w:tc>
          <w:tcPr>
            <w:tcW w:w="1310" w:type="pct"/>
            <w:vAlign w:val="center"/>
          </w:tcPr>
          <w:p w14:paraId="7D6D43F0">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46.2</w:t>
            </w:r>
          </w:p>
        </w:tc>
        <w:tc>
          <w:tcPr>
            <w:tcW w:w="998" w:type="pct"/>
            <w:vAlign w:val="center"/>
          </w:tcPr>
          <w:p w14:paraId="737D9DA1">
            <w:pPr>
              <w:widowControl/>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一级</w:t>
            </w:r>
          </w:p>
        </w:tc>
        <w:tc>
          <w:tcPr>
            <w:tcW w:w="1026" w:type="pct"/>
            <w:vAlign w:val="center"/>
          </w:tcPr>
          <w:p w14:paraId="451E77B3">
            <w:pPr>
              <w:widowControl/>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好</w:t>
            </w:r>
          </w:p>
        </w:tc>
      </w:tr>
      <w:tr w14:paraId="393B2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Align w:val="center"/>
          </w:tcPr>
          <w:p w14:paraId="4252E4FE">
            <w:pPr>
              <w:widowControl/>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2021年</w:t>
            </w:r>
          </w:p>
        </w:tc>
        <w:tc>
          <w:tcPr>
            <w:tcW w:w="935" w:type="pct"/>
            <w:vAlign w:val="center"/>
          </w:tcPr>
          <w:p w14:paraId="758A8231">
            <w:pPr>
              <w:widowControl/>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昼间</w:t>
            </w:r>
          </w:p>
        </w:tc>
        <w:tc>
          <w:tcPr>
            <w:tcW w:w="1310" w:type="pct"/>
            <w:vAlign w:val="center"/>
          </w:tcPr>
          <w:p w14:paraId="3FAFF397">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45.3</w:t>
            </w:r>
          </w:p>
        </w:tc>
        <w:tc>
          <w:tcPr>
            <w:tcW w:w="998" w:type="pct"/>
            <w:vAlign w:val="center"/>
          </w:tcPr>
          <w:p w14:paraId="1EA8D603">
            <w:pPr>
              <w:widowControl/>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一级</w:t>
            </w:r>
          </w:p>
        </w:tc>
        <w:tc>
          <w:tcPr>
            <w:tcW w:w="1026" w:type="pct"/>
            <w:vAlign w:val="center"/>
          </w:tcPr>
          <w:p w14:paraId="63135D74">
            <w:pPr>
              <w:widowControl/>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好</w:t>
            </w:r>
          </w:p>
        </w:tc>
      </w:tr>
    </w:tbl>
    <w:p w14:paraId="076D3AB5">
      <w:pPr>
        <w:keepNext w:val="0"/>
        <w:keepLines w:val="0"/>
        <w:pageBreakBefore w:val="0"/>
        <w:widowControl/>
        <w:suppressLineNumbers w:val="0"/>
        <w:kinsoku/>
        <w:wordWrap/>
        <w:overflowPunct/>
        <w:topLinePunct w:val="0"/>
        <w:autoSpaceDE/>
        <w:autoSpaceDN/>
        <w:bidi w:val="0"/>
        <w:adjustRightInd/>
        <w:snapToGrid/>
        <w:spacing w:line="500" w:lineRule="exact"/>
        <w:ind w:firstLine="560" w:firstLineChars="200"/>
        <w:jc w:val="left"/>
        <w:textAlignment w:val="auto"/>
        <w:rPr>
          <w:rFonts w:hint="eastAsia" w:ascii="Times New Roman" w:hAnsi="Times New Roman" w:eastAsia="方正仿宋_GBK" w:cs="方正仿宋_GBK"/>
          <w:b w:val="0"/>
          <w:bCs w:val="0"/>
          <w:color w:val="auto"/>
          <w:sz w:val="28"/>
          <w:szCs w:val="28"/>
          <w:lang w:val="en-US" w:eastAsia="zh-CN"/>
        </w:rPr>
      </w:pPr>
      <w:r>
        <w:rPr>
          <w:rFonts w:hint="eastAsia" w:ascii="Times New Roman" w:hAnsi="Times New Roman" w:eastAsia="方正仿宋_GBK" w:cs="方正仿宋_GBK"/>
          <w:b w:val="0"/>
          <w:bCs w:val="0"/>
          <w:color w:val="auto"/>
          <w:sz w:val="28"/>
          <w:szCs w:val="28"/>
          <w:lang w:val="en-US" w:eastAsia="zh-CN"/>
        </w:rPr>
        <w:t>（2）道路交通声环境质量状况</w:t>
      </w:r>
    </w:p>
    <w:p w14:paraId="1ECD208D">
      <w:pPr>
        <w:keepNext w:val="0"/>
        <w:keepLines w:val="0"/>
        <w:pageBreakBefore w:val="0"/>
        <w:widowControl/>
        <w:suppressLineNumbers w:val="0"/>
        <w:kinsoku/>
        <w:wordWrap/>
        <w:overflowPunct/>
        <w:topLinePunct w:val="0"/>
        <w:autoSpaceDE/>
        <w:autoSpaceDN/>
        <w:bidi w:val="0"/>
        <w:adjustRightInd/>
        <w:snapToGrid/>
        <w:spacing w:line="500" w:lineRule="exact"/>
        <w:ind w:firstLine="560" w:firstLineChars="200"/>
        <w:jc w:val="left"/>
        <w:textAlignment w:val="auto"/>
        <w:rPr>
          <w:rFonts w:hint="eastAsia" w:ascii="Times New Roman" w:hAnsi="Times New Roman" w:eastAsia="方正仿宋_GBK" w:cs="方正仿宋_GBK"/>
          <w:b w:val="0"/>
          <w:bCs w:val="0"/>
          <w:color w:val="auto"/>
          <w:sz w:val="28"/>
          <w:szCs w:val="28"/>
          <w:lang w:val="en-US" w:eastAsia="zh-CN"/>
        </w:rPr>
      </w:pPr>
      <w:r>
        <w:rPr>
          <w:rFonts w:hint="eastAsia" w:ascii="Times New Roman" w:hAnsi="Times New Roman" w:eastAsia="方正仿宋_GBK" w:cs="方正仿宋_GBK"/>
          <w:b w:val="0"/>
          <w:bCs w:val="0"/>
          <w:color w:val="auto"/>
          <w:sz w:val="28"/>
          <w:szCs w:val="28"/>
          <w:lang w:val="en-US" w:eastAsia="zh-CN"/>
        </w:rPr>
        <w:t>2019—2021年，新平县道路交通声环境昼间平均等效声级在62.4-64.7dB，评价等级均为一级，质量为“好”。新平县交通声环境监测结果见表2.1.5.3-2。</w:t>
      </w:r>
    </w:p>
    <w:p w14:paraId="4840B980">
      <w:pPr>
        <w:widowControl/>
        <w:jc w:val="center"/>
        <w:rPr>
          <w:rFonts w:ascii="Times New Roman" w:hAnsi="Times New Roman" w:eastAsia="仿宋" w:cs="Times New Roman"/>
          <w:b/>
          <w:bCs/>
          <w:color w:val="auto"/>
          <w:sz w:val="24"/>
        </w:rPr>
      </w:pPr>
      <w:r>
        <w:rPr>
          <w:rFonts w:ascii="Times New Roman" w:hAnsi="Times New Roman" w:eastAsia="仿宋" w:cs="Times New Roman"/>
          <w:b/>
          <w:bCs/>
          <w:color w:val="auto"/>
          <w:sz w:val="24"/>
        </w:rPr>
        <w:t>表</w:t>
      </w:r>
      <w:r>
        <w:rPr>
          <w:rFonts w:hint="eastAsia" w:ascii="Times New Roman" w:hAnsi="Times New Roman" w:eastAsia="仿宋" w:cs="Times New Roman"/>
          <w:b/>
          <w:bCs/>
          <w:color w:val="auto"/>
          <w:sz w:val="24"/>
        </w:rPr>
        <w:t>2.1.5.3-2</w:t>
      </w:r>
      <w:r>
        <w:rPr>
          <w:rFonts w:ascii="Times New Roman" w:hAnsi="Times New Roman" w:eastAsia="仿宋" w:cs="Times New Roman"/>
          <w:b/>
          <w:bCs/>
          <w:color w:val="auto"/>
          <w:sz w:val="24"/>
        </w:rPr>
        <w:t xml:space="preserve"> 201</w:t>
      </w:r>
      <w:r>
        <w:rPr>
          <w:rFonts w:hint="eastAsia" w:ascii="Times New Roman" w:hAnsi="Times New Roman" w:eastAsia="仿宋" w:cs="Times New Roman"/>
          <w:b/>
          <w:bCs/>
          <w:color w:val="auto"/>
          <w:sz w:val="24"/>
          <w:lang w:val="en-US" w:eastAsia="zh-CN"/>
        </w:rPr>
        <w:t>9—</w:t>
      </w:r>
      <w:r>
        <w:rPr>
          <w:rFonts w:ascii="Times New Roman" w:hAnsi="Times New Roman" w:eastAsia="仿宋" w:cs="Times New Roman"/>
          <w:b/>
          <w:bCs/>
          <w:color w:val="auto"/>
          <w:sz w:val="24"/>
        </w:rPr>
        <w:t>202</w:t>
      </w:r>
      <w:r>
        <w:rPr>
          <w:rFonts w:hint="eastAsia" w:ascii="Times New Roman" w:hAnsi="Times New Roman" w:eastAsia="仿宋" w:cs="Times New Roman"/>
          <w:b/>
          <w:bCs/>
          <w:color w:val="auto"/>
          <w:sz w:val="24"/>
          <w:lang w:val="en-US" w:eastAsia="zh-CN"/>
        </w:rPr>
        <w:t>1</w:t>
      </w:r>
      <w:r>
        <w:rPr>
          <w:rFonts w:ascii="Times New Roman" w:hAnsi="Times New Roman" w:eastAsia="仿宋" w:cs="Times New Roman"/>
          <w:b/>
          <w:bCs/>
          <w:color w:val="auto"/>
          <w:sz w:val="24"/>
        </w:rPr>
        <w:t>年</w:t>
      </w:r>
      <w:r>
        <w:rPr>
          <w:rFonts w:hint="eastAsia" w:ascii="Times New Roman" w:hAnsi="Times New Roman" w:eastAsia="仿宋" w:cs="Times New Roman"/>
          <w:b/>
          <w:bCs/>
          <w:color w:val="auto"/>
          <w:sz w:val="24"/>
          <w:lang w:val="en-US" w:eastAsia="zh-CN"/>
        </w:rPr>
        <w:t>新平县</w:t>
      </w:r>
      <w:r>
        <w:rPr>
          <w:rFonts w:ascii="Times New Roman" w:hAnsi="Times New Roman" w:eastAsia="仿宋" w:cs="Times New Roman"/>
          <w:b/>
          <w:bCs/>
          <w:color w:val="auto"/>
          <w:sz w:val="24"/>
        </w:rPr>
        <w:t>城区道路交通噪声质量评价</w:t>
      </w:r>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3"/>
        <w:gridCol w:w="1594"/>
        <w:gridCol w:w="2234"/>
        <w:gridCol w:w="1702"/>
        <w:gridCol w:w="1749"/>
      </w:tblGrid>
      <w:tr w14:paraId="2246E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729" w:type="pct"/>
            <w:shd w:val="clear" w:color="auto" w:fill="FFFFFF" w:themeFill="background1"/>
            <w:vAlign w:val="center"/>
          </w:tcPr>
          <w:p w14:paraId="39A7CE25">
            <w:pPr>
              <w:widowControl/>
              <w:spacing w:line="400" w:lineRule="exact"/>
              <w:jc w:val="center"/>
              <w:rPr>
                <w:rFonts w:ascii="Times New Roman" w:hAnsi="Times New Roman" w:eastAsia="方正仿宋_GBK" w:cs="Times New Roman"/>
                <w:b/>
                <w:bCs/>
                <w:color w:val="auto"/>
                <w:sz w:val="24"/>
                <w:szCs w:val="20"/>
              </w:rPr>
            </w:pPr>
            <w:r>
              <w:rPr>
                <w:rFonts w:ascii="Times New Roman" w:hAnsi="Times New Roman" w:eastAsia="方正仿宋_GBK" w:cs="Times New Roman"/>
                <w:b/>
                <w:bCs/>
                <w:color w:val="auto"/>
                <w:sz w:val="24"/>
                <w:szCs w:val="20"/>
              </w:rPr>
              <w:t>年份</w:t>
            </w:r>
          </w:p>
        </w:tc>
        <w:tc>
          <w:tcPr>
            <w:tcW w:w="2245" w:type="pct"/>
            <w:gridSpan w:val="2"/>
            <w:shd w:val="clear" w:color="auto" w:fill="FFFFFF" w:themeFill="background1"/>
            <w:vAlign w:val="center"/>
          </w:tcPr>
          <w:p w14:paraId="138DDCC9">
            <w:pPr>
              <w:widowControl/>
              <w:spacing w:line="400" w:lineRule="exact"/>
              <w:jc w:val="center"/>
              <w:rPr>
                <w:rFonts w:ascii="Times New Roman" w:hAnsi="Times New Roman" w:eastAsia="方正仿宋_GBK" w:cs="Times New Roman"/>
                <w:b/>
                <w:bCs/>
                <w:color w:val="auto"/>
                <w:sz w:val="24"/>
                <w:szCs w:val="20"/>
              </w:rPr>
            </w:pPr>
            <w:r>
              <w:rPr>
                <w:rFonts w:ascii="Times New Roman" w:hAnsi="Times New Roman" w:eastAsia="方正仿宋_GBK" w:cs="Times New Roman"/>
                <w:b/>
                <w:bCs/>
                <w:color w:val="auto"/>
                <w:sz w:val="24"/>
                <w:szCs w:val="20"/>
              </w:rPr>
              <w:t>平均等效声级（dB（A））</w:t>
            </w:r>
          </w:p>
        </w:tc>
        <w:tc>
          <w:tcPr>
            <w:tcW w:w="998" w:type="pct"/>
            <w:shd w:val="clear" w:color="auto" w:fill="FFFFFF" w:themeFill="background1"/>
            <w:vAlign w:val="center"/>
          </w:tcPr>
          <w:p w14:paraId="774D4812">
            <w:pPr>
              <w:widowControl/>
              <w:spacing w:line="400" w:lineRule="exact"/>
              <w:jc w:val="center"/>
              <w:rPr>
                <w:rFonts w:ascii="Times New Roman" w:hAnsi="Times New Roman" w:eastAsia="方正仿宋_GBK" w:cs="Times New Roman"/>
                <w:b/>
                <w:bCs/>
                <w:color w:val="auto"/>
                <w:sz w:val="24"/>
                <w:szCs w:val="20"/>
              </w:rPr>
            </w:pPr>
            <w:r>
              <w:rPr>
                <w:rFonts w:ascii="Times New Roman" w:hAnsi="Times New Roman" w:eastAsia="方正仿宋_GBK" w:cs="Times New Roman"/>
                <w:b/>
                <w:bCs/>
                <w:color w:val="auto"/>
                <w:sz w:val="24"/>
                <w:szCs w:val="20"/>
              </w:rPr>
              <w:t>等级</w:t>
            </w:r>
          </w:p>
        </w:tc>
        <w:tc>
          <w:tcPr>
            <w:tcW w:w="1026" w:type="pct"/>
            <w:shd w:val="clear" w:color="auto" w:fill="FFFFFF" w:themeFill="background1"/>
            <w:vAlign w:val="center"/>
          </w:tcPr>
          <w:p w14:paraId="0A61EA49">
            <w:pPr>
              <w:widowControl/>
              <w:spacing w:line="400" w:lineRule="exact"/>
              <w:jc w:val="center"/>
              <w:rPr>
                <w:rFonts w:ascii="Times New Roman" w:hAnsi="Times New Roman" w:eastAsia="方正仿宋_GBK" w:cs="Times New Roman"/>
                <w:b/>
                <w:bCs/>
                <w:color w:val="auto"/>
                <w:sz w:val="24"/>
                <w:szCs w:val="20"/>
              </w:rPr>
            </w:pPr>
            <w:r>
              <w:rPr>
                <w:rFonts w:ascii="Times New Roman" w:hAnsi="Times New Roman" w:eastAsia="方正仿宋_GBK" w:cs="Times New Roman"/>
                <w:b/>
                <w:bCs/>
                <w:color w:val="auto"/>
                <w:sz w:val="24"/>
                <w:szCs w:val="20"/>
              </w:rPr>
              <w:t>质量评价</w:t>
            </w:r>
          </w:p>
        </w:tc>
      </w:tr>
      <w:tr w14:paraId="6615D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Align w:val="center"/>
          </w:tcPr>
          <w:p w14:paraId="26CD8327">
            <w:pPr>
              <w:widowControl/>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2019年</w:t>
            </w:r>
          </w:p>
        </w:tc>
        <w:tc>
          <w:tcPr>
            <w:tcW w:w="935" w:type="pct"/>
            <w:vAlign w:val="center"/>
          </w:tcPr>
          <w:p w14:paraId="5A9DD73E">
            <w:pPr>
              <w:widowControl/>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昼间</w:t>
            </w:r>
          </w:p>
        </w:tc>
        <w:tc>
          <w:tcPr>
            <w:tcW w:w="1310" w:type="pct"/>
            <w:vAlign w:val="center"/>
          </w:tcPr>
          <w:p w14:paraId="2A18AF8C">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63.7</w:t>
            </w:r>
          </w:p>
        </w:tc>
        <w:tc>
          <w:tcPr>
            <w:tcW w:w="1702" w:type="dxa"/>
            <w:vAlign w:val="center"/>
          </w:tcPr>
          <w:p w14:paraId="7588C644">
            <w:pPr>
              <w:widowControl/>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一级</w:t>
            </w:r>
          </w:p>
        </w:tc>
        <w:tc>
          <w:tcPr>
            <w:tcW w:w="1749" w:type="dxa"/>
            <w:vAlign w:val="center"/>
          </w:tcPr>
          <w:p w14:paraId="7F5227FD">
            <w:pPr>
              <w:widowControl/>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好</w:t>
            </w:r>
          </w:p>
        </w:tc>
      </w:tr>
      <w:tr w14:paraId="3C753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Align w:val="center"/>
          </w:tcPr>
          <w:p w14:paraId="6C649EB6">
            <w:pPr>
              <w:widowControl/>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2020年</w:t>
            </w:r>
          </w:p>
        </w:tc>
        <w:tc>
          <w:tcPr>
            <w:tcW w:w="935" w:type="pct"/>
            <w:vAlign w:val="center"/>
          </w:tcPr>
          <w:p w14:paraId="0A4EA971">
            <w:pPr>
              <w:widowControl/>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昼间</w:t>
            </w:r>
          </w:p>
        </w:tc>
        <w:tc>
          <w:tcPr>
            <w:tcW w:w="1310" w:type="pct"/>
            <w:vAlign w:val="center"/>
          </w:tcPr>
          <w:p w14:paraId="7FADD54A">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64.7</w:t>
            </w:r>
          </w:p>
        </w:tc>
        <w:tc>
          <w:tcPr>
            <w:tcW w:w="1702" w:type="dxa"/>
            <w:vAlign w:val="center"/>
          </w:tcPr>
          <w:p w14:paraId="2B28A6E5">
            <w:pPr>
              <w:widowControl/>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一级</w:t>
            </w:r>
          </w:p>
        </w:tc>
        <w:tc>
          <w:tcPr>
            <w:tcW w:w="1749" w:type="dxa"/>
            <w:vAlign w:val="center"/>
          </w:tcPr>
          <w:p w14:paraId="77C04007">
            <w:pPr>
              <w:widowControl/>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好</w:t>
            </w:r>
          </w:p>
        </w:tc>
      </w:tr>
      <w:tr w14:paraId="0E507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29" w:type="pct"/>
            <w:vAlign w:val="center"/>
          </w:tcPr>
          <w:p w14:paraId="00C639F1">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2021年</w:t>
            </w:r>
          </w:p>
        </w:tc>
        <w:tc>
          <w:tcPr>
            <w:tcW w:w="935" w:type="pct"/>
            <w:vAlign w:val="center"/>
          </w:tcPr>
          <w:p w14:paraId="5E7D75CC">
            <w:pPr>
              <w:widowControl/>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昼间</w:t>
            </w:r>
          </w:p>
        </w:tc>
        <w:tc>
          <w:tcPr>
            <w:tcW w:w="1310" w:type="pct"/>
            <w:vAlign w:val="center"/>
          </w:tcPr>
          <w:p w14:paraId="3F38DC00">
            <w:pPr>
              <w:widowControl/>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62.4</w:t>
            </w:r>
          </w:p>
        </w:tc>
        <w:tc>
          <w:tcPr>
            <w:tcW w:w="998" w:type="pct"/>
            <w:vAlign w:val="center"/>
          </w:tcPr>
          <w:p w14:paraId="26F35D25">
            <w:pPr>
              <w:widowControl/>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一级</w:t>
            </w:r>
          </w:p>
        </w:tc>
        <w:tc>
          <w:tcPr>
            <w:tcW w:w="1026" w:type="pct"/>
            <w:vAlign w:val="center"/>
          </w:tcPr>
          <w:p w14:paraId="54795CA7">
            <w:pPr>
              <w:widowControl/>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好</w:t>
            </w:r>
          </w:p>
        </w:tc>
      </w:tr>
    </w:tbl>
    <w:p w14:paraId="136DFEF4">
      <w:pPr>
        <w:keepNext w:val="0"/>
        <w:keepLines w:val="0"/>
        <w:pageBreakBefore w:val="0"/>
        <w:widowControl/>
        <w:suppressLineNumbers w:val="0"/>
        <w:kinsoku/>
        <w:wordWrap/>
        <w:overflowPunct/>
        <w:topLinePunct w:val="0"/>
        <w:autoSpaceDE/>
        <w:autoSpaceDN/>
        <w:bidi w:val="0"/>
        <w:adjustRightInd/>
        <w:snapToGrid/>
        <w:spacing w:line="500" w:lineRule="exact"/>
        <w:ind w:firstLine="560" w:firstLineChars="200"/>
        <w:jc w:val="left"/>
        <w:textAlignment w:val="auto"/>
        <w:rPr>
          <w:rFonts w:hint="eastAsia" w:ascii="Times New Roman" w:hAnsi="Times New Roman" w:eastAsia="方正仿宋_GBK" w:cs="方正仿宋_GBK"/>
          <w:b w:val="0"/>
          <w:bCs w:val="0"/>
          <w:color w:val="auto"/>
          <w:sz w:val="28"/>
          <w:szCs w:val="28"/>
          <w:lang w:val="en-US" w:eastAsia="zh-CN"/>
        </w:rPr>
      </w:pPr>
      <w:r>
        <w:rPr>
          <w:rFonts w:hint="eastAsia" w:ascii="Times New Roman" w:hAnsi="Times New Roman" w:eastAsia="方正仿宋_GBK" w:cs="方正仿宋_GBK"/>
          <w:b w:val="0"/>
          <w:bCs w:val="0"/>
          <w:color w:val="auto"/>
          <w:sz w:val="28"/>
          <w:szCs w:val="28"/>
          <w:lang w:val="en-US" w:eastAsia="zh-CN"/>
        </w:rPr>
        <w:t>（3）功能区声环境质量状况</w:t>
      </w:r>
    </w:p>
    <w:p w14:paraId="789BFF46">
      <w:pPr>
        <w:keepNext w:val="0"/>
        <w:keepLines w:val="0"/>
        <w:pageBreakBefore w:val="0"/>
        <w:widowControl/>
        <w:suppressLineNumbers w:val="0"/>
        <w:kinsoku/>
        <w:wordWrap/>
        <w:overflowPunct/>
        <w:topLinePunct w:val="0"/>
        <w:autoSpaceDE/>
        <w:autoSpaceDN/>
        <w:bidi w:val="0"/>
        <w:adjustRightInd/>
        <w:snapToGrid/>
        <w:spacing w:line="500" w:lineRule="exact"/>
        <w:ind w:firstLine="560" w:firstLineChars="200"/>
        <w:jc w:val="left"/>
        <w:textAlignment w:val="auto"/>
        <w:rPr>
          <w:rFonts w:hint="eastAsia" w:ascii="Times New Roman" w:hAnsi="Times New Roman" w:eastAsia="方正仿宋_GBK" w:cs="方正仿宋_GBK"/>
          <w:b w:val="0"/>
          <w:bCs w:val="0"/>
          <w:color w:val="auto"/>
          <w:sz w:val="28"/>
          <w:szCs w:val="28"/>
          <w:lang w:val="en-US" w:eastAsia="zh-CN"/>
        </w:rPr>
      </w:pPr>
      <w:r>
        <w:rPr>
          <w:rFonts w:hint="eastAsia" w:ascii="Times New Roman" w:hAnsi="Times New Roman" w:eastAsia="方正仿宋_GBK" w:cs="方正仿宋_GBK"/>
          <w:b w:val="0"/>
          <w:bCs w:val="0"/>
          <w:color w:val="auto"/>
          <w:sz w:val="28"/>
          <w:szCs w:val="28"/>
          <w:lang w:val="en-US" w:eastAsia="zh-CN"/>
        </w:rPr>
        <w:t>2019—2021年，新平县城市功能区年平均昼间等效声级在38.28-58.08dB，监测点次达标率为100%，年平均夜间等效声级在30.28-49.65dB，昼间、夜间平均等效声级均达标。新平县功能区声环境监测结果见表2.1.5.3-3。</w:t>
      </w:r>
    </w:p>
    <w:p w14:paraId="1C90BD63">
      <w:pPr>
        <w:widowControl/>
        <w:jc w:val="center"/>
        <w:rPr>
          <w:rFonts w:hint="default" w:eastAsia="仿宋"/>
          <w:lang w:val="en-US" w:eastAsia="zh-CN"/>
        </w:rPr>
      </w:pPr>
      <w:r>
        <w:rPr>
          <w:rFonts w:ascii="Times New Roman" w:hAnsi="Times New Roman" w:eastAsia="仿宋" w:cs="Times New Roman"/>
          <w:b/>
          <w:bCs/>
          <w:color w:val="auto"/>
          <w:sz w:val="24"/>
        </w:rPr>
        <w:t>表</w:t>
      </w:r>
      <w:r>
        <w:rPr>
          <w:rFonts w:hint="eastAsia" w:ascii="Times New Roman" w:hAnsi="Times New Roman" w:eastAsia="仿宋" w:cs="Times New Roman"/>
          <w:b/>
          <w:bCs/>
          <w:color w:val="auto"/>
          <w:sz w:val="24"/>
        </w:rPr>
        <w:t>2.1.5.3-</w:t>
      </w:r>
      <w:r>
        <w:rPr>
          <w:rFonts w:hint="eastAsia" w:ascii="Times New Roman" w:hAnsi="Times New Roman" w:eastAsia="仿宋" w:cs="Times New Roman"/>
          <w:b/>
          <w:bCs/>
          <w:color w:val="auto"/>
          <w:sz w:val="24"/>
          <w:lang w:val="en-US" w:eastAsia="zh-CN"/>
        </w:rPr>
        <w:t>3</w:t>
      </w:r>
      <w:r>
        <w:rPr>
          <w:rFonts w:ascii="Times New Roman" w:hAnsi="Times New Roman" w:eastAsia="仿宋" w:cs="Times New Roman"/>
          <w:b/>
          <w:bCs/>
          <w:color w:val="auto"/>
          <w:sz w:val="24"/>
        </w:rPr>
        <w:t xml:space="preserve"> 201</w:t>
      </w:r>
      <w:r>
        <w:rPr>
          <w:rFonts w:hint="eastAsia" w:ascii="Times New Roman" w:hAnsi="Times New Roman" w:eastAsia="仿宋" w:cs="Times New Roman"/>
          <w:b/>
          <w:bCs/>
          <w:color w:val="auto"/>
          <w:sz w:val="24"/>
          <w:lang w:val="en-US" w:eastAsia="zh-CN"/>
        </w:rPr>
        <w:t>9—</w:t>
      </w:r>
      <w:r>
        <w:rPr>
          <w:rFonts w:ascii="Times New Roman" w:hAnsi="Times New Roman" w:eastAsia="仿宋" w:cs="Times New Roman"/>
          <w:b/>
          <w:bCs/>
          <w:color w:val="auto"/>
          <w:sz w:val="24"/>
        </w:rPr>
        <w:t>202</w:t>
      </w:r>
      <w:r>
        <w:rPr>
          <w:rFonts w:hint="eastAsia" w:ascii="Times New Roman" w:hAnsi="Times New Roman" w:eastAsia="仿宋" w:cs="Times New Roman"/>
          <w:b/>
          <w:bCs/>
          <w:color w:val="auto"/>
          <w:sz w:val="24"/>
          <w:lang w:val="en-US" w:eastAsia="zh-CN"/>
        </w:rPr>
        <w:t>1</w:t>
      </w:r>
      <w:r>
        <w:rPr>
          <w:rFonts w:ascii="Times New Roman" w:hAnsi="Times New Roman" w:eastAsia="仿宋" w:cs="Times New Roman"/>
          <w:b/>
          <w:bCs/>
          <w:color w:val="auto"/>
          <w:sz w:val="24"/>
        </w:rPr>
        <w:t>年</w:t>
      </w:r>
      <w:r>
        <w:rPr>
          <w:rFonts w:hint="eastAsia" w:ascii="Times New Roman" w:hAnsi="Times New Roman" w:eastAsia="仿宋" w:cs="Times New Roman"/>
          <w:b/>
          <w:bCs/>
          <w:color w:val="auto"/>
          <w:sz w:val="24"/>
          <w:lang w:val="en-US" w:eastAsia="zh-CN"/>
        </w:rPr>
        <w:t>新平县</w:t>
      </w:r>
      <w:r>
        <w:rPr>
          <w:rFonts w:ascii="Times New Roman" w:hAnsi="Times New Roman" w:eastAsia="仿宋" w:cs="Times New Roman"/>
          <w:b/>
          <w:bCs/>
          <w:color w:val="auto"/>
          <w:sz w:val="24"/>
        </w:rPr>
        <w:t>城区功能区声环境质量监测结果统计表</w:t>
      </w:r>
    </w:p>
    <w:tbl>
      <w:tblPr>
        <w:tblStyle w:val="2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1"/>
        <w:gridCol w:w="1065"/>
        <w:gridCol w:w="1380"/>
        <w:gridCol w:w="1230"/>
        <w:gridCol w:w="1140"/>
        <w:gridCol w:w="1050"/>
        <w:gridCol w:w="1293"/>
      </w:tblGrid>
      <w:tr w14:paraId="1871E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blHeader/>
          <w:jc w:val="center"/>
        </w:trPr>
        <w:tc>
          <w:tcPr>
            <w:tcW w:w="798" w:type="pct"/>
            <w:vMerge w:val="restart"/>
            <w:shd w:val="clear" w:color="auto" w:fill="FFFFFF" w:themeFill="background1"/>
            <w:vAlign w:val="center"/>
          </w:tcPr>
          <w:p w14:paraId="71EF9AB1">
            <w:pPr>
              <w:widowControl/>
              <w:spacing w:line="400" w:lineRule="exact"/>
              <w:jc w:val="center"/>
              <w:rPr>
                <w:rFonts w:hint="eastAsia" w:ascii="Times New Roman" w:hAnsi="Times New Roman" w:eastAsia="方正仿宋_GBK" w:cs="Times New Roman"/>
                <w:b/>
                <w:bCs/>
                <w:color w:val="auto"/>
                <w:sz w:val="24"/>
                <w:szCs w:val="20"/>
                <w:lang w:val="en-US" w:eastAsia="zh-CN"/>
              </w:rPr>
            </w:pPr>
            <w:r>
              <w:rPr>
                <w:rFonts w:hint="eastAsia" w:ascii="Times New Roman" w:hAnsi="Times New Roman" w:eastAsia="方正仿宋_GBK" w:cs="Times New Roman"/>
                <w:b/>
                <w:bCs/>
                <w:color w:val="auto"/>
                <w:sz w:val="24"/>
                <w:szCs w:val="20"/>
                <w:lang w:val="en-US" w:eastAsia="zh-CN"/>
              </w:rPr>
              <w:t>监测点位</w:t>
            </w:r>
          </w:p>
        </w:tc>
        <w:tc>
          <w:tcPr>
            <w:tcW w:w="625" w:type="pct"/>
            <w:vMerge w:val="restart"/>
            <w:shd w:val="clear" w:color="auto" w:fill="FFFFFF" w:themeFill="background1"/>
            <w:vAlign w:val="center"/>
          </w:tcPr>
          <w:p w14:paraId="77CF4B56">
            <w:pPr>
              <w:widowControl/>
              <w:spacing w:line="400" w:lineRule="exact"/>
              <w:jc w:val="center"/>
              <w:rPr>
                <w:rFonts w:hint="default" w:ascii="Times New Roman" w:hAnsi="Times New Roman" w:eastAsia="方正仿宋_GBK" w:cs="Times New Roman"/>
                <w:b/>
                <w:bCs/>
                <w:color w:val="auto"/>
                <w:sz w:val="24"/>
                <w:szCs w:val="20"/>
                <w:lang w:val="en-US" w:eastAsia="zh-CN"/>
              </w:rPr>
            </w:pPr>
            <w:r>
              <w:rPr>
                <w:rFonts w:hint="eastAsia" w:ascii="Times New Roman" w:hAnsi="Times New Roman" w:eastAsia="方正仿宋_GBK" w:cs="Times New Roman"/>
                <w:b/>
                <w:bCs/>
                <w:color w:val="auto"/>
                <w:sz w:val="24"/>
                <w:szCs w:val="20"/>
                <w:lang w:val="en-US" w:eastAsia="zh-CN"/>
              </w:rPr>
              <w:t>功能区类别</w:t>
            </w:r>
          </w:p>
        </w:tc>
        <w:tc>
          <w:tcPr>
            <w:tcW w:w="2817" w:type="pct"/>
            <w:gridSpan w:val="4"/>
            <w:shd w:val="clear" w:color="auto" w:fill="FFFFFF" w:themeFill="background1"/>
            <w:vAlign w:val="center"/>
          </w:tcPr>
          <w:p w14:paraId="0E1E4E71">
            <w:pPr>
              <w:widowControl/>
              <w:spacing w:line="400" w:lineRule="exact"/>
              <w:jc w:val="center"/>
              <w:rPr>
                <w:rFonts w:hint="eastAsia" w:ascii="Times New Roman" w:hAnsi="Times New Roman" w:eastAsia="方正仿宋_GBK" w:cs="Times New Roman"/>
                <w:b/>
                <w:bCs/>
                <w:color w:val="auto"/>
                <w:sz w:val="24"/>
                <w:szCs w:val="20"/>
                <w:lang w:val="en-US" w:eastAsia="zh-CN"/>
              </w:rPr>
            </w:pPr>
            <w:r>
              <w:rPr>
                <w:rFonts w:hint="eastAsia" w:ascii="Times New Roman" w:hAnsi="Times New Roman" w:eastAsia="方正仿宋_GBK" w:cs="Times New Roman"/>
                <w:b/>
                <w:bCs/>
                <w:color w:val="auto"/>
                <w:sz w:val="24"/>
                <w:szCs w:val="20"/>
                <w:lang w:val="en-US" w:eastAsia="zh-CN"/>
              </w:rPr>
              <w:t>检测结果</w:t>
            </w:r>
          </w:p>
          <w:p w14:paraId="234C8346">
            <w:pPr>
              <w:widowControl/>
              <w:spacing w:line="400" w:lineRule="exact"/>
              <w:jc w:val="center"/>
              <w:rPr>
                <w:rFonts w:ascii="Times New Roman" w:hAnsi="Times New Roman" w:eastAsia="方正仿宋_GBK" w:cs="Times New Roman"/>
                <w:b/>
                <w:bCs/>
                <w:color w:val="auto"/>
                <w:sz w:val="24"/>
                <w:szCs w:val="20"/>
              </w:rPr>
            </w:pPr>
            <w:r>
              <w:rPr>
                <w:rFonts w:ascii="Times New Roman" w:hAnsi="Times New Roman" w:eastAsia="方正仿宋_GBK" w:cs="Times New Roman"/>
                <w:b/>
                <w:bCs/>
                <w:color w:val="auto"/>
                <w:sz w:val="24"/>
                <w:szCs w:val="20"/>
              </w:rPr>
              <w:t>平均等效声级（dB（A））</w:t>
            </w:r>
          </w:p>
        </w:tc>
        <w:tc>
          <w:tcPr>
            <w:tcW w:w="758" w:type="pct"/>
            <w:vMerge w:val="restart"/>
            <w:shd w:val="clear" w:color="auto" w:fill="FFFFFF" w:themeFill="background1"/>
            <w:vAlign w:val="center"/>
          </w:tcPr>
          <w:p w14:paraId="1CABEE9C">
            <w:pPr>
              <w:widowControl/>
              <w:spacing w:line="400" w:lineRule="exact"/>
              <w:jc w:val="center"/>
              <w:rPr>
                <w:rFonts w:ascii="Times New Roman" w:hAnsi="Times New Roman" w:eastAsia="方正仿宋_GBK" w:cs="Times New Roman"/>
                <w:b/>
                <w:bCs/>
                <w:color w:val="auto"/>
                <w:sz w:val="24"/>
                <w:szCs w:val="20"/>
              </w:rPr>
            </w:pPr>
            <w:r>
              <w:rPr>
                <w:rFonts w:ascii="Times New Roman" w:hAnsi="Times New Roman" w:eastAsia="方正仿宋_GBK" w:cs="Times New Roman"/>
                <w:b/>
                <w:bCs/>
                <w:color w:val="auto"/>
                <w:sz w:val="24"/>
                <w:szCs w:val="20"/>
              </w:rPr>
              <w:t>平均等效声级达标情况</w:t>
            </w:r>
          </w:p>
        </w:tc>
      </w:tr>
      <w:tr w14:paraId="00339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blHeader/>
          <w:jc w:val="center"/>
        </w:trPr>
        <w:tc>
          <w:tcPr>
            <w:tcW w:w="798" w:type="pct"/>
            <w:vMerge w:val="continue"/>
            <w:shd w:val="clear" w:color="auto" w:fill="FFFFFF" w:themeFill="background1"/>
            <w:vAlign w:val="center"/>
          </w:tcPr>
          <w:p w14:paraId="4FDA8EA2">
            <w:pPr>
              <w:widowControl/>
              <w:spacing w:line="400" w:lineRule="exact"/>
              <w:jc w:val="center"/>
              <w:rPr>
                <w:rFonts w:hint="eastAsia" w:ascii="Times New Roman" w:hAnsi="Times New Roman" w:eastAsia="方正仿宋_GBK" w:cs="Times New Roman"/>
                <w:b/>
                <w:bCs/>
                <w:color w:val="auto"/>
                <w:sz w:val="24"/>
                <w:szCs w:val="20"/>
                <w:lang w:val="en-US" w:eastAsia="zh-CN"/>
              </w:rPr>
            </w:pPr>
          </w:p>
        </w:tc>
        <w:tc>
          <w:tcPr>
            <w:tcW w:w="625" w:type="pct"/>
            <w:vMerge w:val="continue"/>
            <w:shd w:val="clear" w:color="auto" w:fill="FFFFFF" w:themeFill="background1"/>
            <w:vAlign w:val="center"/>
          </w:tcPr>
          <w:p w14:paraId="7259800B">
            <w:pPr>
              <w:widowControl/>
              <w:spacing w:line="400" w:lineRule="exact"/>
              <w:jc w:val="center"/>
              <w:rPr>
                <w:rFonts w:hint="eastAsia" w:ascii="Times New Roman" w:hAnsi="Times New Roman" w:eastAsia="方正仿宋_GBK" w:cs="Times New Roman"/>
                <w:b/>
                <w:bCs/>
                <w:color w:val="auto"/>
                <w:sz w:val="24"/>
                <w:szCs w:val="20"/>
                <w:lang w:val="en-US" w:eastAsia="zh-CN"/>
              </w:rPr>
            </w:pPr>
          </w:p>
        </w:tc>
        <w:tc>
          <w:tcPr>
            <w:tcW w:w="809" w:type="pct"/>
            <w:shd w:val="clear" w:color="auto" w:fill="FFFFFF" w:themeFill="background1"/>
            <w:vAlign w:val="center"/>
          </w:tcPr>
          <w:p w14:paraId="168D132A">
            <w:pPr>
              <w:widowControl/>
              <w:spacing w:line="400" w:lineRule="exact"/>
              <w:jc w:val="center"/>
              <w:rPr>
                <w:rFonts w:hint="eastAsia" w:ascii="Times New Roman" w:hAnsi="Times New Roman" w:eastAsia="方正仿宋_GBK" w:cs="Times New Roman"/>
                <w:b/>
                <w:bCs/>
                <w:color w:val="auto"/>
                <w:sz w:val="24"/>
                <w:szCs w:val="20"/>
                <w:lang w:val="en-US" w:eastAsia="zh-CN"/>
              </w:rPr>
            </w:pPr>
            <w:r>
              <w:rPr>
                <w:rFonts w:hint="eastAsia" w:ascii="Times New Roman" w:hAnsi="Times New Roman" w:eastAsia="方正仿宋_GBK" w:cs="Times New Roman"/>
                <w:b/>
                <w:bCs/>
                <w:color w:val="auto"/>
                <w:sz w:val="24"/>
                <w:szCs w:val="20"/>
                <w:lang w:val="en-US" w:eastAsia="zh-CN"/>
              </w:rPr>
              <w:t>年度</w:t>
            </w:r>
          </w:p>
        </w:tc>
        <w:tc>
          <w:tcPr>
            <w:tcW w:w="721" w:type="pct"/>
            <w:shd w:val="clear" w:color="auto" w:fill="FFFFFF" w:themeFill="background1"/>
            <w:vAlign w:val="center"/>
          </w:tcPr>
          <w:p w14:paraId="55B76981">
            <w:pPr>
              <w:widowControl/>
              <w:spacing w:line="400" w:lineRule="exact"/>
              <w:jc w:val="center"/>
              <w:rPr>
                <w:rFonts w:hint="default" w:ascii="Times New Roman" w:hAnsi="Times New Roman" w:eastAsia="方正仿宋_GBK" w:cs="Times New Roman"/>
                <w:b/>
                <w:bCs/>
                <w:color w:val="auto"/>
                <w:sz w:val="24"/>
                <w:szCs w:val="20"/>
                <w:lang w:val="en-US" w:eastAsia="zh-CN"/>
              </w:rPr>
            </w:pPr>
            <w:r>
              <w:rPr>
                <w:rFonts w:hint="eastAsia" w:ascii="Times New Roman" w:hAnsi="Times New Roman" w:eastAsia="方正仿宋_GBK" w:cs="Times New Roman"/>
                <w:b/>
                <w:bCs/>
                <w:color w:val="auto"/>
                <w:sz w:val="24"/>
                <w:szCs w:val="20"/>
                <w:lang w:val="en-US" w:eastAsia="zh-CN"/>
              </w:rPr>
              <w:t>2019年</w:t>
            </w:r>
          </w:p>
        </w:tc>
        <w:tc>
          <w:tcPr>
            <w:tcW w:w="669" w:type="pct"/>
            <w:shd w:val="clear" w:color="auto" w:fill="FFFFFF" w:themeFill="background1"/>
            <w:vAlign w:val="center"/>
          </w:tcPr>
          <w:p w14:paraId="1BDE57FC">
            <w:pPr>
              <w:widowControl/>
              <w:spacing w:line="400" w:lineRule="exact"/>
              <w:jc w:val="center"/>
              <w:rPr>
                <w:rFonts w:hint="default" w:ascii="Times New Roman" w:hAnsi="Times New Roman" w:eastAsia="方正仿宋_GBK" w:cs="Times New Roman"/>
                <w:b/>
                <w:bCs/>
                <w:color w:val="auto"/>
                <w:sz w:val="24"/>
                <w:szCs w:val="20"/>
                <w:lang w:val="en-US" w:eastAsia="zh-CN"/>
              </w:rPr>
            </w:pPr>
            <w:r>
              <w:rPr>
                <w:rFonts w:hint="eastAsia" w:ascii="Times New Roman" w:hAnsi="Times New Roman" w:eastAsia="方正仿宋_GBK" w:cs="Times New Roman"/>
                <w:b/>
                <w:bCs/>
                <w:color w:val="auto"/>
                <w:sz w:val="24"/>
                <w:szCs w:val="20"/>
                <w:lang w:val="en-US" w:eastAsia="zh-CN"/>
              </w:rPr>
              <w:t>2020年</w:t>
            </w:r>
          </w:p>
        </w:tc>
        <w:tc>
          <w:tcPr>
            <w:tcW w:w="616" w:type="pct"/>
            <w:shd w:val="clear" w:color="auto" w:fill="FFFFFF" w:themeFill="background1"/>
            <w:vAlign w:val="center"/>
          </w:tcPr>
          <w:p w14:paraId="3A1C5DF0">
            <w:pPr>
              <w:widowControl/>
              <w:spacing w:line="400" w:lineRule="exact"/>
              <w:jc w:val="center"/>
              <w:rPr>
                <w:rFonts w:hint="default" w:ascii="Times New Roman" w:hAnsi="Times New Roman" w:eastAsia="方正仿宋_GBK" w:cs="Times New Roman"/>
                <w:b/>
                <w:bCs/>
                <w:color w:val="auto"/>
                <w:sz w:val="24"/>
                <w:szCs w:val="20"/>
                <w:lang w:val="en-US" w:eastAsia="zh-CN"/>
              </w:rPr>
            </w:pPr>
            <w:r>
              <w:rPr>
                <w:rFonts w:hint="eastAsia" w:ascii="Times New Roman" w:hAnsi="Times New Roman" w:eastAsia="方正仿宋_GBK" w:cs="Times New Roman"/>
                <w:b/>
                <w:bCs/>
                <w:color w:val="auto"/>
                <w:sz w:val="24"/>
                <w:szCs w:val="20"/>
                <w:lang w:val="en-US" w:eastAsia="zh-CN"/>
              </w:rPr>
              <w:t>2021年</w:t>
            </w:r>
          </w:p>
        </w:tc>
        <w:tc>
          <w:tcPr>
            <w:tcW w:w="758" w:type="pct"/>
            <w:vMerge w:val="continue"/>
            <w:shd w:val="clear" w:color="auto" w:fill="BEBEBE" w:themeFill="background1" w:themeFillShade="BF"/>
            <w:vAlign w:val="center"/>
          </w:tcPr>
          <w:p w14:paraId="31FE93A8">
            <w:pPr>
              <w:widowControl/>
              <w:spacing w:line="400" w:lineRule="exact"/>
              <w:jc w:val="center"/>
              <w:rPr>
                <w:rFonts w:ascii="Times New Roman" w:hAnsi="Times New Roman" w:eastAsia="方正仿宋_GBK" w:cs="Times New Roman"/>
                <w:b/>
                <w:bCs/>
                <w:color w:val="auto"/>
                <w:sz w:val="24"/>
                <w:szCs w:val="20"/>
              </w:rPr>
            </w:pPr>
          </w:p>
        </w:tc>
      </w:tr>
      <w:tr w14:paraId="5D7A0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798" w:type="pct"/>
            <w:vMerge w:val="restart"/>
            <w:vAlign w:val="center"/>
          </w:tcPr>
          <w:p w14:paraId="3421CD79">
            <w:pPr>
              <w:widowControl/>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龙泉公园</w:t>
            </w:r>
          </w:p>
          <w:p w14:paraId="7B1FDCC7">
            <w:pPr>
              <w:widowControl/>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单元</w:t>
            </w:r>
          </w:p>
        </w:tc>
        <w:tc>
          <w:tcPr>
            <w:tcW w:w="625" w:type="pct"/>
            <w:vMerge w:val="restart"/>
            <w:vAlign w:val="center"/>
          </w:tcPr>
          <w:p w14:paraId="209BA07B">
            <w:pPr>
              <w:widowControl/>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1类</w:t>
            </w:r>
          </w:p>
        </w:tc>
        <w:tc>
          <w:tcPr>
            <w:tcW w:w="809" w:type="pct"/>
            <w:vAlign w:val="center"/>
          </w:tcPr>
          <w:p w14:paraId="6A16CC29">
            <w:pPr>
              <w:widowControl/>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昼间（Ld）</w:t>
            </w:r>
          </w:p>
        </w:tc>
        <w:tc>
          <w:tcPr>
            <w:tcW w:w="721" w:type="pct"/>
            <w:vAlign w:val="center"/>
          </w:tcPr>
          <w:p w14:paraId="0CE9AF4E">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40.45</w:t>
            </w:r>
          </w:p>
        </w:tc>
        <w:tc>
          <w:tcPr>
            <w:tcW w:w="669" w:type="pct"/>
            <w:vAlign w:val="center"/>
          </w:tcPr>
          <w:p w14:paraId="36C971F0">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38.28</w:t>
            </w:r>
          </w:p>
        </w:tc>
        <w:tc>
          <w:tcPr>
            <w:tcW w:w="616" w:type="pct"/>
            <w:vAlign w:val="center"/>
          </w:tcPr>
          <w:p w14:paraId="4064FF96">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42.25</w:t>
            </w:r>
          </w:p>
        </w:tc>
        <w:tc>
          <w:tcPr>
            <w:tcW w:w="758" w:type="pct"/>
            <w:vAlign w:val="center"/>
          </w:tcPr>
          <w:p w14:paraId="0825BD8A">
            <w:pPr>
              <w:widowControl/>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达标</w:t>
            </w:r>
          </w:p>
        </w:tc>
      </w:tr>
      <w:tr w14:paraId="7C2C6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798" w:type="pct"/>
            <w:vMerge w:val="continue"/>
            <w:vAlign w:val="center"/>
          </w:tcPr>
          <w:p w14:paraId="7D70F197">
            <w:pPr>
              <w:widowControl/>
              <w:spacing w:line="400" w:lineRule="exact"/>
              <w:jc w:val="center"/>
              <w:rPr>
                <w:rFonts w:hint="eastAsia" w:ascii="Times New Roman" w:hAnsi="Times New Roman" w:eastAsia="方正仿宋_GBK" w:cs="Times New Roman"/>
                <w:color w:val="auto"/>
                <w:sz w:val="24"/>
                <w:szCs w:val="20"/>
                <w:lang w:val="en-US" w:eastAsia="zh-CN"/>
              </w:rPr>
            </w:pPr>
          </w:p>
        </w:tc>
        <w:tc>
          <w:tcPr>
            <w:tcW w:w="625" w:type="pct"/>
            <w:vMerge w:val="continue"/>
            <w:vAlign w:val="center"/>
          </w:tcPr>
          <w:p w14:paraId="3ED50244">
            <w:pPr>
              <w:widowControl/>
              <w:spacing w:line="400" w:lineRule="exact"/>
              <w:jc w:val="center"/>
              <w:rPr>
                <w:rFonts w:hint="eastAsia" w:ascii="Times New Roman" w:hAnsi="Times New Roman" w:eastAsia="方正仿宋_GBK" w:cs="Times New Roman"/>
                <w:color w:val="auto"/>
                <w:sz w:val="24"/>
                <w:szCs w:val="20"/>
                <w:lang w:val="en-US" w:eastAsia="zh-CN"/>
              </w:rPr>
            </w:pPr>
          </w:p>
        </w:tc>
        <w:tc>
          <w:tcPr>
            <w:tcW w:w="809" w:type="pct"/>
            <w:vAlign w:val="center"/>
          </w:tcPr>
          <w:p w14:paraId="3A9BBCAE">
            <w:pPr>
              <w:widowControl/>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夜间（Ln）</w:t>
            </w:r>
          </w:p>
        </w:tc>
        <w:tc>
          <w:tcPr>
            <w:tcW w:w="721" w:type="pct"/>
            <w:vAlign w:val="center"/>
          </w:tcPr>
          <w:p w14:paraId="6ABFAF40">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40.05</w:t>
            </w:r>
          </w:p>
        </w:tc>
        <w:tc>
          <w:tcPr>
            <w:tcW w:w="669" w:type="pct"/>
            <w:vAlign w:val="center"/>
          </w:tcPr>
          <w:p w14:paraId="5DDAFBBC">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31.88</w:t>
            </w:r>
          </w:p>
        </w:tc>
        <w:tc>
          <w:tcPr>
            <w:tcW w:w="616" w:type="pct"/>
            <w:vAlign w:val="center"/>
          </w:tcPr>
          <w:p w14:paraId="707D77CA">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34</w:t>
            </w:r>
          </w:p>
        </w:tc>
        <w:tc>
          <w:tcPr>
            <w:tcW w:w="758" w:type="pct"/>
            <w:vAlign w:val="center"/>
          </w:tcPr>
          <w:p w14:paraId="06861311">
            <w:pPr>
              <w:widowControl/>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达标</w:t>
            </w:r>
          </w:p>
        </w:tc>
      </w:tr>
      <w:tr w14:paraId="3D347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98" w:type="pct"/>
            <w:vMerge w:val="restart"/>
            <w:vAlign w:val="center"/>
          </w:tcPr>
          <w:p w14:paraId="5B73B3F5">
            <w:pPr>
              <w:widowControl/>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花山公园</w:t>
            </w:r>
          </w:p>
          <w:p w14:paraId="41710B62">
            <w:pPr>
              <w:widowControl/>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单元</w:t>
            </w:r>
          </w:p>
        </w:tc>
        <w:tc>
          <w:tcPr>
            <w:tcW w:w="625" w:type="pct"/>
            <w:vMerge w:val="restart"/>
            <w:vAlign w:val="center"/>
          </w:tcPr>
          <w:p w14:paraId="4F5981CF">
            <w:pPr>
              <w:widowControl/>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1类</w:t>
            </w:r>
          </w:p>
        </w:tc>
        <w:tc>
          <w:tcPr>
            <w:tcW w:w="809" w:type="pct"/>
            <w:vAlign w:val="center"/>
          </w:tcPr>
          <w:p w14:paraId="7E012CEB">
            <w:pPr>
              <w:widowControl/>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昼间（Ld）</w:t>
            </w:r>
          </w:p>
        </w:tc>
        <w:tc>
          <w:tcPr>
            <w:tcW w:w="721" w:type="pct"/>
            <w:vAlign w:val="center"/>
          </w:tcPr>
          <w:p w14:paraId="278B3B71">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42.4</w:t>
            </w:r>
          </w:p>
        </w:tc>
        <w:tc>
          <w:tcPr>
            <w:tcW w:w="669" w:type="pct"/>
            <w:vAlign w:val="center"/>
          </w:tcPr>
          <w:p w14:paraId="2B4DCB8F">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38.9</w:t>
            </w:r>
          </w:p>
        </w:tc>
        <w:tc>
          <w:tcPr>
            <w:tcW w:w="616" w:type="pct"/>
            <w:vAlign w:val="center"/>
          </w:tcPr>
          <w:p w14:paraId="34ED34B0">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42.5</w:t>
            </w:r>
          </w:p>
        </w:tc>
        <w:tc>
          <w:tcPr>
            <w:tcW w:w="758" w:type="pct"/>
            <w:vAlign w:val="center"/>
          </w:tcPr>
          <w:p w14:paraId="471E28AF">
            <w:pPr>
              <w:widowControl/>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达标</w:t>
            </w:r>
          </w:p>
        </w:tc>
      </w:tr>
      <w:tr w14:paraId="7012A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798" w:type="pct"/>
            <w:vMerge w:val="continue"/>
            <w:vAlign w:val="center"/>
          </w:tcPr>
          <w:p w14:paraId="760DD7F0">
            <w:pPr>
              <w:widowControl/>
              <w:spacing w:line="400" w:lineRule="exact"/>
              <w:jc w:val="center"/>
              <w:rPr>
                <w:rFonts w:hint="eastAsia" w:ascii="Times New Roman" w:hAnsi="Times New Roman" w:eastAsia="方正仿宋_GBK" w:cs="Times New Roman"/>
                <w:color w:val="auto"/>
                <w:sz w:val="24"/>
                <w:szCs w:val="20"/>
                <w:lang w:val="en-US" w:eastAsia="zh-CN"/>
              </w:rPr>
            </w:pPr>
          </w:p>
        </w:tc>
        <w:tc>
          <w:tcPr>
            <w:tcW w:w="625" w:type="pct"/>
            <w:vMerge w:val="continue"/>
            <w:vAlign w:val="center"/>
          </w:tcPr>
          <w:p w14:paraId="09C81BF5">
            <w:pPr>
              <w:widowControl/>
              <w:spacing w:line="400" w:lineRule="exact"/>
              <w:jc w:val="center"/>
              <w:rPr>
                <w:rFonts w:hint="eastAsia" w:ascii="Times New Roman" w:hAnsi="Times New Roman" w:eastAsia="方正仿宋_GBK" w:cs="Times New Roman"/>
                <w:color w:val="auto"/>
                <w:sz w:val="24"/>
                <w:szCs w:val="20"/>
                <w:lang w:val="en-US" w:eastAsia="zh-CN"/>
              </w:rPr>
            </w:pPr>
          </w:p>
        </w:tc>
        <w:tc>
          <w:tcPr>
            <w:tcW w:w="809" w:type="pct"/>
            <w:vAlign w:val="center"/>
          </w:tcPr>
          <w:p w14:paraId="688814C0">
            <w:pPr>
              <w:widowControl/>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夜间（Ln）</w:t>
            </w:r>
          </w:p>
        </w:tc>
        <w:tc>
          <w:tcPr>
            <w:tcW w:w="721" w:type="pct"/>
            <w:vAlign w:val="center"/>
          </w:tcPr>
          <w:p w14:paraId="7C96C4BE">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31.4</w:t>
            </w:r>
          </w:p>
        </w:tc>
        <w:tc>
          <w:tcPr>
            <w:tcW w:w="669" w:type="pct"/>
            <w:vAlign w:val="center"/>
          </w:tcPr>
          <w:p w14:paraId="60E60032">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30.28</w:t>
            </w:r>
          </w:p>
        </w:tc>
        <w:tc>
          <w:tcPr>
            <w:tcW w:w="616" w:type="pct"/>
            <w:vAlign w:val="center"/>
          </w:tcPr>
          <w:p w14:paraId="104EF849">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33.75</w:t>
            </w:r>
          </w:p>
        </w:tc>
        <w:tc>
          <w:tcPr>
            <w:tcW w:w="758" w:type="pct"/>
            <w:vAlign w:val="center"/>
          </w:tcPr>
          <w:p w14:paraId="5B0EAB5E">
            <w:pPr>
              <w:widowControl/>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达标</w:t>
            </w:r>
          </w:p>
        </w:tc>
      </w:tr>
      <w:tr w14:paraId="6D014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798" w:type="pct"/>
            <w:vMerge w:val="restart"/>
            <w:vAlign w:val="center"/>
          </w:tcPr>
          <w:p w14:paraId="4CE9E0C0">
            <w:pPr>
              <w:widowControl/>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老城区商</w:t>
            </w:r>
          </w:p>
          <w:p w14:paraId="68126C39">
            <w:pPr>
              <w:widowControl/>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贸城单元</w:t>
            </w:r>
          </w:p>
        </w:tc>
        <w:tc>
          <w:tcPr>
            <w:tcW w:w="625" w:type="pct"/>
            <w:vMerge w:val="restart"/>
            <w:vAlign w:val="center"/>
          </w:tcPr>
          <w:p w14:paraId="058086A6">
            <w:pPr>
              <w:widowControl/>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2类</w:t>
            </w:r>
          </w:p>
        </w:tc>
        <w:tc>
          <w:tcPr>
            <w:tcW w:w="809" w:type="pct"/>
            <w:vAlign w:val="center"/>
          </w:tcPr>
          <w:p w14:paraId="2E7CCA0A">
            <w:pPr>
              <w:widowControl/>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昼间（Ld）</w:t>
            </w:r>
          </w:p>
        </w:tc>
        <w:tc>
          <w:tcPr>
            <w:tcW w:w="721" w:type="pct"/>
            <w:vAlign w:val="center"/>
          </w:tcPr>
          <w:p w14:paraId="6F5BCF8F">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43.8</w:t>
            </w:r>
          </w:p>
        </w:tc>
        <w:tc>
          <w:tcPr>
            <w:tcW w:w="669" w:type="pct"/>
            <w:vAlign w:val="center"/>
          </w:tcPr>
          <w:p w14:paraId="53B8623C">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49.7</w:t>
            </w:r>
          </w:p>
        </w:tc>
        <w:tc>
          <w:tcPr>
            <w:tcW w:w="616" w:type="pct"/>
            <w:vAlign w:val="center"/>
          </w:tcPr>
          <w:p w14:paraId="56A64AA8">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51.25</w:t>
            </w:r>
          </w:p>
        </w:tc>
        <w:tc>
          <w:tcPr>
            <w:tcW w:w="758" w:type="pct"/>
            <w:vAlign w:val="center"/>
          </w:tcPr>
          <w:p w14:paraId="740748D9">
            <w:pPr>
              <w:widowControl/>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达标</w:t>
            </w:r>
          </w:p>
        </w:tc>
      </w:tr>
      <w:tr w14:paraId="0F727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798" w:type="pct"/>
            <w:vMerge w:val="continue"/>
            <w:vAlign w:val="center"/>
          </w:tcPr>
          <w:p w14:paraId="14A48A53">
            <w:pPr>
              <w:widowControl/>
              <w:spacing w:line="400" w:lineRule="exact"/>
              <w:jc w:val="center"/>
              <w:rPr>
                <w:rFonts w:hint="eastAsia" w:ascii="Times New Roman" w:hAnsi="Times New Roman" w:eastAsia="方正仿宋_GBK" w:cs="Times New Roman"/>
                <w:color w:val="auto"/>
                <w:sz w:val="24"/>
                <w:szCs w:val="20"/>
                <w:lang w:val="en-US" w:eastAsia="zh-CN"/>
              </w:rPr>
            </w:pPr>
          </w:p>
        </w:tc>
        <w:tc>
          <w:tcPr>
            <w:tcW w:w="625" w:type="pct"/>
            <w:vMerge w:val="continue"/>
            <w:vAlign w:val="center"/>
          </w:tcPr>
          <w:p w14:paraId="1F49030C">
            <w:pPr>
              <w:widowControl/>
              <w:spacing w:line="400" w:lineRule="exact"/>
              <w:jc w:val="center"/>
              <w:rPr>
                <w:rFonts w:hint="eastAsia" w:ascii="Times New Roman" w:hAnsi="Times New Roman" w:eastAsia="方正仿宋_GBK" w:cs="Times New Roman"/>
                <w:color w:val="auto"/>
                <w:sz w:val="24"/>
                <w:szCs w:val="20"/>
                <w:lang w:val="en-US" w:eastAsia="zh-CN"/>
              </w:rPr>
            </w:pPr>
          </w:p>
        </w:tc>
        <w:tc>
          <w:tcPr>
            <w:tcW w:w="809" w:type="pct"/>
            <w:vAlign w:val="center"/>
          </w:tcPr>
          <w:p w14:paraId="55FCF693">
            <w:pPr>
              <w:widowControl/>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夜间（Ln）</w:t>
            </w:r>
          </w:p>
        </w:tc>
        <w:tc>
          <w:tcPr>
            <w:tcW w:w="721" w:type="pct"/>
            <w:vAlign w:val="center"/>
          </w:tcPr>
          <w:p w14:paraId="09CA1EAA">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34.95</w:t>
            </w:r>
          </w:p>
        </w:tc>
        <w:tc>
          <w:tcPr>
            <w:tcW w:w="669" w:type="pct"/>
            <w:vAlign w:val="center"/>
          </w:tcPr>
          <w:p w14:paraId="5279FCBE">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37.83</w:t>
            </w:r>
          </w:p>
        </w:tc>
        <w:tc>
          <w:tcPr>
            <w:tcW w:w="616" w:type="pct"/>
            <w:vAlign w:val="center"/>
          </w:tcPr>
          <w:p w14:paraId="69322375">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41.75</w:t>
            </w:r>
          </w:p>
        </w:tc>
        <w:tc>
          <w:tcPr>
            <w:tcW w:w="758" w:type="pct"/>
            <w:vAlign w:val="center"/>
          </w:tcPr>
          <w:p w14:paraId="5F367748">
            <w:pPr>
              <w:widowControl/>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达标</w:t>
            </w:r>
          </w:p>
        </w:tc>
      </w:tr>
      <w:tr w14:paraId="22012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798" w:type="pct"/>
            <w:vMerge w:val="restart"/>
            <w:vAlign w:val="center"/>
          </w:tcPr>
          <w:p w14:paraId="294AA126">
            <w:pPr>
              <w:widowControl/>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民族广场</w:t>
            </w:r>
          </w:p>
          <w:p w14:paraId="59C910FA">
            <w:pPr>
              <w:widowControl/>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单元</w:t>
            </w:r>
          </w:p>
        </w:tc>
        <w:tc>
          <w:tcPr>
            <w:tcW w:w="625" w:type="pct"/>
            <w:vMerge w:val="restart"/>
            <w:vAlign w:val="center"/>
          </w:tcPr>
          <w:p w14:paraId="1D7C9E30">
            <w:pPr>
              <w:widowControl/>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2类</w:t>
            </w:r>
          </w:p>
        </w:tc>
        <w:tc>
          <w:tcPr>
            <w:tcW w:w="809" w:type="pct"/>
            <w:vAlign w:val="center"/>
          </w:tcPr>
          <w:p w14:paraId="789A7822">
            <w:pPr>
              <w:widowControl/>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昼间（Ld）</w:t>
            </w:r>
          </w:p>
        </w:tc>
        <w:tc>
          <w:tcPr>
            <w:tcW w:w="721" w:type="pct"/>
            <w:vAlign w:val="center"/>
          </w:tcPr>
          <w:p w14:paraId="21001A84">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45.5</w:t>
            </w:r>
          </w:p>
        </w:tc>
        <w:tc>
          <w:tcPr>
            <w:tcW w:w="669" w:type="pct"/>
            <w:vAlign w:val="center"/>
          </w:tcPr>
          <w:p w14:paraId="74A272C8">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48.15</w:t>
            </w:r>
          </w:p>
        </w:tc>
        <w:tc>
          <w:tcPr>
            <w:tcW w:w="616" w:type="pct"/>
            <w:vAlign w:val="center"/>
          </w:tcPr>
          <w:p w14:paraId="13493253">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49.5</w:t>
            </w:r>
          </w:p>
        </w:tc>
        <w:tc>
          <w:tcPr>
            <w:tcW w:w="758" w:type="pct"/>
            <w:vAlign w:val="center"/>
          </w:tcPr>
          <w:p w14:paraId="129FFD7C">
            <w:pPr>
              <w:widowControl/>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达标</w:t>
            </w:r>
          </w:p>
        </w:tc>
      </w:tr>
      <w:tr w14:paraId="25461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798" w:type="pct"/>
            <w:vMerge w:val="continue"/>
            <w:vAlign w:val="center"/>
          </w:tcPr>
          <w:p w14:paraId="05443903">
            <w:pPr>
              <w:widowControl/>
              <w:spacing w:line="400" w:lineRule="exact"/>
              <w:jc w:val="center"/>
              <w:rPr>
                <w:rFonts w:hint="eastAsia" w:ascii="Times New Roman" w:hAnsi="Times New Roman" w:eastAsia="方正仿宋_GBK" w:cs="Times New Roman"/>
                <w:color w:val="auto"/>
                <w:sz w:val="24"/>
                <w:szCs w:val="20"/>
                <w:lang w:val="en-US" w:eastAsia="zh-CN"/>
              </w:rPr>
            </w:pPr>
          </w:p>
        </w:tc>
        <w:tc>
          <w:tcPr>
            <w:tcW w:w="625" w:type="pct"/>
            <w:vMerge w:val="continue"/>
            <w:vAlign w:val="center"/>
          </w:tcPr>
          <w:p w14:paraId="46569FF7">
            <w:pPr>
              <w:widowControl/>
              <w:spacing w:line="400" w:lineRule="exact"/>
              <w:jc w:val="center"/>
              <w:rPr>
                <w:rFonts w:hint="eastAsia" w:ascii="Times New Roman" w:hAnsi="Times New Roman" w:eastAsia="方正仿宋_GBK" w:cs="Times New Roman"/>
                <w:color w:val="auto"/>
                <w:sz w:val="24"/>
                <w:szCs w:val="20"/>
                <w:lang w:val="en-US" w:eastAsia="zh-CN"/>
              </w:rPr>
            </w:pPr>
          </w:p>
        </w:tc>
        <w:tc>
          <w:tcPr>
            <w:tcW w:w="809" w:type="pct"/>
            <w:vAlign w:val="center"/>
          </w:tcPr>
          <w:p w14:paraId="5ADE203D">
            <w:pPr>
              <w:widowControl/>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夜间（Ln）</w:t>
            </w:r>
          </w:p>
        </w:tc>
        <w:tc>
          <w:tcPr>
            <w:tcW w:w="721" w:type="pct"/>
            <w:vAlign w:val="center"/>
          </w:tcPr>
          <w:p w14:paraId="79EA2A0E">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38</w:t>
            </w:r>
          </w:p>
        </w:tc>
        <w:tc>
          <w:tcPr>
            <w:tcW w:w="669" w:type="pct"/>
            <w:vAlign w:val="center"/>
          </w:tcPr>
          <w:p w14:paraId="5DFE1902">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37.65</w:t>
            </w:r>
          </w:p>
        </w:tc>
        <w:tc>
          <w:tcPr>
            <w:tcW w:w="616" w:type="pct"/>
            <w:vAlign w:val="center"/>
          </w:tcPr>
          <w:p w14:paraId="20657B0C">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36</w:t>
            </w:r>
          </w:p>
        </w:tc>
        <w:tc>
          <w:tcPr>
            <w:tcW w:w="758" w:type="pct"/>
            <w:vAlign w:val="center"/>
          </w:tcPr>
          <w:p w14:paraId="5DD54DC0">
            <w:pPr>
              <w:widowControl/>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达标</w:t>
            </w:r>
          </w:p>
        </w:tc>
      </w:tr>
      <w:tr w14:paraId="12BDA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98" w:type="pct"/>
            <w:vMerge w:val="restart"/>
            <w:vAlign w:val="center"/>
          </w:tcPr>
          <w:p w14:paraId="45C48825">
            <w:pPr>
              <w:widowControl/>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园区一单</w:t>
            </w:r>
          </w:p>
          <w:p w14:paraId="75F99C34">
            <w:pPr>
              <w:widowControl/>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元</w:t>
            </w:r>
          </w:p>
        </w:tc>
        <w:tc>
          <w:tcPr>
            <w:tcW w:w="625" w:type="pct"/>
            <w:vMerge w:val="restart"/>
            <w:vAlign w:val="center"/>
          </w:tcPr>
          <w:p w14:paraId="10A7946A">
            <w:pPr>
              <w:widowControl/>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3类</w:t>
            </w:r>
          </w:p>
        </w:tc>
        <w:tc>
          <w:tcPr>
            <w:tcW w:w="809" w:type="pct"/>
            <w:vAlign w:val="center"/>
          </w:tcPr>
          <w:p w14:paraId="26E6F7C5">
            <w:pPr>
              <w:widowControl/>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昼间（Ld）</w:t>
            </w:r>
          </w:p>
        </w:tc>
        <w:tc>
          <w:tcPr>
            <w:tcW w:w="721" w:type="pct"/>
            <w:vAlign w:val="center"/>
          </w:tcPr>
          <w:p w14:paraId="4B718938">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45.7</w:t>
            </w:r>
          </w:p>
        </w:tc>
        <w:tc>
          <w:tcPr>
            <w:tcW w:w="669" w:type="pct"/>
            <w:vAlign w:val="center"/>
          </w:tcPr>
          <w:p w14:paraId="6F818E53">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48.65</w:t>
            </w:r>
          </w:p>
        </w:tc>
        <w:tc>
          <w:tcPr>
            <w:tcW w:w="616" w:type="pct"/>
            <w:vAlign w:val="center"/>
          </w:tcPr>
          <w:p w14:paraId="1E2C4422">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49.25</w:t>
            </w:r>
          </w:p>
        </w:tc>
        <w:tc>
          <w:tcPr>
            <w:tcW w:w="758" w:type="pct"/>
            <w:vAlign w:val="center"/>
          </w:tcPr>
          <w:p w14:paraId="2F4BD35C">
            <w:pPr>
              <w:widowControl/>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达标</w:t>
            </w:r>
          </w:p>
        </w:tc>
      </w:tr>
      <w:tr w14:paraId="49E88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798" w:type="pct"/>
            <w:vMerge w:val="continue"/>
            <w:vAlign w:val="center"/>
          </w:tcPr>
          <w:p w14:paraId="07A8B804">
            <w:pPr>
              <w:widowControl/>
              <w:spacing w:line="400" w:lineRule="exact"/>
              <w:jc w:val="center"/>
              <w:rPr>
                <w:rFonts w:hint="eastAsia" w:ascii="Times New Roman" w:hAnsi="Times New Roman" w:eastAsia="方正仿宋_GBK" w:cs="Times New Roman"/>
                <w:color w:val="auto"/>
                <w:sz w:val="24"/>
                <w:szCs w:val="20"/>
                <w:lang w:val="en-US" w:eastAsia="zh-CN"/>
              </w:rPr>
            </w:pPr>
          </w:p>
        </w:tc>
        <w:tc>
          <w:tcPr>
            <w:tcW w:w="625" w:type="pct"/>
            <w:vMerge w:val="continue"/>
            <w:vAlign w:val="center"/>
          </w:tcPr>
          <w:p w14:paraId="5114590F">
            <w:pPr>
              <w:widowControl/>
              <w:spacing w:line="400" w:lineRule="exact"/>
              <w:jc w:val="center"/>
              <w:rPr>
                <w:rFonts w:hint="eastAsia" w:ascii="Times New Roman" w:hAnsi="Times New Roman" w:eastAsia="方正仿宋_GBK" w:cs="Times New Roman"/>
                <w:color w:val="auto"/>
                <w:sz w:val="24"/>
                <w:szCs w:val="20"/>
                <w:lang w:val="en-US" w:eastAsia="zh-CN"/>
              </w:rPr>
            </w:pPr>
          </w:p>
        </w:tc>
        <w:tc>
          <w:tcPr>
            <w:tcW w:w="809" w:type="pct"/>
            <w:vAlign w:val="center"/>
          </w:tcPr>
          <w:p w14:paraId="730B1EAC">
            <w:pPr>
              <w:widowControl/>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夜间（Ln）</w:t>
            </w:r>
          </w:p>
        </w:tc>
        <w:tc>
          <w:tcPr>
            <w:tcW w:w="721" w:type="pct"/>
            <w:vAlign w:val="center"/>
          </w:tcPr>
          <w:p w14:paraId="5A04DF16">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42.05</w:t>
            </w:r>
          </w:p>
        </w:tc>
        <w:tc>
          <w:tcPr>
            <w:tcW w:w="669" w:type="pct"/>
            <w:vAlign w:val="center"/>
          </w:tcPr>
          <w:p w14:paraId="62D438C6">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45.03</w:t>
            </w:r>
          </w:p>
        </w:tc>
        <w:tc>
          <w:tcPr>
            <w:tcW w:w="616" w:type="pct"/>
            <w:vAlign w:val="center"/>
          </w:tcPr>
          <w:p w14:paraId="3166BBD4">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44.25</w:t>
            </w:r>
          </w:p>
        </w:tc>
        <w:tc>
          <w:tcPr>
            <w:tcW w:w="758" w:type="pct"/>
            <w:vAlign w:val="center"/>
          </w:tcPr>
          <w:p w14:paraId="1C3BB400">
            <w:pPr>
              <w:widowControl/>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达标</w:t>
            </w:r>
          </w:p>
        </w:tc>
      </w:tr>
      <w:tr w14:paraId="5CC16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798" w:type="pct"/>
            <w:vMerge w:val="restart"/>
            <w:vAlign w:val="center"/>
          </w:tcPr>
          <w:p w14:paraId="5157E0B3">
            <w:pPr>
              <w:widowControl/>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园区二单</w:t>
            </w:r>
          </w:p>
          <w:p w14:paraId="64121D62">
            <w:pPr>
              <w:widowControl/>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元</w:t>
            </w:r>
          </w:p>
        </w:tc>
        <w:tc>
          <w:tcPr>
            <w:tcW w:w="625" w:type="pct"/>
            <w:vMerge w:val="restart"/>
            <w:vAlign w:val="center"/>
          </w:tcPr>
          <w:p w14:paraId="61511E3C">
            <w:pPr>
              <w:widowControl/>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3类</w:t>
            </w:r>
          </w:p>
        </w:tc>
        <w:tc>
          <w:tcPr>
            <w:tcW w:w="809" w:type="pct"/>
            <w:vAlign w:val="center"/>
          </w:tcPr>
          <w:p w14:paraId="68B7B8D0">
            <w:pPr>
              <w:widowControl/>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昼间（Ld）</w:t>
            </w:r>
          </w:p>
        </w:tc>
        <w:tc>
          <w:tcPr>
            <w:tcW w:w="721" w:type="pct"/>
            <w:vAlign w:val="center"/>
          </w:tcPr>
          <w:p w14:paraId="3D923657">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53.1</w:t>
            </w:r>
          </w:p>
        </w:tc>
        <w:tc>
          <w:tcPr>
            <w:tcW w:w="669" w:type="pct"/>
            <w:vAlign w:val="center"/>
          </w:tcPr>
          <w:p w14:paraId="792EF260">
            <w:pPr>
              <w:widowControl/>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49.93</w:t>
            </w:r>
          </w:p>
        </w:tc>
        <w:tc>
          <w:tcPr>
            <w:tcW w:w="616" w:type="pct"/>
            <w:vAlign w:val="center"/>
          </w:tcPr>
          <w:p w14:paraId="7D272484">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48</w:t>
            </w:r>
          </w:p>
        </w:tc>
        <w:tc>
          <w:tcPr>
            <w:tcW w:w="758" w:type="pct"/>
            <w:vAlign w:val="center"/>
          </w:tcPr>
          <w:p w14:paraId="29558C66">
            <w:pPr>
              <w:widowControl/>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达标</w:t>
            </w:r>
          </w:p>
        </w:tc>
      </w:tr>
      <w:tr w14:paraId="7B322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798" w:type="pct"/>
            <w:vMerge w:val="continue"/>
            <w:vAlign w:val="center"/>
          </w:tcPr>
          <w:p w14:paraId="16517760">
            <w:pPr>
              <w:widowControl/>
              <w:spacing w:line="400" w:lineRule="exact"/>
              <w:jc w:val="center"/>
              <w:rPr>
                <w:rFonts w:hint="eastAsia" w:ascii="Times New Roman" w:hAnsi="Times New Roman" w:eastAsia="方正仿宋_GBK" w:cs="Times New Roman"/>
                <w:color w:val="auto"/>
                <w:sz w:val="24"/>
                <w:szCs w:val="20"/>
                <w:lang w:val="en-US" w:eastAsia="zh-CN"/>
              </w:rPr>
            </w:pPr>
          </w:p>
        </w:tc>
        <w:tc>
          <w:tcPr>
            <w:tcW w:w="625" w:type="pct"/>
            <w:vMerge w:val="continue"/>
            <w:vAlign w:val="center"/>
          </w:tcPr>
          <w:p w14:paraId="225B0924">
            <w:pPr>
              <w:widowControl/>
              <w:spacing w:line="400" w:lineRule="exact"/>
              <w:jc w:val="center"/>
              <w:rPr>
                <w:rFonts w:hint="eastAsia" w:ascii="Times New Roman" w:hAnsi="Times New Roman" w:eastAsia="方正仿宋_GBK" w:cs="Times New Roman"/>
                <w:color w:val="auto"/>
                <w:sz w:val="24"/>
                <w:szCs w:val="20"/>
                <w:lang w:val="en-US" w:eastAsia="zh-CN"/>
              </w:rPr>
            </w:pPr>
          </w:p>
        </w:tc>
        <w:tc>
          <w:tcPr>
            <w:tcW w:w="809" w:type="pct"/>
            <w:vAlign w:val="center"/>
          </w:tcPr>
          <w:p w14:paraId="6B8EF6D5">
            <w:pPr>
              <w:widowControl/>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夜间（Ln）</w:t>
            </w:r>
          </w:p>
        </w:tc>
        <w:tc>
          <w:tcPr>
            <w:tcW w:w="721" w:type="pct"/>
            <w:vAlign w:val="center"/>
          </w:tcPr>
          <w:p w14:paraId="325020B1">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42.35</w:t>
            </w:r>
          </w:p>
        </w:tc>
        <w:tc>
          <w:tcPr>
            <w:tcW w:w="669" w:type="pct"/>
            <w:vAlign w:val="center"/>
          </w:tcPr>
          <w:p w14:paraId="606ACB0F">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45.93</w:t>
            </w:r>
          </w:p>
        </w:tc>
        <w:tc>
          <w:tcPr>
            <w:tcW w:w="616" w:type="pct"/>
            <w:vAlign w:val="center"/>
          </w:tcPr>
          <w:p w14:paraId="5C9E1239">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35.5</w:t>
            </w:r>
          </w:p>
        </w:tc>
        <w:tc>
          <w:tcPr>
            <w:tcW w:w="758" w:type="pct"/>
            <w:vAlign w:val="center"/>
          </w:tcPr>
          <w:p w14:paraId="40962513">
            <w:pPr>
              <w:widowControl/>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达标</w:t>
            </w:r>
          </w:p>
        </w:tc>
      </w:tr>
      <w:tr w14:paraId="06F41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798" w:type="pct"/>
            <w:vMerge w:val="restart"/>
            <w:vAlign w:val="center"/>
          </w:tcPr>
          <w:p w14:paraId="5D879BF1">
            <w:pPr>
              <w:widowControl/>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新平大道</w:t>
            </w:r>
          </w:p>
          <w:p w14:paraId="11E5A3C7">
            <w:pPr>
              <w:widowControl/>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（溪湖公</w:t>
            </w:r>
          </w:p>
          <w:p w14:paraId="4347D06D">
            <w:pPr>
              <w:widowControl/>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园段）</w:t>
            </w:r>
          </w:p>
        </w:tc>
        <w:tc>
          <w:tcPr>
            <w:tcW w:w="625" w:type="pct"/>
            <w:vMerge w:val="restart"/>
            <w:vAlign w:val="center"/>
          </w:tcPr>
          <w:p w14:paraId="458638A2">
            <w:pPr>
              <w:widowControl/>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4a类</w:t>
            </w:r>
          </w:p>
        </w:tc>
        <w:tc>
          <w:tcPr>
            <w:tcW w:w="809" w:type="pct"/>
            <w:vAlign w:val="center"/>
          </w:tcPr>
          <w:p w14:paraId="44847F2E">
            <w:pPr>
              <w:widowControl/>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昼间（Ld）</w:t>
            </w:r>
          </w:p>
        </w:tc>
        <w:tc>
          <w:tcPr>
            <w:tcW w:w="721" w:type="pct"/>
            <w:vAlign w:val="center"/>
          </w:tcPr>
          <w:p w14:paraId="189C7173">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54.45</w:t>
            </w:r>
          </w:p>
        </w:tc>
        <w:tc>
          <w:tcPr>
            <w:tcW w:w="669" w:type="pct"/>
            <w:vAlign w:val="center"/>
          </w:tcPr>
          <w:p w14:paraId="11F9C917">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58.08</w:t>
            </w:r>
          </w:p>
        </w:tc>
        <w:tc>
          <w:tcPr>
            <w:tcW w:w="616" w:type="pct"/>
            <w:vAlign w:val="center"/>
          </w:tcPr>
          <w:p w14:paraId="0D391540">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55</w:t>
            </w:r>
          </w:p>
        </w:tc>
        <w:tc>
          <w:tcPr>
            <w:tcW w:w="758" w:type="pct"/>
            <w:vAlign w:val="center"/>
          </w:tcPr>
          <w:p w14:paraId="3F15455A">
            <w:pPr>
              <w:widowControl/>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达标</w:t>
            </w:r>
          </w:p>
        </w:tc>
      </w:tr>
      <w:tr w14:paraId="0A9F6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798" w:type="pct"/>
            <w:vMerge w:val="continue"/>
            <w:vAlign w:val="center"/>
          </w:tcPr>
          <w:p w14:paraId="37775FF5">
            <w:pPr>
              <w:widowControl/>
              <w:spacing w:line="400" w:lineRule="exact"/>
              <w:jc w:val="center"/>
              <w:rPr>
                <w:rFonts w:hint="eastAsia" w:ascii="Times New Roman" w:hAnsi="Times New Roman" w:eastAsia="方正仿宋_GBK" w:cs="Times New Roman"/>
                <w:color w:val="auto"/>
                <w:sz w:val="24"/>
                <w:szCs w:val="20"/>
                <w:lang w:val="en-US" w:eastAsia="zh-CN"/>
              </w:rPr>
            </w:pPr>
          </w:p>
        </w:tc>
        <w:tc>
          <w:tcPr>
            <w:tcW w:w="625" w:type="pct"/>
            <w:vMerge w:val="continue"/>
            <w:vAlign w:val="center"/>
          </w:tcPr>
          <w:p w14:paraId="74224D66">
            <w:pPr>
              <w:widowControl/>
              <w:spacing w:line="400" w:lineRule="exact"/>
              <w:jc w:val="center"/>
              <w:rPr>
                <w:rFonts w:hint="eastAsia" w:ascii="Times New Roman" w:hAnsi="Times New Roman" w:eastAsia="方正仿宋_GBK" w:cs="Times New Roman"/>
                <w:color w:val="auto"/>
                <w:sz w:val="24"/>
                <w:szCs w:val="20"/>
                <w:lang w:val="en-US" w:eastAsia="zh-CN"/>
              </w:rPr>
            </w:pPr>
          </w:p>
        </w:tc>
        <w:tc>
          <w:tcPr>
            <w:tcW w:w="809" w:type="pct"/>
            <w:vAlign w:val="center"/>
          </w:tcPr>
          <w:p w14:paraId="7346C508">
            <w:pPr>
              <w:widowControl/>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夜间（Ln）</w:t>
            </w:r>
          </w:p>
        </w:tc>
        <w:tc>
          <w:tcPr>
            <w:tcW w:w="721" w:type="pct"/>
            <w:vAlign w:val="center"/>
          </w:tcPr>
          <w:p w14:paraId="1E495E35">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45.05</w:t>
            </w:r>
          </w:p>
        </w:tc>
        <w:tc>
          <w:tcPr>
            <w:tcW w:w="669" w:type="pct"/>
            <w:vAlign w:val="center"/>
          </w:tcPr>
          <w:p w14:paraId="1EADE7E5">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49.65</w:t>
            </w:r>
          </w:p>
        </w:tc>
        <w:tc>
          <w:tcPr>
            <w:tcW w:w="616" w:type="pct"/>
            <w:vAlign w:val="center"/>
          </w:tcPr>
          <w:p w14:paraId="325D94E9">
            <w:pPr>
              <w:widowControl/>
              <w:spacing w:line="400" w:lineRule="exact"/>
              <w:jc w:val="center"/>
              <w:rPr>
                <w:rFonts w:hint="default"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47</w:t>
            </w:r>
          </w:p>
        </w:tc>
        <w:tc>
          <w:tcPr>
            <w:tcW w:w="758" w:type="pct"/>
            <w:vAlign w:val="center"/>
          </w:tcPr>
          <w:p w14:paraId="2807BB24">
            <w:pPr>
              <w:widowControl/>
              <w:spacing w:line="400" w:lineRule="exact"/>
              <w:jc w:val="center"/>
              <w:rPr>
                <w:rFonts w:hint="eastAsia" w:ascii="Times New Roman" w:hAnsi="Times New Roman" w:eastAsia="方正仿宋_GBK" w:cs="Times New Roman"/>
                <w:color w:val="auto"/>
                <w:sz w:val="24"/>
                <w:szCs w:val="20"/>
                <w:lang w:val="en-US" w:eastAsia="zh-CN"/>
              </w:rPr>
            </w:pPr>
            <w:r>
              <w:rPr>
                <w:rFonts w:hint="eastAsia" w:ascii="Times New Roman" w:hAnsi="Times New Roman" w:eastAsia="方正仿宋_GBK" w:cs="Times New Roman"/>
                <w:color w:val="auto"/>
                <w:sz w:val="24"/>
                <w:szCs w:val="20"/>
                <w:lang w:val="en-US" w:eastAsia="zh-CN"/>
              </w:rPr>
              <w:t>达标</w:t>
            </w:r>
          </w:p>
        </w:tc>
      </w:tr>
    </w:tbl>
    <w:p w14:paraId="530FC61F">
      <w:pPr>
        <w:pStyle w:val="6"/>
        <w:bidi w:val="0"/>
        <w:rPr>
          <w:rFonts w:ascii="Times New Roman" w:hAnsi="Times New Roman" w:eastAsia="仿宋" w:cs="Times New Roman"/>
          <w:b/>
          <w:bCs/>
          <w:snapToGrid w:val="0"/>
          <w:color w:val="auto"/>
          <w:kern w:val="2"/>
          <w:sz w:val="28"/>
          <w:szCs w:val="32"/>
          <w:lang w:val="en-US" w:eastAsia="zh-CN" w:bidi="ar-SA"/>
        </w:rPr>
      </w:pPr>
      <w:r>
        <w:rPr>
          <w:rFonts w:ascii="Times New Roman" w:hAnsi="Times New Roman" w:eastAsia="仿宋" w:cs="Times New Roman"/>
          <w:b/>
          <w:bCs/>
          <w:snapToGrid w:val="0"/>
          <w:color w:val="auto"/>
          <w:kern w:val="2"/>
          <w:sz w:val="28"/>
          <w:szCs w:val="32"/>
          <w:lang w:val="en-US" w:eastAsia="zh-CN" w:bidi="ar-SA"/>
        </w:rPr>
        <w:t>2.1.5.4土壤状况</w:t>
      </w:r>
    </w:p>
    <w:p w14:paraId="50CD2481">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Times New Roman" w:hAnsi="Times New Roman" w:eastAsia="方正仿宋_GBK" w:cs="方正仿宋_GBK"/>
          <w:b w:val="0"/>
          <w:bCs w:val="0"/>
          <w:color w:val="auto"/>
          <w:sz w:val="28"/>
          <w:szCs w:val="28"/>
          <w:lang w:val="en-US" w:eastAsia="zh-CN"/>
        </w:rPr>
      </w:pPr>
      <w:r>
        <w:rPr>
          <w:rFonts w:hint="eastAsia" w:ascii="Times New Roman" w:hAnsi="Times New Roman" w:eastAsia="方正仿宋_GBK" w:cs="方正仿宋_GBK"/>
          <w:b w:val="0"/>
          <w:bCs w:val="0"/>
          <w:color w:val="auto"/>
          <w:sz w:val="28"/>
          <w:szCs w:val="28"/>
          <w:lang w:val="en-US" w:eastAsia="zh-CN"/>
        </w:rPr>
        <w:t>新平县持续深入推进“净土”行动，按期推进“一废一库一品”生态环境安全隐患排查核查工作，制定《新平县戛洒镇片区土壤环境调查方案》，组织开展调查工作，完成土壤采样工作。完成重点企业土壤环境风险隐患排查，受污染耕地安全利用和严格管控措施完成23374亩，完成任务面积20155.84亩的115.97%。落实企业土壤污染防治主体责任，玉溪矿业公司大红山铜矿、云南玉溪仙福钢铁（集团）有限公司完成土壤环境风险隐患排查，两个企业土壤环境风险隐患排查报告均通过专家评审。开展了新平县土壤环境质量类别划分，划分耕地面积857728.62亩，分为三个类别：优先保护类837572.78亩，占97.65%；安全利用类14162.21亩，占1.65%；严格管控类5993.63亩，占0.70%。</w:t>
      </w:r>
    </w:p>
    <w:p w14:paraId="4CB9948E">
      <w:pPr>
        <w:pStyle w:val="6"/>
        <w:bidi w:val="0"/>
        <w:rPr>
          <w:rFonts w:ascii="Times New Roman" w:hAnsi="Times New Roman" w:eastAsia="仿宋" w:cs="Times New Roman"/>
          <w:b/>
          <w:bCs/>
          <w:snapToGrid w:val="0"/>
          <w:color w:val="auto"/>
          <w:kern w:val="2"/>
          <w:sz w:val="28"/>
          <w:szCs w:val="32"/>
          <w:lang w:val="en-US" w:eastAsia="zh-CN" w:bidi="ar-SA"/>
        </w:rPr>
      </w:pPr>
      <w:r>
        <w:rPr>
          <w:rFonts w:ascii="Times New Roman" w:hAnsi="Times New Roman" w:eastAsia="仿宋" w:cs="Times New Roman"/>
          <w:b/>
          <w:bCs/>
          <w:snapToGrid w:val="0"/>
          <w:color w:val="auto"/>
          <w:kern w:val="2"/>
          <w:sz w:val="28"/>
          <w:szCs w:val="32"/>
          <w:lang w:val="en-US" w:eastAsia="zh-CN" w:bidi="ar-SA"/>
        </w:rPr>
        <w:t>2.1.5.5主要污染物排放</w:t>
      </w:r>
    </w:p>
    <w:p w14:paraId="0E030B80">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Times New Roman" w:hAnsi="Times New Roman" w:eastAsia="方正仿宋_GBK" w:cs="方正仿宋_GBK"/>
          <w:b w:val="0"/>
          <w:bCs w:val="0"/>
          <w:color w:val="auto"/>
          <w:sz w:val="28"/>
          <w:szCs w:val="28"/>
          <w:lang w:val="en-US" w:eastAsia="zh-CN"/>
        </w:rPr>
      </w:pPr>
      <w:r>
        <w:rPr>
          <w:rFonts w:hint="eastAsia" w:ascii="Times New Roman" w:hAnsi="Times New Roman" w:eastAsia="方正仿宋_GBK" w:cs="方正仿宋_GBK"/>
          <w:b w:val="0"/>
          <w:bCs w:val="0"/>
          <w:color w:val="auto"/>
          <w:sz w:val="28"/>
          <w:szCs w:val="28"/>
          <w:lang w:val="en-US" w:eastAsia="zh-CN"/>
        </w:rPr>
        <w:t>（1）水污染物排放情况</w:t>
      </w:r>
    </w:p>
    <w:p w14:paraId="12EAAC09">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Times New Roman" w:hAnsi="Times New Roman" w:eastAsia="方正仿宋_GBK" w:cs="方正仿宋_GBK"/>
          <w:b w:val="0"/>
          <w:bCs w:val="0"/>
          <w:color w:val="auto"/>
          <w:sz w:val="28"/>
          <w:szCs w:val="28"/>
          <w:lang w:val="en-US" w:eastAsia="zh-CN"/>
        </w:rPr>
      </w:pPr>
      <w:r>
        <w:rPr>
          <w:rFonts w:hint="eastAsia" w:ascii="Times New Roman" w:hAnsi="Times New Roman" w:eastAsia="方正仿宋_GBK" w:cs="方正仿宋_GBK"/>
          <w:b w:val="0"/>
          <w:bCs w:val="0"/>
          <w:color w:val="auto"/>
          <w:sz w:val="28"/>
          <w:szCs w:val="28"/>
          <w:lang w:val="en-US" w:eastAsia="zh-CN"/>
        </w:rPr>
        <w:t>根据新平县环境统计数据，废水污染源主要为生活源，总体来看，新平县废水排放总量以及主要污染物化学需氧量、氨氮、总氮、总磷排放量呈上升趋势，2017—2021年新平县主要水污染物排放情况见表2.1.5.5-1。</w:t>
      </w:r>
    </w:p>
    <w:p w14:paraId="13DDE934">
      <w:pPr>
        <w:widowControl/>
        <w:jc w:val="center"/>
        <w:rPr>
          <w:rFonts w:ascii="Times New Roman" w:hAnsi="Times New Roman" w:eastAsia="仿宋" w:cs="Times New Roman"/>
          <w:b/>
          <w:bCs/>
          <w:color w:val="auto"/>
          <w:sz w:val="24"/>
        </w:rPr>
      </w:pPr>
      <w:r>
        <w:rPr>
          <w:rFonts w:ascii="Times New Roman" w:hAnsi="Times New Roman" w:eastAsia="仿宋" w:cs="Times New Roman"/>
          <w:b/>
          <w:bCs/>
          <w:color w:val="auto"/>
          <w:sz w:val="24"/>
        </w:rPr>
        <w:t>表2.1.5-9 201</w:t>
      </w:r>
      <w:r>
        <w:rPr>
          <w:rFonts w:hint="eastAsia" w:ascii="Times New Roman" w:hAnsi="Times New Roman" w:eastAsia="仿宋" w:cs="Times New Roman"/>
          <w:b/>
          <w:bCs/>
          <w:color w:val="auto"/>
          <w:sz w:val="24"/>
          <w:lang w:val="en-US" w:eastAsia="zh-CN"/>
        </w:rPr>
        <w:t>7—</w:t>
      </w:r>
      <w:r>
        <w:rPr>
          <w:rFonts w:ascii="Times New Roman" w:hAnsi="Times New Roman" w:eastAsia="仿宋" w:cs="Times New Roman"/>
          <w:b/>
          <w:bCs/>
          <w:color w:val="auto"/>
          <w:sz w:val="24"/>
        </w:rPr>
        <w:t>202</w:t>
      </w:r>
      <w:r>
        <w:rPr>
          <w:rFonts w:hint="eastAsia" w:ascii="Times New Roman" w:hAnsi="Times New Roman" w:eastAsia="仿宋" w:cs="Times New Roman"/>
          <w:b/>
          <w:bCs/>
          <w:color w:val="auto"/>
          <w:sz w:val="24"/>
          <w:lang w:val="en-US" w:eastAsia="zh-CN"/>
        </w:rPr>
        <w:t>1</w:t>
      </w:r>
      <w:r>
        <w:rPr>
          <w:rFonts w:ascii="Times New Roman" w:hAnsi="Times New Roman" w:eastAsia="仿宋" w:cs="Times New Roman"/>
          <w:b/>
          <w:bCs/>
          <w:color w:val="auto"/>
          <w:sz w:val="24"/>
        </w:rPr>
        <w:t>年</w:t>
      </w:r>
      <w:r>
        <w:rPr>
          <w:rFonts w:hint="eastAsia" w:ascii="Times New Roman" w:hAnsi="Times New Roman" w:eastAsia="仿宋" w:cs="Times New Roman"/>
          <w:b/>
          <w:bCs/>
          <w:color w:val="auto"/>
          <w:sz w:val="24"/>
          <w:lang w:eastAsia="zh-CN"/>
        </w:rPr>
        <w:t>新平县</w:t>
      </w:r>
      <w:r>
        <w:rPr>
          <w:rFonts w:ascii="Times New Roman" w:hAnsi="Times New Roman" w:eastAsia="仿宋" w:cs="Times New Roman"/>
          <w:b/>
          <w:bCs/>
          <w:color w:val="auto"/>
          <w:sz w:val="24"/>
        </w:rPr>
        <w:t>主要水污染物排放情况</w:t>
      </w:r>
    </w:p>
    <w:tbl>
      <w:tblPr>
        <w:tblStyle w:val="2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54"/>
        <w:gridCol w:w="1109"/>
        <w:gridCol w:w="1109"/>
        <w:gridCol w:w="1422"/>
        <w:gridCol w:w="1310"/>
        <w:gridCol w:w="1315"/>
      </w:tblGrid>
      <w:tr w14:paraId="2C9B7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323" w:type="pct"/>
            <w:vMerge w:val="restart"/>
            <w:shd w:val="clear" w:color="auto" w:fill="BEBEBE" w:themeFill="background1" w:themeFillShade="BF"/>
            <w:vAlign w:val="center"/>
          </w:tcPr>
          <w:p w14:paraId="26C4A790">
            <w:pPr>
              <w:spacing w:line="400" w:lineRule="exact"/>
              <w:jc w:val="center"/>
              <w:outlineLvl w:val="3"/>
              <w:rPr>
                <w:rFonts w:ascii="Times New Roman" w:hAnsi="Times New Roman" w:eastAsia="仿宋" w:cs="Times New Roman"/>
                <w:b/>
                <w:bCs/>
                <w:color w:val="auto"/>
                <w:sz w:val="21"/>
                <w:szCs w:val="21"/>
              </w:rPr>
            </w:pPr>
            <w:r>
              <w:rPr>
                <w:rFonts w:ascii="Times New Roman" w:hAnsi="Times New Roman" w:eastAsia="仿宋" w:cs="Times New Roman"/>
                <w:b/>
                <w:bCs/>
                <w:color w:val="auto"/>
                <w:sz w:val="21"/>
                <w:szCs w:val="21"/>
              </w:rPr>
              <w:t>指标</w:t>
            </w:r>
          </w:p>
        </w:tc>
        <w:tc>
          <w:tcPr>
            <w:tcW w:w="3676" w:type="pct"/>
            <w:gridSpan w:val="5"/>
            <w:shd w:val="clear" w:color="auto" w:fill="BEBEBE" w:themeFill="background1" w:themeFillShade="BF"/>
            <w:vAlign w:val="center"/>
          </w:tcPr>
          <w:p w14:paraId="71A3DF47">
            <w:pPr>
              <w:spacing w:line="400" w:lineRule="exact"/>
              <w:jc w:val="center"/>
              <w:outlineLvl w:val="3"/>
              <w:rPr>
                <w:rFonts w:ascii="Times New Roman" w:hAnsi="Times New Roman" w:eastAsia="仿宋" w:cs="Times New Roman"/>
                <w:b/>
                <w:bCs/>
                <w:color w:val="auto"/>
                <w:sz w:val="21"/>
                <w:szCs w:val="21"/>
              </w:rPr>
            </w:pPr>
            <w:r>
              <w:rPr>
                <w:rFonts w:ascii="Times New Roman" w:hAnsi="Times New Roman" w:eastAsia="仿宋" w:cs="Times New Roman"/>
                <w:b/>
                <w:bCs/>
                <w:color w:val="auto"/>
                <w:sz w:val="21"/>
                <w:szCs w:val="21"/>
              </w:rPr>
              <w:t>总排放量</w:t>
            </w:r>
          </w:p>
        </w:tc>
      </w:tr>
      <w:tr w14:paraId="7E2E9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323" w:type="pct"/>
            <w:vMerge w:val="continue"/>
            <w:shd w:val="clear" w:color="auto" w:fill="BEBEBE" w:themeFill="background1" w:themeFillShade="BF"/>
            <w:vAlign w:val="center"/>
          </w:tcPr>
          <w:p w14:paraId="7D085E73">
            <w:pPr>
              <w:spacing w:line="400" w:lineRule="exact"/>
              <w:jc w:val="center"/>
              <w:rPr>
                <w:rFonts w:ascii="Times New Roman" w:hAnsi="Times New Roman" w:eastAsia="仿宋" w:cs="Times New Roman"/>
                <w:b/>
                <w:bCs/>
                <w:color w:val="auto"/>
                <w:sz w:val="21"/>
                <w:szCs w:val="21"/>
              </w:rPr>
            </w:pPr>
          </w:p>
        </w:tc>
        <w:tc>
          <w:tcPr>
            <w:tcW w:w="650" w:type="pct"/>
            <w:shd w:val="clear" w:color="auto" w:fill="BEBEBE" w:themeFill="background1" w:themeFillShade="BF"/>
            <w:vAlign w:val="center"/>
          </w:tcPr>
          <w:p w14:paraId="495304B3">
            <w:pPr>
              <w:spacing w:line="400" w:lineRule="exact"/>
              <w:jc w:val="center"/>
              <w:outlineLvl w:val="3"/>
              <w:rPr>
                <w:rFonts w:ascii="Times New Roman" w:hAnsi="Times New Roman" w:eastAsia="仿宋" w:cs="Times New Roman"/>
                <w:b/>
                <w:bCs/>
                <w:color w:val="auto"/>
                <w:sz w:val="21"/>
                <w:szCs w:val="21"/>
              </w:rPr>
            </w:pPr>
            <w:r>
              <w:rPr>
                <w:rFonts w:ascii="Times New Roman" w:hAnsi="Times New Roman" w:eastAsia="仿宋" w:cs="Times New Roman"/>
                <w:b/>
                <w:bCs/>
                <w:color w:val="auto"/>
                <w:sz w:val="21"/>
                <w:szCs w:val="21"/>
              </w:rPr>
              <w:t>2017年</w:t>
            </w:r>
          </w:p>
        </w:tc>
        <w:tc>
          <w:tcPr>
            <w:tcW w:w="650" w:type="pct"/>
            <w:shd w:val="clear" w:color="auto" w:fill="BEBEBE" w:themeFill="background1" w:themeFillShade="BF"/>
            <w:vAlign w:val="center"/>
          </w:tcPr>
          <w:p w14:paraId="7495E7CA">
            <w:pPr>
              <w:spacing w:line="400" w:lineRule="exact"/>
              <w:jc w:val="center"/>
              <w:outlineLvl w:val="3"/>
              <w:rPr>
                <w:rFonts w:ascii="Times New Roman" w:hAnsi="Times New Roman" w:eastAsia="仿宋" w:cs="Times New Roman"/>
                <w:b/>
                <w:bCs/>
                <w:color w:val="auto"/>
                <w:sz w:val="21"/>
                <w:szCs w:val="21"/>
              </w:rPr>
            </w:pPr>
            <w:r>
              <w:rPr>
                <w:rFonts w:ascii="Times New Roman" w:hAnsi="Times New Roman" w:eastAsia="仿宋" w:cs="Times New Roman"/>
                <w:b/>
                <w:bCs/>
                <w:color w:val="auto"/>
                <w:sz w:val="21"/>
                <w:szCs w:val="21"/>
              </w:rPr>
              <w:t>2018年</w:t>
            </w:r>
          </w:p>
        </w:tc>
        <w:tc>
          <w:tcPr>
            <w:tcW w:w="835" w:type="pct"/>
            <w:shd w:val="clear" w:color="auto" w:fill="BEBEBE" w:themeFill="background1" w:themeFillShade="BF"/>
            <w:vAlign w:val="center"/>
          </w:tcPr>
          <w:p w14:paraId="5137AFBE">
            <w:pPr>
              <w:spacing w:line="400" w:lineRule="exact"/>
              <w:jc w:val="center"/>
              <w:outlineLvl w:val="3"/>
              <w:rPr>
                <w:rFonts w:ascii="Times New Roman" w:hAnsi="Times New Roman" w:eastAsia="仿宋" w:cs="Times New Roman"/>
                <w:b/>
                <w:bCs/>
                <w:color w:val="auto"/>
                <w:sz w:val="21"/>
                <w:szCs w:val="21"/>
              </w:rPr>
            </w:pPr>
            <w:r>
              <w:rPr>
                <w:rFonts w:ascii="Times New Roman" w:hAnsi="Times New Roman" w:eastAsia="仿宋" w:cs="Times New Roman"/>
                <w:b/>
                <w:bCs/>
                <w:color w:val="auto"/>
                <w:sz w:val="21"/>
                <w:szCs w:val="21"/>
              </w:rPr>
              <w:t>2019年</w:t>
            </w:r>
          </w:p>
        </w:tc>
        <w:tc>
          <w:tcPr>
            <w:tcW w:w="769" w:type="pct"/>
            <w:shd w:val="clear" w:color="auto" w:fill="BEBEBE" w:themeFill="background1" w:themeFillShade="BF"/>
            <w:vAlign w:val="center"/>
          </w:tcPr>
          <w:p w14:paraId="374CF3DB">
            <w:pPr>
              <w:spacing w:line="400" w:lineRule="exact"/>
              <w:jc w:val="center"/>
              <w:outlineLvl w:val="3"/>
              <w:rPr>
                <w:rFonts w:ascii="Times New Roman" w:hAnsi="Times New Roman" w:eastAsia="仿宋" w:cs="Times New Roman"/>
                <w:b/>
                <w:bCs/>
                <w:color w:val="auto"/>
                <w:sz w:val="21"/>
                <w:szCs w:val="21"/>
              </w:rPr>
            </w:pPr>
            <w:r>
              <w:rPr>
                <w:rFonts w:ascii="Times New Roman" w:hAnsi="Times New Roman" w:eastAsia="仿宋" w:cs="Times New Roman"/>
                <w:b/>
                <w:bCs/>
                <w:color w:val="auto"/>
                <w:sz w:val="21"/>
                <w:szCs w:val="21"/>
              </w:rPr>
              <w:t>2020年</w:t>
            </w:r>
          </w:p>
        </w:tc>
        <w:tc>
          <w:tcPr>
            <w:tcW w:w="769" w:type="pct"/>
            <w:shd w:val="clear" w:color="auto" w:fill="BEBEBE" w:themeFill="background1" w:themeFillShade="BF"/>
            <w:vAlign w:val="center"/>
          </w:tcPr>
          <w:p w14:paraId="300C867E">
            <w:pPr>
              <w:spacing w:line="400" w:lineRule="exact"/>
              <w:jc w:val="center"/>
              <w:outlineLvl w:val="3"/>
              <w:rPr>
                <w:rFonts w:ascii="Times New Roman" w:hAnsi="Times New Roman" w:eastAsia="仿宋" w:cs="Times New Roman"/>
                <w:b/>
                <w:bCs/>
                <w:color w:val="auto"/>
                <w:sz w:val="21"/>
                <w:szCs w:val="21"/>
              </w:rPr>
            </w:pPr>
            <w:r>
              <w:rPr>
                <w:rFonts w:ascii="Times New Roman" w:hAnsi="Times New Roman" w:eastAsia="仿宋" w:cs="Times New Roman"/>
                <w:b/>
                <w:bCs/>
                <w:color w:val="auto"/>
                <w:sz w:val="21"/>
                <w:szCs w:val="21"/>
              </w:rPr>
              <w:t>202</w:t>
            </w:r>
            <w:r>
              <w:rPr>
                <w:rFonts w:hint="eastAsia" w:ascii="Times New Roman" w:hAnsi="Times New Roman" w:eastAsia="仿宋" w:cs="Times New Roman"/>
                <w:b/>
                <w:bCs/>
                <w:color w:val="auto"/>
                <w:sz w:val="21"/>
                <w:szCs w:val="21"/>
                <w:lang w:val="en-US" w:eastAsia="zh-CN"/>
              </w:rPr>
              <w:t>1</w:t>
            </w:r>
            <w:r>
              <w:rPr>
                <w:rFonts w:ascii="Times New Roman" w:hAnsi="Times New Roman" w:eastAsia="仿宋" w:cs="Times New Roman"/>
                <w:b/>
                <w:bCs/>
                <w:color w:val="auto"/>
                <w:sz w:val="21"/>
                <w:szCs w:val="21"/>
              </w:rPr>
              <w:t>年</w:t>
            </w:r>
          </w:p>
        </w:tc>
      </w:tr>
      <w:tr w14:paraId="592F5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3" w:type="pct"/>
            <w:vAlign w:val="center"/>
          </w:tcPr>
          <w:p w14:paraId="1B8F78AA">
            <w:pPr>
              <w:spacing w:line="400" w:lineRule="exact"/>
              <w:jc w:val="center"/>
              <w:outlineLvl w:val="3"/>
              <w:rPr>
                <w:rFonts w:ascii="Times New Roman" w:hAnsi="Times New Roman" w:eastAsia="仿宋" w:cs="Times New Roman"/>
                <w:color w:val="auto"/>
                <w:sz w:val="21"/>
                <w:szCs w:val="21"/>
              </w:rPr>
            </w:pPr>
            <w:r>
              <w:rPr>
                <w:rFonts w:ascii="Times New Roman" w:hAnsi="Times New Roman" w:eastAsia="仿宋" w:cs="Times New Roman"/>
                <w:color w:val="auto"/>
                <w:sz w:val="21"/>
                <w:szCs w:val="21"/>
              </w:rPr>
              <w:t>废水排放量（万吨）</w:t>
            </w:r>
          </w:p>
        </w:tc>
        <w:tc>
          <w:tcPr>
            <w:tcW w:w="650" w:type="pct"/>
            <w:vAlign w:val="center"/>
          </w:tcPr>
          <w:p w14:paraId="432F1506">
            <w:pPr>
              <w:spacing w:line="400" w:lineRule="exact"/>
              <w:jc w:val="center"/>
              <w:outlineLvl w:val="3"/>
              <w:rPr>
                <w:rFonts w:hint="eastAsia" w:ascii="Times New Roman" w:hAnsi="Times New Roman" w:eastAsia="仿宋" w:cs="Times New Roman"/>
                <w:color w:val="auto"/>
                <w:sz w:val="21"/>
                <w:szCs w:val="21"/>
                <w:lang w:eastAsia="zh-CN"/>
              </w:rPr>
            </w:pPr>
            <w:r>
              <w:rPr>
                <w:rFonts w:hint="eastAsia" w:ascii="Times New Roman" w:hAnsi="Times New Roman" w:eastAsia="仿宋" w:cs="Times New Roman"/>
                <w:color w:val="auto"/>
                <w:sz w:val="21"/>
                <w:szCs w:val="21"/>
              </w:rPr>
              <w:t>1582.592</w:t>
            </w:r>
            <w:r>
              <w:rPr>
                <w:rFonts w:hint="eastAsia" w:ascii="Times New Roman" w:hAnsi="Times New Roman" w:eastAsia="仿宋" w:cs="Times New Roman"/>
                <w:color w:val="auto"/>
                <w:sz w:val="21"/>
                <w:szCs w:val="21"/>
                <w:lang w:val="en-US" w:eastAsia="zh-CN"/>
              </w:rPr>
              <w:t>3</w:t>
            </w:r>
          </w:p>
        </w:tc>
        <w:tc>
          <w:tcPr>
            <w:tcW w:w="650" w:type="pct"/>
            <w:vAlign w:val="center"/>
          </w:tcPr>
          <w:p w14:paraId="346107F7">
            <w:pPr>
              <w:spacing w:line="400" w:lineRule="exact"/>
              <w:jc w:val="center"/>
              <w:outlineLvl w:val="3"/>
              <w:rPr>
                <w:rFonts w:hint="eastAsia" w:ascii="Times New Roman" w:hAnsi="Times New Roman" w:eastAsia="仿宋" w:cs="Times New Roman"/>
                <w:color w:val="auto"/>
                <w:sz w:val="21"/>
                <w:szCs w:val="21"/>
                <w:lang w:val="en-US" w:eastAsia="zh-CN"/>
              </w:rPr>
            </w:pPr>
            <w:r>
              <w:rPr>
                <w:rFonts w:hint="eastAsia" w:ascii="Times New Roman" w:hAnsi="Times New Roman" w:eastAsia="仿宋" w:cs="Times New Roman"/>
                <w:color w:val="auto"/>
                <w:sz w:val="21"/>
                <w:szCs w:val="21"/>
                <w:lang w:val="en-US" w:eastAsia="zh-CN"/>
              </w:rPr>
              <w:t>1852.7349</w:t>
            </w:r>
          </w:p>
        </w:tc>
        <w:tc>
          <w:tcPr>
            <w:tcW w:w="835" w:type="pct"/>
            <w:vAlign w:val="center"/>
          </w:tcPr>
          <w:p w14:paraId="1ABDD456">
            <w:pPr>
              <w:spacing w:line="400" w:lineRule="exact"/>
              <w:jc w:val="center"/>
              <w:outlineLvl w:val="3"/>
              <w:rPr>
                <w:rFonts w:hint="default" w:ascii="Times New Roman" w:hAnsi="Times New Roman" w:eastAsia="仿宋" w:cs="Times New Roman"/>
                <w:color w:val="auto"/>
                <w:sz w:val="21"/>
                <w:szCs w:val="21"/>
                <w:lang w:val="en-US" w:eastAsia="zh-CN"/>
              </w:rPr>
            </w:pPr>
            <w:r>
              <w:rPr>
                <w:rFonts w:hint="eastAsia" w:ascii="Times New Roman" w:hAnsi="Times New Roman" w:eastAsia="仿宋" w:cs="Times New Roman"/>
                <w:color w:val="auto"/>
                <w:sz w:val="21"/>
                <w:szCs w:val="21"/>
                <w:lang w:val="en-US" w:eastAsia="zh-CN"/>
              </w:rPr>
              <w:t>1776.7594</w:t>
            </w:r>
          </w:p>
        </w:tc>
        <w:tc>
          <w:tcPr>
            <w:tcW w:w="769" w:type="pct"/>
            <w:vAlign w:val="center"/>
          </w:tcPr>
          <w:p w14:paraId="5ACD60AE">
            <w:pPr>
              <w:spacing w:line="400" w:lineRule="exact"/>
              <w:jc w:val="center"/>
              <w:outlineLvl w:val="3"/>
              <w:rPr>
                <w:rFonts w:hint="eastAsia" w:ascii="Times New Roman" w:hAnsi="Times New Roman" w:eastAsia="仿宋" w:cs="Times New Roman"/>
                <w:color w:val="auto"/>
                <w:sz w:val="21"/>
                <w:szCs w:val="21"/>
                <w:lang w:val="en-US" w:eastAsia="zh-CN"/>
              </w:rPr>
            </w:pPr>
            <w:r>
              <w:rPr>
                <w:rFonts w:hint="eastAsia" w:ascii="Times New Roman" w:hAnsi="Times New Roman" w:eastAsia="仿宋" w:cs="Times New Roman"/>
                <w:color w:val="auto"/>
                <w:sz w:val="21"/>
                <w:szCs w:val="21"/>
                <w:lang w:val="en-US" w:eastAsia="zh-CN"/>
              </w:rPr>
              <w:t>1137.9784</w:t>
            </w:r>
          </w:p>
        </w:tc>
        <w:tc>
          <w:tcPr>
            <w:tcW w:w="769" w:type="pct"/>
            <w:vAlign w:val="center"/>
          </w:tcPr>
          <w:p w14:paraId="4C28BA4E">
            <w:pPr>
              <w:spacing w:line="400" w:lineRule="exact"/>
              <w:jc w:val="center"/>
              <w:outlineLvl w:val="3"/>
              <w:rPr>
                <w:rFonts w:hint="eastAsia" w:ascii="Times New Roman" w:hAnsi="Times New Roman" w:eastAsia="仿宋" w:cs="Times New Roman"/>
                <w:color w:val="auto"/>
                <w:sz w:val="21"/>
                <w:szCs w:val="21"/>
                <w:lang w:val="en-US" w:eastAsia="zh-CN"/>
              </w:rPr>
            </w:pPr>
            <w:r>
              <w:rPr>
                <w:rFonts w:hint="eastAsia" w:ascii="Times New Roman" w:hAnsi="Times New Roman" w:eastAsia="仿宋" w:cs="Times New Roman"/>
                <w:color w:val="auto"/>
                <w:sz w:val="21"/>
                <w:szCs w:val="21"/>
                <w:lang w:val="en-US" w:eastAsia="zh-CN"/>
              </w:rPr>
              <w:t>1198.3842</w:t>
            </w:r>
          </w:p>
        </w:tc>
      </w:tr>
      <w:tr w14:paraId="286C9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3" w:type="pct"/>
            <w:vAlign w:val="center"/>
          </w:tcPr>
          <w:p w14:paraId="16D95DDC">
            <w:pPr>
              <w:spacing w:line="400" w:lineRule="exact"/>
              <w:jc w:val="center"/>
              <w:outlineLvl w:val="3"/>
              <w:rPr>
                <w:rFonts w:ascii="Times New Roman" w:hAnsi="Times New Roman" w:eastAsia="仿宋" w:cs="Times New Roman"/>
                <w:color w:val="auto"/>
                <w:sz w:val="21"/>
                <w:szCs w:val="21"/>
              </w:rPr>
            </w:pPr>
            <w:r>
              <w:rPr>
                <w:rFonts w:ascii="Times New Roman" w:hAnsi="Times New Roman" w:eastAsia="仿宋" w:cs="Times New Roman"/>
                <w:color w:val="auto"/>
                <w:sz w:val="21"/>
                <w:szCs w:val="21"/>
              </w:rPr>
              <w:t>COD（吨）</w:t>
            </w:r>
          </w:p>
        </w:tc>
        <w:tc>
          <w:tcPr>
            <w:tcW w:w="650" w:type="pct"/>
            <w:vAlign w:val="center"/>
          </w:tcPr>
          <w:p w14:paraId="2BD441BA">
            <w:pPr>
              <w:spacing w:line="400" w:lineRule="exact"/>
              <w:jc w:val="center"/>
              <w:outlineLvl w:val="3"/>
              <w:rPr>
                <w:rFonts w:hint="eastAsia" w:ascii="Times New Roman" w:hAnsi="Times New Roman" w:eastAsia="仿宋" w:cs="Times New Roman"/>
                <w:color w:val="auto"/>
                <w:sz w:val="21"/>
                <w:szCs w:val="21"/>
              </w:rPr>
            </w:pPr>
            <w:r>
              <w:rPr>
                <w:rFonts w:hint="eastAsia" w:ascii="Times New Roman" w:hAnsi="Times New Roman" w:eastAsia="仿宋" w:cs="Times New Roman"/>
                <w:color w:val="auto"/>
                <w:sz w:val="21"/>
                <w:szCs w:val="21"/>
              </w:rPr>
              <w:t>3624.033</w:t>
            </w:r>
          </w:p>
        </w:tc>
        <w:tc>
          <w:tcPr>
            <w:tcW w:w="650" w:type="pct"/>
            <w:vAlign w:val="center"/>
          </w:tcPr>
          <w:p w14:paraId="5E30D37D">
            <w:pPr>
              <w:spacing w:line="400" w:lineRule="exact"/>
              <w:jc w:val="center"/>
              <w:outlineLvl w:val="3"/>
              <w:rPr>
                <w:rFonts w:hint="eastAsia" w:ascii="Times New Roman" w:hAnsi="Times New Roman" w:eastAsia="仿宋" w:cs="Times New Roman"/>
                <w:color w:val="auto"/>
                <w:sz w:val="21"/>
                <w:szCs w:val="21"/>
                <w:lang w:val="en-US" w:eastAsia="zh-CN"/>
              </w:rPr>
            </w:pPr>
            <w:r>
              <w:rPr>
                <w:rFonts w:hint="eastAsia" w:ascii="Times New Roman" w:hAnsi="Times New Roman" w:eastAsia="仿宋" w:cs="Times New Roman"/>
                <w:color w:val="auto"/>
                <w:sz w:val="21"/>
                <w:szCs w:val="21"/>
                <w:lang w:val="en-US" w:eastAsia="zh-CN"/>
              </w:rPr>
              <w:t>3282.4574</w:t>
            </w:r>
          </w:p>
        </w:tc>
        <w:tc>
          <w:tcPr>
            <w:tcW w:w="835" w:type="pct"/>
            <w:vAlign w:val="center"/>
          </w:tcPr>
          <w:p w14:paraId="60FDE957">
            <w:pPr>
              <w:spacing w:line="400" w:lineRule="exact"/>
              <w:jc w:val="center"/>
              <w:outlineLvl w:val="3"/>
              <w:rPr>
                <w:rFonts w:hint="eastAsia" w:ascii="Times New Roman" w:hAnsi="Times New Roman" w:eastAsia="仿宋" w:cs="Times New Roman"/>
                <w:color w:val="auto"/>
                <w:sz w:val="21"/>
                <w:szCs w:val="21"/>
                <w:lang w:val="en-US" w:eastAsia="zh-CN"/>
              </w:rPr>
            </w:pPr>
            <w:r>
              <w:rPr>
                <w:rFonts w:hint="eastAsia" w:ascii="Times New Roman" w:hAnsi="Times New Roman" w:eastAsia="仿宋" w:cs="Times New Roman"/>
                <w:color w:val="auto"/>
                <w:sz w:val="21"/>
                <w:szCs w:val="21"/>
                <w:lang w:val="en-US" w:eastAsia="zh-CN"/>
              </w:rPr>
              <w:t>3254.8512</w:t>
            </w:r>
          </w:p>
        </w:tc>
        <w:tc>
          <w:tcPr>
            <w:tcW w:w="769" w:type="pct"/>
            <w:vAlign w:val="center"/>
          </w:tcPr>
          <w:p w14:paraId="13B96C17">
            <w:pPr>
              <w:spacing w:line="400" w:lineRule="exact"/>
              <w:jc w:val="center"/>
              <w:outlineLvl w:val="3"/>
              <w:rPr>
                <w:rFonts w:hint="eastAsia" w:ascii="Times New Roman" w:hAnsi="Times New Roman" w:eastAsia="仿宋" w:cs="Times New Roman"/>
                <w:color w:val="auto"/>
                <w:sz w:val="21"/>
                <w:szCs w:val="21"/>
                <w:lang w:val="en-US" w:eastAsia="zh-CN"/>
              </w:rPr>
            </w:pPr>
            <w:r>
              <w:rPr>
                <w:rFonts w:hint="eastAsia" w:ascii="Times New Roman" w:hAnsi="Times New Roman" w:eastAsia="仿宋" w:cs="Times New Roman"/>
                <w:color w:val="auto"/>
                <w:sz w:val="21"/>
                <w:szCs w:val="21"/>
                <w:lang w:val="en-US" w:eastAsia="zh-CN"/>
              </w:rPr>
              <w:t>806.169</w:t>
            </w:r>
          </w:p>
        </w:tc>
        <w:tc>
          <w:tcPr>
            <w:tcW w:w="769" w:type="pct"/>
            <w:vAlign w:val="center"/>
          </w:tcPr>
          <w:p w14:paraId="22F5F106">
            <w:pPr>
              <w:spacing w:line="400" w:lineRule="exact"/>
              <w:jc w:val="center"/>
              <w:outlineLvl w:val="3"/>
              <w:rPr>
                <w:rFonts w:hint="eastAsia" w:ascii="Times New Roman" w:hAnsi="Times New Roman" w:eastAsia="仿宋" w:cs="Times New Roman"/>
                <w:color w:val="auto"/>
                <w:sz w:val="21"/>
                <w:szCs w:val="21"/>
                <w:lang w:val="en-US" w:eastAsia="zh-CN"/>
              </w:rPr>
            </w:pPr>
            <w:r>
              <w:rPr>
                <w:rFonts w:hint="eastAsia" w:ascii="Times New Roman" w:hAnsi="Times New Roman" w:eastAsia="仿宋" w:cs="Times New Roman"/>
                <w:color w:val="auto"/>
                <w:sz w:val="21"/>
                <w:szCs w:val="21"/>
                <w:lang w:val="en-US" w:eastAsia="zh-CN"/>
              </w:rPr>
              <w:t>727.995</w:t>
            </w:r>
          </w:p>
        </w:tc>
      </w:tr>
      <w:tr w14:paraId="64B3E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3" w:type="pct"/>
            <w:vAlign w:val="center"/>
          </w:tcPr>
          <w:p w14:paraId="0ED06736">
            <w:pPr>
              <w:spacing w:line="400" w:lineRule="exact"/>
              <w:jc w:val="center"/>
              <w:outlineLvl w:val="3"/>
              <w:rPr>
                <w:rFonts w:ascii="Times New Roman" w:hAnsi="Times New Roman" w:eastAsia="仿宋" w:cs="Times New Roman"/>
                <w:color w:val="auto"/>
                <w:sz w:val="21"/>
                <w:szCs w:val="21"/>
              </w:rPr>
            </w:pPr>
            <w:r>
              <w:rPr>
                <w:rFonts w:ascii="Times New Roman" w:hAnsi="Times New Roman" w:eastAsia="仿宋" w:cs="Times New Roman"/>
                <w:color w:val="auto"/>
                <w:sz w:val="21"/>
                <w:szCs w:val="21"/>
              </w:rPr>
              <w:t>NH</w:t>
            </w:r>
            <w:r>
              <w:rPr>
                <w:rFonts w:ascii="Times New Roman" w:hAnsi="Times New Roman" w:eastAsia="仿宋" w:cs="Times New Roman"/>
                <w:color w:val="auto"/>
                <w:sz w:val="21"/>
                <w:szCs w:val="21"/>
                <w:vertAlign w:val="subscript"/>
              </w:rPr>
              <w:t>3</w:t>
            </w:r>
            <w:r>
              <w:rPr>
                <w:rFonts w:ascii="Times New Roman" w:hAnsi="Times New Roman" w:eastAsia="仿宋" w:cs="Times New Roman"/>
                <w:color w:val="auto"/>
                <w:sz w:val="21"/>
                <w:szCs w:val="21"/>
              </w:rPr>
              <w:t>－N（吨）</w:t>
            </w:r>
          </w:p>
        </w:tc>
        <w:tc>
          <w:tcPr>
            <w:tcW w:w="650" w:type="pct"/>
            <w:vAlign w:val="center"/>
          </w:tcPr>
          <w:p w14:paraId="7ECF728C">
            <w:pPr>
              <w:spacing w:line="400" w:lineRule="exact"/>
              <w:jc w:val="center"/>
              <w:outlineLvl w:val="3"/>
              <w:rPr>
                <w:rFonts w:hint="eastAsia" w:ascii="Times New Roman" w:hAnsi="Times New Roman" w:eastAsia="仿宋" w:cs="Times New Roman"/>
                <w:color w:val="auto"/>
                <w:sz w:val="21"/>
                <w:szCs w:val="21"/>
              </w:rPr>
            </w:pPr>
            <w:r>
              <w:rPr>
                <w:rFonts w:hint="eastAsia" w:ascii="Times New Roman" w:hAnsi="Times New Roman" w:eastAsia="仿宋" w:cs="Times New Roman"/>
                <w:color w:val="auto"/>
                <w:sz w:val="21"/>
                <w:szCs w:val="21"/>
              </w:rPr>
              <w:t>316.0885</w:t>
            </w:r>
          </w:p>
        </w:tc>
        <w:tc>
          <w:tcPr>
            <w:tcW w:w="650" w:type="pct"/>
            <w:vAlign w:val="center"/>
          </w:tcPr>
          <w:p w14:paraId="584DD3F1">
            <w:pPr>
              <w:spacing w:line="400" w:lineRule="exact"/>
              <w:jc w:val="center"/>
              <w:outlineLvl w:val="3"/>
              <w:rPr>
                <w:rFonts w:hint="eastAsia" w:ascii="Times New Roman" w:hAnsi="Times New Roman" w:eastAsia="仿宋" w:cs="Times New Roman"/>
                <w:color w:val="auto"/>
                <w:sz w:val="21"/>
                <w:szCs w:val="21"/>
                <w:lang w:val="en-US" w:eastAsia="zh-CN"/>
              </w:rPr>
            </w:pPr>
            <w:r>
              <w:rPr>
                <w:rFonts w:hint="eastAsia" w:ascii="Times New Roman" w:hAnsi="Times New Roman" w:eastAsia="仿宋" w:cs="Times New Roman"/>
                <w:color w:val="auto"/>
                <w:sz w:val="21"/>
                <w:szCs w:val="21"/>
                <w:lang w:val="en-US" w:eastAsia="zh-CN"/>
              </w:rPr>
              <w:t>293.223</w:t>
            </w:r>
          </w:p>
        </w:tc>
        <w:tc>
          <w:tcPr>
            <w:tcW w:w="835" w:type="pct"/>
            <w:vAlign w:val="center"/>
          </w:tcPr>
          <w:p w14:paraId="0B4DF5BF">
            <w:pPr>
              <w:spacing w:line="400" w:lineRule="exact"/>
              <w:jc w:val="center"/>
              <w:outlineLvl w:val="3"/>
              <w:rPr>
                <w:rFonts w:hint="eastAsia" w:ascii="Times New Roman" w:hAnsi="Times New Roman" w:eastAsia="仿宋" w:cs="Times New Roman"/>
                <w:color w:val="auto"/>
                <w:sz w:val="21"/>
                <w:szCs w:val="21"/>
                <w:lang w:val="en-US" w:eastAsia="zh-CN"/>
              </w:rPr>
            </w:pPr>
            <w:r>
              <w:rPr>
                <w:rFonts w:hint="eastAsia" w:ascii="Times New Roman" w:hAnsi="Times New Roman" w:eastAsia="仿宋" w:cs="Times New Roman"/>
                <w:color w:val="auto"/>
                <w:sz w:val="21"/>
                <w:szCs w:val="21"/>
                <w:lang w:val="en-US" w:eastAsia="zh-CN"/>
              </w:rPr>
              <w:t>289.5066</w:t>
            </w:r>
          </w:p>
        </w:tc>
        <w:tc>
          <w:tcPr>
            <w:tcW w:w="769" w:type="pct"/>
            <w:vAlign w:val="center"/>
          </w:tcPr>
          <w:p w14:paraId="13EAB1BD">
            <w:pPr>
              <w:spacing w:line="400" w:lineRule="exact"/>
              <w:jc w:val="center"/>
              <w:outlineLvl w:val="3"/>
              <w:rPr>
                <w:rFonts w:hint="eastAsia" w:ascii="Times New Roman" w:hAnsi="Times New Roman" w:eastAsia="仿宋" w:cs="Times New Roman"/>
                <w:color w:val="auto"/>
                <w:sz w:val="21"/>
                <w:szCs w:val="21"/>
                <w:lang w:val="en-US" w:eastAsia="zh-CN"/>
              </w:rPr>
            </w:pPr>
            <w:r>
              <w:rPr>
                <w:rFonts w:hint="eastAsia" w:ascii="Times New Roman" w:hAnsi="Times New Roman" w:eastAsia="仿宋" w:cs="Times New Roman"/>
                <w:color w:val="auto"/>
                <w:sz w:val="21"/>
                <w:szCs w:val="21"/>
                <w:lang w:val="en-US" w:eastAsia="zh-CN"/>
              </w:rPr>
              <w:t>4.054</w:t>
            </w:r>
          </w:p>
        </w:tc>
        <w:tc>
          <w:tcPr>
            <w:tcW w:w="769" w:type="pct"/>
            <w:vAlign w:val="center"/>
          </w:tcPr>
          <w:p w14:paraId="1B946018">
            <w:pPr>
              <w:spacing w:line="400" w:lineRule="exact"/>
              <w:jc w:val="center"/>
              <w:outlineLvl w:val="3"/>
              <w:rPr>
                <w:rFonts w:hint="eastAsia" w:ascii="Times New Roman" w:hAnsi="Times New Roman" w:eastAsia="仿宋" w:cs="Times New Roman"/>
                <w:color w:val="auto"/>
                <w:sz w:val="21"/>
                <w:szCs w:val="21"/>
                <w:lang w:val="en-US" w:eastAsia="zh-CN"/>
              </w:rPr>
            </w:pPr>
            <w:r>
              <w:rPr>
                <w:rFonts w:hint="eastAsia" w:ascii="Times New Roman" w:hAnsi="Times New Roman" w:eastAsia="仿宋" w:cs="Times New Roman"/>
                <w:color w:val="auto"/>
                <w:sz w:val="21"/>
                <w:szCs w:val="21"/>
                <w:lang w:val="en-US" w:eastAsia="zh-CN"/>
              </w:rPr>
              <w:t>7.826</w:t>
            </w:r>
          </w:p>
        </w:tc>
      </w:tr>
      <w:tr w14:paraId="2FBA5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3" w:type="pct"/>
            <w:vAlign w:val="center"/>
          </w:tcPr>
          <w:p w14:paraId="2133D21E">
            <w:pPr>
              <w:spacing w:line="400" w:lineRule="exact"/>
              <w:jc w:val="center"/>
              <w:outlineLvl w:val="3"/>
              <w:rPr>
                <w:rFonts w:ascii="Times New Roman" w:hAnsi="Times New Roman" w:eastAsia="仿宋" w:cs="Times New Roman"/>
                <w:color w:val="auto"/>
                <w:sz w:val="21"/>
                <w:szCs w:val="21"/>
              </w:rPr>
            </w:pPr>
            <w:r>
              <w:rPr>
                <w:rFonts w:ascii="Times New Roman" w:hAnsi="Times New Roman" w:eastAsia="仿宋" w:cs="Times New Roman"/>
                <w:color w:val="auto"/>
                <w:sz w:val="21"/>
                <w:szCs w:val="21"/>
              </w:rPr>
              <w:t>总氮（吨）</w:t>
            </w:r>
          </w:p>
        </w:tc>
        <w:tc>
          <w:tcPr>
            <w:tcW w:w="650" w:type="pct"/>
            <w:vAlign w:val="center"/>
          </w:tcPr>
          <w:p w14:paraId="381CAC57">
            <w:pPr>
              <w:spacing w:line="400" w:lineRule="exact"/>
              <w:jc w:val="center"/>
              <w:outlineLvl w:val="3"/>
              <w:rPr>
                <w:rFonts w:hint="eastAsia" w:ascii="Times New Roman" w:hAnsi="Times New Roman" w:eastAsia="仿宋" w:cs="Times New Roman"/>
                <w:color w:val="auto"/>
                <w:sz w:val="21"/>
                <w:szCs w:val="21"/>
              </w:rPr>
            </w:pPr>
            <w:r>
              <w:rPr>
                <w:rFonts w:hint="eastAsia" w:ascii="Times New Roman" w:hAnsi="Times New Roman" w:eastAsia="仿宋" w:cs="Times New Roman"/>
                <w:color w:val="auto"/>
                <w:sz w:val="21"/>
                <w:szCs w:val="21"/>
                <w:lang w:val="en-US" w:eastAsia="zh-CN"/>
              </w:rPr>
              <w:t>371.5805</w:t>
            </w:r>
          </w:p>
        </w:tc>
        <w:tc>
          <w:tcPr>
            <w:tcW w:w="650" w:type="pct"/>
            <w:vAlign w:val="center"/>
          </w:tcPr>
          <w:p w14:paraId="3F7F45C6">
            <w:pPr>
              <w:spacing w:line="400" w:lineRule="exact"/>
              <w:jc w:val="center"/>
              <w:outlineLvl w:val="3"/>
              <w:rPr>
                <w:rFonts w:hint="eastAsia" w:ascii="Times New Roman" w:hAnsi="Times New Roman" w:eastAsia="仿宋" w:cs="Times New Roman"/>
                <w:color w:val="auto"/>
                <w:sz w:val="21"/>
                <w:szCs w:val="21"/>
                <w:lang w:val="en-US" w:eastAsia="zh-CN"/>
              </w:rPr>
            </w:pPr>
            <w:r>
              <w:rPr>
                <w:rFonts w:hint="eastAsia" w:ascii="Times New Roman" w:hAnsi="Times New Roman" w:eastAsia="仿宋" w:cs="Times New Roman"/>
                <w:color w:val="auto"/>
                <w:sz w:val="21"/>
                <w:szCs w:val="21"/>
                <w:lang w:val="en-US" w:eastAsia="zh-CN"/>
              </w:rPr>
              <w:t>448.8612</w:t>
            </w:r>
          </w:p>
        </w:tc>
        <w:tc>
          <w:tcPr>
            <w:tcW w:w="835" w:type="pct"/>
            <w:vAlign w:val="center"/>
          </w:tcPr>
          <w:p w14:paraId="1BE06A86">
            <w:pPr>
              <w:spacing w:line="400" w:lineRule="exact"/>
              <w:jc w:val="center"/>
              <w:outlineLvl w:val="3"/>
              <w:rPr>
                <w:rFonts w:hint="eastAsia" w:ascii="Times New Roman" w:hAnsi="Times New Roman" w:eastAsia="仿宋" w:cs="Times New Roman"/>
                <w:color w:val="auto"/>
                <w:sz w:val="21"/>
                <w:szCs w:val="21"/>
                <w:lang w:val="en-US" w:eastAsia="zh-CN"/>
              </w:rPr>
            </w:pPr>
            <w:r>
              <w:rPr>
                <w:rFonts w:hint="eastAsia" w:ascii="Times New Roman" w:hAnsi="Times New Roman" w:eastAsia="仿宋" w:cs="Times New Roman"/>
                <w:color w:val="auto"/>
                <w:sz w:val="21"/>
                <w:szCs w:val="21"/>
                <w:lang w:val="en-US" w:eastAsia="zh-CN"/>
              </w:rPr>
              <w:t>419.6564</w:t>
            </w:r>
          </w:p>
        </w:tc>
        <w:tc>
          <w:tcPr>
            <w:tcW w:w="769" w:type="pct"/>
            <w:vAlign w:val="center"/>
          </w:tcPr>
          <w:p w14:paraId="54210313">
            <w:pPr>
              <w:spacing w:line="400" w:lineRule="exact"/>
              <w:jc w:val="center"/>
              <w:outlineLvl w:val="3"/>
              <w:rPr>
                <w:rFonts w:hint="eastAsia" w:ascii="Times New Roman" w:hAnsi="Times New Roman" w:eastAsia="仿宋" w:cs="Times New Roman"/>
                <w:color w:val="auto"/>
                <w:sz w:val="21"/>
                <w:szCs w:val="21"/>
                <w:lang w:val="en-US" w:eastAsia="zh-CN"/>
              </w:rPr>
            </w:pPr>
            <w:r>
              <w:rPr>
                <w:rFonts w:hint="eastAsia" w:ascii="Times New Roman" w:hAnsi="Times New Roman" w:eastAsia="仿宋" w:cs="Times New Roman"/>
                <w:color w:val="auto"/>
                <w:sz w:val="21"/>
                <w:szCs w:val="21"/>
                <w:lang w:val="en-US" w:eastAsia="zh-CN"/>
              </w:rPr>
              <w:t>20.774</w:t>
            </w:r>
          </w:p>
        </w:tc>
        <w:tc>
          <w:tcPr>
            <w:tcW w:w="769" w:type="pct"/>
            <w:vAlign w:val="center"/>
          </w:tcPr>
          <w:p w14:paraId="1541D2C2">
            <w:pPr>
              <w:spacing w:line="400" w:lineRule="exact"/>
              <w:jc w:val="center"/>
              <w:outlineLvl w:val="3"/>
              <w:rPr>
                <w:rFonts w:hint="eastAsia" w:ascii="Times New Roman" w:hAnsi="Times New Roman" w:eastAsia="仿宋" w:cs="Times New Roman"/>
                <w:color w:val="auto"/>
                <w:sz w:val="21"/>
                <w:szCs w:val="21"/>
                <w:lang w:val="en-US" w:eastAsia="zh-CN"/>
              </w:rPr>
            </w:pPr>
            <w:r>
              <w:rPr>
                <w:rFonts w:hint="eastAsia" w:ascii="Times New Roman" w:hAnsi="Times New Roman" w:eastAsia="仿宋" w:cs="Times New Roman"/>
                <w:color w:val="auto"/>
                <w:sz w:val="21"/>
                <w:szCs w:val="21"/>
                <w:lang w:val="en-US" w:eastAsia="zh-CN"/>
              </w:rPr>
              <w:t>42.565</w:t>
            </w:r>
          </w:p>
        </w:tc>
      </w:tr>
      <w:tr w14:paraId="5F89B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23" w:type="pct"/>
            <w:vAlign w:val="center"/>
          </w:tcPr>
          <w:p w14:paraId="0E452BB5">
            <w:pPr>
              <w:spacing w:line="400" w:lineRule="exact"/>
              <w:jc w:val="center"/>
              <w:outlineLvl w:val="3"/>
              <w:rPr>
                <w:rFonts w:ascii="Times New Roman" w:hAnsi="Times New Roman" w:eastAsia="仿宋" w:cs="Times New Roman"/>
                <w:color w:val="auto"/>
                <w:sz w:val="21"/>
                <w:szCs w:val="21"/>
              </w:rPr>
            </w:pPr>
            <w:r>
              <w:rPr>
                <w:rFonts w:ascii="Times New Roman" w:hAnsi="Times New Roman" w:eastAsia="仿宋" w:cs="Times New Roman"/>
                <w:color w:val="auto"/>
                <w:sz w:val="21"/>
                <w:szCs w:val="21"/>
              </w:rPr>
              <w:t>总磷（吨）</w:t>
            </w:r>
          </w:p>
        </w:tc>
        <w:tc>
          <w:tcPr>
            <w:tcW w:w="650" w:type="pct"/>
            <w:vAlign w:val="center"/>
          </w:tcPr>
          <w:p w14:paraId="356FA1B1">
            <w:pPr>
              <w:spacing w:line="400" w:lineRule="exact"/>
              <w:jc w:val="center"/>
              <w:outlineLvl w:val="3"/>
              <w:rPr>
                <w:rFonts w:hint="eastAsia" w:ascii="Times New Roman" w:hAnsi="Times New Roman" w:eastAsia="仿宋" w:cs="Times New Roman"/>
                <w:color w:val="auto"/>
                <w:sz w:val="21"/>
                <w:szCs w:val="21"/>
              </w:rPr>
            </w:pPr>
            <w:r>
              <w:rPr>
                <w:rFonts w:hint="eastAsia" w:ascii="Times New Roman" w:hAnsi="Times New Roman" w:eastAsia="仿宋" w:cs="Times New Roman"/>
                <w:color w:val="auto"/>
                <w:sz w:val="21"/>
                <w:szCs w:val="21"/>
                <w:lang w:val="en-US" w:eastAsia="zh-CN"/>
              </w:rPr>
              <w:t>28.5052</w:t>
            </w:r>
          </w:p>
        </w:tc>
        <w:tc>
          <w:tcPr>
            <w:tcW w:w="650" w:type="pct"/>
            <w:vAlign w:val="center"/>
          </w:tcPr>
          <w:p w14:paraId="128A98D3">
            <w:pPr>
              <w:spacing w:line="400" w:lineRule="exact"/>
              <w:jc w:val="center"/>
              <w:outlineLvl w:val="3"/>
              <w:rPr>
                <w:rFonts w:hint="eastAsia" w:ascii="Times New Roman" w:hAnsi="Times New Roman" w:eastAsia="仿宋" w:cs="Times New Roman"/>
                <w:color w:val="auto"/>
                <w:sz w:val="21"/>
                <w:szCs w:val="21"/>
                <w:lang w:val="en-US" w:eastAsia="zh-CN"/>
              </w:rPr>
            </w:pPr>
            <w:r>
              <w:rPr>
                <w:rFonts w:hint="eastAsia" w:ascii="Times New Roman" w:hAnsi="Times New Roman" w:eastAsia="仿宋" w:cs="Times New Roman"/>
                <w:color w:val="auto"/>
                <w:sz w:val="21"/>
                <w:szCs w:val="21"/>
                <w:lang w:val="en-US" w:eastAsia="zh-CN"/>
              </w:rPr>
              <w:t>35.9895</w:t>
            </w:r>
          </w:p>
        </w:tc>
        <w:tc>
          <w:tcPr>
            <w:tcW w:w="835" w:type="pct"/>
            <w:vAlign w:val="center"/>
          </w:tcPr>
          <w:p w14:paraId="1BEB9838">
            <w:pPr>
              <w:spacing w:line="400" w:lineRule="exact"/>
              <w:jc w:val="center"/>
              <w:outlineLvl w:val="3"/>
              <w:rPr>
                <w:rFonts w:hint="eastAsia" w:ascii="Times New Roman" w:hAnsi="Times New Roman" w:eastAsia="仿宋" w:cs="Times New Roman"/>
                <w:color w:val="auto"/>
                <w:sz w:val="21"/>
                <w:szCs w:val="21"/>
                <w:lang w:val="en-US" w:eastAsia="zh-CN"/>
              </w:rPr>
            </w:pPr>
            <w:r>
              <w:rPr>
                <w:rFonts w:hint="eastAsia" w:ascii="Times New Roman" w:hAnsi="Times New Roman" w:eastAsia="仿宋" w:cs="Times New Roman"/>
                <w:color w:val="auto"/>
                <w:sz w:val="21"/>
                <w:szCs w:val="21"/>
                <w:lang w:val="en-US" w:eastAsia="zh-CN"/>
              </w:rPr>
              <w:t>36.3802</w:t>
            </w:r>
          </w:p>
        </w:tc>
        <w:tc>
          <w:tcPr>
            <w:tcW w:w="769" w:type="pct"/>
            <w:vAlign w:val="center"/>
          </w:tcPr>
          <w:p w14:paraId="3A0ED835">
            <w:pPr>
              <w:spacing w:line="400" w:lineRule="exact"/>
              <w:jc w:val="center"/>
              <w:outlineLvl w:val="3"/>
              <w:rPr>
                <w:rFonts w:hint="eastAsia" w:ascii="Times New Roman" w:hAnsi="Times New Roman" w:eastAsia="仿宋" w:cs="Times New Roman"/>
                <w:color w:val="auto"/>
                <w:sz w:val="21"/>
                <w:szCs w:val="21"/>
                <w:lang w:val="en-US" w:eastAsia="zh-CN"/>
              </w:rPr>
            </w:pPr>
            <w:r>
              <w:rPr>
                <w:rFonts w:hint="eastAsia" w:ascii="Times New Roman" w:hAnsi="Times New Roman" w:eastAsia="仿宋" w:cs="Times New Roman"/>
                <w:color w:val="auto"/>
                <w:sz w:val="21"/>
                <w:szCs w:val="21"/>
                <w:lang w:val="en-US" w:eastAsia="zh-CN"/>
              </w:rPr>
              <w:t>0.477</w:t>
            </w:r>
          </w:p>
        </w:tc>
        <w:tc>
          <w:tcPr>
            <w:tcW w:w="769" w:type="pct"/>
            <w:vAlign w:val="center"/>
          </w:tcPr>
          <w:p w14:paraId="19F4EA0D">
            <w:pPr>
              <w:spacing w:line="400" w:lineRule="exact"/>
              <w:jc w:val="center"/>
              <w:outlineLvl w:val="3"/>
              <w:rPr>
                <w:rFonts w:hint="eastAsia" w:ascii="Times New Roman" w:hAnsi="Times New Roman" w:eastAsia="仿宋" w:cs="Times New Roman"/>
                <w:color w:val="auto"/>
                <w:sz w:val="21"/>
                <w:szCs w:val="21"/>
                <w:lang w:val="en-US" w:eastAsia="zh-CN"/>
              </w:rPr>
            </w:pPr>
            <w:r>
              <w:rPr>
                <w:rFonts w:hint="eastAsia" w:ascii="Times New Roman" w:hAnsi="Times New Roman" w:eastAsia="仿宋" w:cs="Times New Roman"/>
                <w:color w:val="auto"/>
                <w:sz w:val="21"/>
                <w:szCs w:val="21"/>
                <w:lang w:val="en-US" w:eastAsia="zh-CN"/>
              </w:rPr>
              <w:t>0.767</w:t>
            </w:r>
          </w:p>
        </w:tc>
      </w:tr>
    </w:tbl>
    <w:p w14:paraId="3C809228">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Times New Roman" w:hAnsi="Times New Roman" w:eastAsia="方正仿宋_GBK" w:cs="方正仿宋_GBK"/>
          <w:b w:val="0"/>
          <w:bCs w:val="0"/>
          <w:color w:val="auto"/>
          <w:sz w:val="28"/>
          <w:szCs w:val="28"/>
          <w:lang w:val="en-US" w:eastAsia="zh-CN"/>
        </w:rPr>
      </w:pPr>
      <w:r>
        <w:rPr>
          <w:rFonts w:hint="eastAsia" w:ascii="Times New Roman" w:hAnsi="Times New Roman" w:eastAsia="方正仿宋_GBK" w:cs="方正仿宋_GBK"/>
          <w:b w:val="0"/>
          <w:bCs w:val="0"/>
          <w:color w:val="auto"/>
          <w:sz w:val="28"/>
          <w:szCs w:val="28"/>
          <w:lang w:val="en-US" w:eastAsia="zh-CN"/>
        </w:rPr>
        <w:t>（2）废气污染物排放情况</w:t>
      </w:r>
    </w:p>
    <w:p w14:paraId="32F897CB">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Times New Roman" w:hAnsi="Times New Roman" w:eastAsia="方正仿宋_GBK" w:cs="方正仿宋_GBK"/>
          <w:b w:val="0"/>
          <w:bCs w:val="0"/>
          <w:color w:val="auto"/>
          <w:sz w:val="28"/>
          <w:szCs w:val="28"/>
          <w:lang w:val="en-US" w:eastAsia="zh-CN"/>
        </w:rPr>
      </w:pPr>
      <w:r>
        <w:rPr>
          <w:rFonts w:hint="eastAsia" w:ascii="Times New Roman" w:hAnsi="Times New Roman" w:eastAsia="方正仿宋_GBK" w:cs="方正仿宋_GBK"/>
          <w:b w:val="0"/>
          <w:bCs w:val="0"/>
          <w:color w:val="auto"/>
          <w:sz w:val="28"/>
          <w:szCs w:val="28"/>
          <w:lang w:val="en-US" w:eastAsia="zh-CN"/>
        </w:rPr>
        <w:t>根据新平县环境统计数据，废气污染源主要为生活源，总体来看，新平县主要大气污染物二氧化硫、氮氧化物、颗粒物及挥发性有机物排放量呈下降趋势。2017—2021年新平县主要大气污染物排放情况见表2.1.5.5-2。</w:t>
      </w:r>
    </w:p>
    <w:p w14:paraId="0D64FB04">
      <w:pPr>
        <w:widowControl/>
        <w:jc w:val="center"/>
        <w:rPr>
          <w:rFonts w:ascii="Times New Roman" w:hAnsi="Times New Roman" w:eastAsia="仿宋" w:cs="Times New Roman"/>
          <w:b/>
          <w:bCs/>
          <w:color w:val="auto"/>
          <w:sz w:val="24"/>
        </w:rPr>
      </w:pPr>
      <w:r>
        <w:rPr>
          <w:rFonts w:ascii="Times New Roman" w:hAnsi="Times New Roman" w:eastAsia="仿宋" w:cs="Times New Roman"/>
          <w:b/>
          <w:bCs/>
          <w:color w:val="auto"/>
          <w:sz w:val="24"/>
        </w:rPr>
        <w:t>表2.1.5</w:t>
      </w:r>
      <w:r>
        <w:rPr>
          <w:rFonts w:hint="eastAsia" w:ascii="Times New Roman" w:hAnsi="Times New Roman" w:eastAsia="仿宋" w:cs="Times New Roman"/>
          <w:b/>
          <w:bCs/>
          <w:color w:val="auto"/>
          <w:sz w:val="24"/>
          <w:lang w:val="en-US" w:eastAsia="zh-CN"/>
        </w:rPr>
        <w:t>.5</w:t>
      </w:r>
      <w:r>
        <w:rPr>
          <w:rFonts w:ascii="Times New Roman" w:hAnsi="Times New Roman" w:eastAsia="仿宋" w:cs="Times New Roman"/>
          <w:b/>
          <w:bCs/>
          <w:color w:val="auto"/>
          <w:sz w:val="24"/>
        </w:rPr>
        <w:t>-</w:t>
      </w:r>
      <w:r>
        <w:rPr>
          <w:rFonts w:hint="eastAsia" w:ascii="Times New Roman" w:hAnsi="Times New Roman" w:eastAsia="仿宋" w:cs="Times New Roman"/>
          <w:b/>
          <w:bCs/>
          <w:color w:val="auto"/>
          <w:sz w:val="24"/>
          <w:lang w:val="en-US" w:eastAsia="zh-CN"/>
        </w:rPr>
        <w:t>2</w:t>
      </w:r>
      <w:r>
        <w:rPr>
          <w:rFonts w:ascii="Times New Roman" w:hAnsi="Times New Roman" w:eastAsia="仿宋" w:cs="Times New Roman"/>
          <w:b/>
          <w:bCs/>
          <w:color w:val="auto"/>
          <w:sz w:val="24"/>
        </w:rPr>
        <w:t xml:space="preserve"> 201</w:t>
      </w:r>
      <w:r>
        <w:rPr>
          <w:rFonts w:hint="eastAsia" w:ascii="Times New Roman" w:hAnsi="Times New Roman" w:eastAsia="仿宋" w:cs="Times New Roman"/>
          <w:b/>
          <w:bCs/>
          <w:color w:val="auto"/>
          <w:sz w:val="24"/>
          <w:lang w:val="en-US" w:eastAsia="zh-CN"/>
        </w:rPr>
        <w:t>7—</w:t>
      </w:r>
      <w:r>
        <w:rPr>
          <w:rFonts w:ascii="Times New Roman" w:hAnsi="Times New Roman" w:eastAsia="仿宋" w:cs="Times New Roman"/>
          <w:b/>
          <w:bCs/>
          <w:color w:val="auto"/>
          <w:sz w:val="24"/>
        </w:rPr>
        <w:t>202</w:t>
      </w:r>
      <w:r>
        <w:rPr>
          <w:rFonts w:hint="eastAsia" w:ascii="Times New Roman" w:hAnsi="Times New Roman" w:eastAsia="仿宋" w:cs="Times New Roman"/>
          <w:b/>
          <w:bCs/>
          <w:color w:val="auto"/>
          <w:sz w:val="24"/>
          <w:lang w:val="en-US" w:eastAsia="zh-CN"/>
        </w:rPr>
        <w:t>1</w:t>
      </w:r>
      <w:r>
        <w:rPr>
          <w:rFonts w:ascii="Times New Roman" w:hAnsi="Times New Roman" w:eastAsia="仿宋" w:cs="Times New Roman"/>
          <w:b/>
          <w:bCs/>
          <w:color w:val="auto"/>
          <w:sz w:val="24"/>
        </w:rPr>
        <w:t>年</w:t>
      </w:r>
      <w:r>
        <w:rPr>
          <w:rFonts w:hint="eastAsia" w:ascii="Times New Roman" w:hAnsi="Times New Roman" w:eastAsia="仿宋" w:cs="Times New Roman"/>
          <w:b/>
          <w:bCs/>
          <w:color w:val="auto"/>
          <w:sz w:val="24"/>
          <w:lang w:eastAsia="zh-CN"/>
        </w:rPr>
        <w:t>新平县</w:t>
      </w:r>
      <w:r>
        <w:rPr>
          <w:rFonts w:ascii="Times New Roman" w:hAnsi="Times New Roman" w:eastAsia="仿宋" w:cs="Times New Roman"/>
          <w:b/>
          <w:bCs/>
          <w:color w:val="auto"/>
          <w:sz w:val="24"/>
        </w:rPr>
        <w:t>主要大气污染物排放情况</w:t>
      </w:r>
    </w:p>
    <w:tbl>
      <w:tblPr>
        <w:tblStyle w:val="26"/>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55"/>
        <w:gridCol w:w="1290"/>
        <w:gridCol w:w="1287"/>
        <w:gridCol w:w="1283"/>
        <w:gridCol w:w="1289"/>
        <w:gridCol w:w="1416"/>
      </w:tblGrid>
      <w:tr w14:paraId="63F7B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147" w:type="pct"/>
            <w:vMerge w:val="restart"/>
            <w:shd w:val="clear" w:color="auto" w:fill="BEBEBE" w:themeFill="background1" w:themeFillShade="BF"/>
            <w:vAlign w:val="center"/>
          </w:tcPr>
          <w:p w14:paraId="43845414">
            <w:pPr>
              <w:spacing w:line="400" w:lineRule="exact"/>
              <w:jc w:val="center"/>
              <w:outlineLvl w:val="3"/>
              <w:rPr>
                <w:rFonts w:ascii="Times New Roman" w:hAnsi="Times New Roman" w:eastAsia="仿宋" w:cs="Times New Roman"/>
                <w:b/>
                <w:bCs/>
                <w:color w:val="auto"/>
                <w:sz w:val="21"/>
                <w:szCs w:val="21"/>
              </w:rPr>
            </w:pPr>
            <w:r>
              <w:rPr>
                <w:rFonts w:ascii="Times New Roman" w:hAnsi="Times New Roman" w:eastAsia="仿宋" w:cs="Times New Roman"/>
                <w:b/>
                <w:bCs/>
                <w:color w:val="auto"/>
                <w:sz w:val="21"/>
                <w:szCs w:val="21"/>
              </w:rPr>
              <w:t>指标</w:t>
            </w:r>
          </w:p>
        </w:tc>
        <w:tc>
          <w:tcPr>
            <w:tcW w:w="3852" w:type="pct"/>
            <w:gridSpan w:val="5"/>
            <w:shd w:val="clear" w:color="auto" w:fill="BEBEBE" w:themeFill="background1" w:themeFillShade="BF"/>
            <w:vAlign w:val="center"/>
          </w:tcPr>
          <w:p w14:paraId="03DA1FF9">
            <w:pPr>
              <w:spacing w:line="400" w:lineRule="exact"/>
              <w:jc w:val="center"/>
              <w:outlineLvl w:val="3"/>
              <w:rPr>
                <w:rFonts w:ascii="Times New Roman" w:hAnsi="Times New Roman" w:eastAsia="仿宋" w:cs="Times New Roman"/>
                <w:b/>
                <w:bCs/>
                <w:color w:val="auto"/>
                <w:sz w:val="21"/>
                <w:szCs w:val="21"/>
              </w:rPr>
            </w:pPr>
            <w:r>
              <w:rPr>
                <w:rFonts w:ascii="Times New Roman" w:hAnsi="Times New Roman" w:eastAsia="仿宋" w:cs="Times New Roman"/>
                <w:b/>
                <w:bCs/>
                <w:color w:val="auto"/>
                <w:sz w:val="21"/>
                <w:szCs w:val="21"/>
              </w:rPr>
              <w:t>总排放量（吨）</w:t>
            </w:r>
          </w:p>
        </w:tc>
      </w:tr>
      <w:tr w14:paraId="6B655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1147" w:type="pct"/>
            <w:vMerge w:val="continue"/>
            <w:shd w:val="clear" w:color="auto" w:fill="BEBEBE" w:themeFill="background1" w:themeFillShade="BF"/>
            <w:vAlign w:val="center"/>
          </w:tcPr>
          <w:p w14:paraId="33089CB3">
            <w:pPr>
              <w:spacing w:line="400" w:lineRule="exact"/>
              <w:jc w:val="center"/>
              <w:rPr>
                <w:rFonts w:ascii="Times New Roman" w:hAnsi="Times New Roman" w:eastAsia="仿宋" w:cs="Times New Roman"/>
                <w:b/>
                <w:bCs/>
                <w:color w:val="auto"/>
                <w:sz w:val="21"/>
                <w:szCs w:val="21"/>
              </w:rPr>
            </w:pPr>
          </w:p>
        </w:tc>
        <w:tc>
          <w:tcPr>
            <w:tcW w:w="1289" w:type="dxa"/>
            <w:shd w:val="clear" w:color="auto" w:fill="BEBEBE" w:themeFill="background1" w:themeFillShade="BF"/>
            <w:vAlign w:val="center"/>
          </w:tcPr>
          <w:p w14:paraId="7079983D">
            <w:pPr>
              <w:spacing w:line="400" w:lineRule="exact"/>
              <w:jc w:val="center"/>
              <w:outlineLvl w:val="3"/>
              <w:rPr>
                <w:rFonts w:ascii="Times New Roman" w:hAnsi="Times New Roman" w:eastAsia="仿宋" w:cs="Times New Roman"/>
                <w:b/>
                <w:bCs/>
                <w:color w:val="auto"/>
                <w:sz w:val="21"/>
                <w:szCs w:val="21"/>
              </w:rPr>
            </w:pPr>
            <w:r>
              <w:rPr>
                <w:rFonts w:ascii="Times New Roman" w:hAnsi="Times New Roman" w:eastAsia="仿宋" w:cs="Times New Roman"/>
                <w:b/>
                <w:bCs/>
                <w:color w:val="auto"/>
                <w:sz w:val="21"/>
                <w:szCs w:val="21"/>
              </w:rPr>
              <w:t>2017年</w:t>
            </w:r>
          </w:p>
        </w:tc>
        <w:tc>
          <w:tcPr>
            <w:tcW w:w="1287" w:type="dxa"/>
            <w:shd w:val="clear" w:color="auto" w:fill="BEBEBE" w:themeFill="background1" w:themeFillShade="BF"/>
            <w:vAlign w:val="center"/>
          </w:tcPr>
          <w:p w14:paraId="3FE2CD8F">
            <w:pPr>
              <w:spacing w:line="400" w:lineRule="exact"/>
              <w:jc w:val="center"/>
              <w:outlineLvl w:val="3"/>
              <w:rPr>
                <w:rFonts w:ascii="Times New Roman" w:hAnsi="Times New Roman" w:eastAsia="仿宋" w:cs="Times New Roman"/>
                <w:b/>
                <w:bCs/>
                <w:color w:val="auto"/>
                <w:sz w:val="21"/>
                <w:szCs w:val="21"/>
              </w:rPr>
            </w:pPr>
            <w:r>
              <w:rPr>
                <w:rFonts w:ascii="Times New Roman" w:hAnsi="Times New Roman" w:eastAsia="仿宋" w:cs="Times New Roman"/>
                <w:b/>
                <w:bCs/>
                <w:color w:val="auto"/>
                <w:sz w:val="21"/>
                <w:szCs w:val="21"/>
              </w:rPr>
              <w:t>2018年</w:t>
            </w:r>
          </w:p>
        </w:tc>
        <w:tc>
          <w:tcPr>
            <w:tcW w:w="1283" w:type="dxa"/>
            <w:shd w:val="clear" w:color="auto" w:fill="BEBEBE" w:themeFill="background1" w:themeFillShade="BF"/>
            <w:vAlign w:val="center"/>
          </w:tcPr>
          <w:p w14:paraId="5B7E6CC9">
            <w:pPr>
              <w:spacing w:line="400" w:lineRule="exact"/>
              <w:jc w:val="center"/>
              <w:outlineLvl w:val="3"/>
              <w:rPr>
                <w:rFonts w:ascii="Times New Roman" w:hAnsi="Times New Roman" w:eastAsia="仿宋" w:cs="Times New Roman"/>
                <w:b/>
                <w:bCs/>
                <w:color w:val="auto"/>
                <w:sz w:val="21"/>
                <w:szCs w:val="21"/>
              </w:rPr>
            </w:pPr>
            <w:r>
              <w:rPr>
                <w:rFonts w:ascii="Times New Roman" w:hAnsi="Times New Roman" w:eastAsia="仿宋" w:cs="Times New Roman"/>
                <w:b/>
                <w:bCs/>
                <w:color w:val="auto"/>
                <w:sz w:val="21"/>
                <w:szCs w:val="21"/>
              </w:rPr>
              <w:t>2019年</w:t>
            </w:r>
          </w:p>
        </w:tc>
        <w:tc>
          <w:tcPr>
            <w:tcW w:w="1287" w:type="dxa"/>
            <w:shd w:val="clear" w:color="auto" w:fill="BEBEBE" w:themeFill="background1" w:themeFillShade="BF"/>
            <w:vAlign w:val="center"/>
          </w:tcPr>
          <w:p w14:paraId="6EA9EFA6">
            <w:pPr>
              <w:spacing w:line="400" w:lineRule="exact"/>
              <w:jc w:val="center"/>
              <w:outlineLvl w:val="3"/>
              <w:rPr>
                <w:rFonts w:ascii="Times New Roman" w:hAnsi="Times New Roman" w:eastAsia="仿宋" w:cs="Times New Roman"/>
                <w:b/>
                <w:bCs/>
                <w:color w:val="auto"/>
                <w:sz w:val="21"/>
                <w:szCs w:val="21"/>
              </w:rPr>
            </w:pPr>
            <w:r>
              <w:rPr>
                <w:rFonts w:ascii="Times New Roman" w:hAnsi="Times New Roman" w:eastAsia="仿宋" w:cs="Times New Roman"/>
                <w:b/>
                <w:bCs/>
                <w:color w:val="auto"/>
                <w:sz w:val="21"/>
                <w:szCs w:val="21"/>
              </w:rPr>
              <w:t>2020年</w:t>
            </w:r>
          </w:p>
        </w:tc>
        <w:tc>
          <w:tcPr>
            <w:tcW w:w="831" w:type="pct"/>
            <w:shd w:val="clear" w:color="auto" w:fill="BEBEBE" w:themeFill="background1" w:themeFillShade="BF"/>
            <w:vAlign w:val="center"/>
          </w:tcPr>
          <w:p w14:paraId="07A74DCF">
            <w:pPr>
              <w:spacing w:line="400" w:lineRule="exact"/>
              <w:jc w:val="center"/>
              <w:outlineLvl w:val="3"/>
              <w:rPr>
                <w:rFonts w:ascii="Times New Roman" w:hAnsi="Times New Roman" w:eastAsia="仿宋" w:cs="Times New Roman"/>
                <w:b/>
                <w:bCs/>
                <w:color w:val="auto"/>
                <w:sz w:val="21"/>
                <w:szCs w:val="21"/>
              </w:rPr>
            </w:pPr>
            <w:r>
              <w:rPr>
                <w:rFonts w:ascii="Times New Roman" w:hAnsi="Times New Roman" w:eastAsia="仿宋" w:cs="Times New Roman"/>
                <w:b/>
                <w:bCs/>
                <w:color w:val="auto"/>
                <w:sz w:val="21"/>
                <w:szCs w:val="21"/>
              </w:rPr>
              <w:t>20</w:t>
            </w:r>
            <w:r>
              <w:rPr>
                <w:rFonts w:hint="eastAsia" w:ascii="Times New Roman" w:hAnsi="Times New Roman" w:eastAsia="仿宋" w:cs="Times New Roman"/>
                <w:b/>
                <w:bCs/>
                <w:color w:val="auto"/>
                <w:sz w:val="21"/>
                <w:szCs w:val="21"/>
                <w:lang w:val="en-US" w:eastAsia="zh-CN"/>
              </w:rPr>
              <w:t>21</w:t>
            </w:r>
            <w:r>
              <w:rPr>
                <w:rFonts w:ascii="Times New Roman" w:hAnsi="Times New Roman" w:eastAsia="仿宋" w:cs="Times New Roman"/>
                <w:b/>
                <w:bCs/>
                <w:color w:val="auto"/>
                <w:sz w:val="21"/>
                <w:szCs w:val="21"/>
              </w:rPr>
              <w:t>年</w:t>
            </w:r>
          </w:p>
        </w:tc>
      </w:tr>
      <w:tr w14:paraId="6E68C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7" w:type="pct"/>
            <w:vAlign w:val="center"/>
          </w:tcPr>
          <w:p w14:paraId="616059D6">
            <w:pPr>
              <w:spacing w:line="400" w:lineRule="exact"/>
              <w:jc w:val="center"/>
              <w:outlineLvl w:val="3"/>
              <w:rPr>
                <w:rFonts w:ascii="Times New Roman" w:hAnsi="Times New Roman" w:eastAsia="仿宋" w:cs="Times New Roman"/>
                <w:color w:val="auto"/>
                <w:sz w:val="21"/>
                <w:szCs w:val="21"/>
              </w:rPr>
            </w:pPr>
            <w:r>
              <w:rPr>
                <w:rFonts w:ascii="Times New Roman" w:hAnsi="Times New Roman" w:eastAsia="仿宋" w:cs="Times New Roman"/>
                <w:color w:val="auto"/>
                <w:sz w:val="21"/>
                <w:szCs w:val="21"/>
              </w:rPr>
              <w:t>SO</w:t>
            </w:r>
            <w:r>
              <w:rPr>
                <w:rFonts w:ascii="Times New Roman" w:hAnsi="Times New Roman" w:eastAsia="仿宋" w:cs="Times New Roman"/>
                <w:color w:val="auto"/>
                <w:sz w:val="21"/>
                <w:szCs w:val="21"/>
                <w:vertAlign w:val="subscript"/>
              </w:rPr>
              <w:t>2</w:t>
            </w:r>
          </w:p>
        </w:tc>
        <w:tc>
          <w:tcPr>
            <w:tcW w:w="1289" w:type="dxa"/>
            <w:vAlign w:val="center"/>
          </w:tcPr>
          <w:p w14:paraId="2E96977A">
            <w:pPr>
              <w:spacing w:line="400" w:lineRule="exact"/>
              <w:jc w:val="center"/>
              <w:outlineLvl w:val="3"/>
              <w:rPr>
                <w:rFonts w:hint="eastAsia" w:ascii="Times New Roman" w:hAnsi="Times New Roman" w:eastAsia="仿宋" w:cs="Times New Roman"/>
                <w:color w:val="auto"/>
                <w:sz w:val="21"/>
                <w:szCs w:val="21"/>
                <w:lang w:val="en-US" w:eastAsia="zh-CN"/>
              </w:rPr>
            </w:pPr>
            <w:r>
              <w:rPr>
                <w:rFonts w:hint="eastAsia" w:ascii="Times New Roman" w:hAnsi="Times New Roman" w:eastAsia="仿宋" w:cs="Times New Roman"/>
                <w:color w:val="auto"/>
                <w:sz w:val="21"/>
                <w:szCs w:val="21"/>
                <w:lang w:val="en-US" w:eastAsia="zh-CN"/>
              </w:rPr>
              <w:t>10892.79</w:t>
            </w:r>
          </w:p>
        </w:tc>
        <w:tc>
          <w:tcPr>
            <w:tcW w:w="1287" w:type="dxa"/>
            <w:vAlign w:val="center"/>
          </w:tcPr>
          <w:p w14:paraId="6F3679A4">
            <w:pPr>
              <w:spacing w:line="400" w:lineRule="exact"/>
              <w:jc w:val="center"/>
              <w:outlineLvl w:val="3"/>
              <w:rPr>
                <w:rFonts w:hint="eastAsia" w:ascii="Times New Roman" w:hAnsi="Times New Roman" w:eastAsia="仿宋" w:cs="Times New Roman"/>
                <w:color w:val="auto"/>
                <w:sz w:val="21"/>
                <w:szCs w:val="21"/>
                <w:lang w:val="en-US" w:eastAsia="zh-CN"/>
              </w:rPr>
            </w:pPr>
            <w:r>
              <w:rPr>
                <w:rFonts w:hint="eastAsia" w:ascii="Times New Roman" w:hAnsi="Times New Roman" w:eastAsia="仿宋" w:cs="Times New Roman"/>
                <w:color w:val="auto"/>
                <w:sz w:val="21"/>
                <w:szCs w:val="21"/>
                <w:lang w:val="en-US" w:eastAsia="zh-CN"/>
              </w:rPr>
              <w:t>12768.4901</w:t>
            </w:r>
          </w:p>
        </w:tc>
        <w:tc>
          <w:tcPr>
            <w:tcW w:w="1283" w:type="dxa"/>
            <w:vAlign w:val="center"/>
          </w:tcPr>
          <w:p w14:paraId="6EEB28A8">
            <w:pPr>
              <w:spacing w:line="400" w:lineRule="exact"/>
              <w:jc w:val="center"/>
              <w:outlineLvl w:val="3"/>
              <w:rPr>
                <w:rFonts w:hint="eastAsia" w:ascii="Times New Roman" w:hAnsi="Times New Roman" w:eastAsia="仿宋" w:cs="Times New Roman"/>
                <w:color w:val="auto"/>
                <w:sz w:val="21"/>
                <w:szCs w:val="21"/>
                <w:lang w:val="en-US" w:eastAsia="zh-CN"/>
              </w:rPr>
            </w:pPr>
            <w:r>
              <w:rPr>
                <w:rFonts w:hint="eastAsia" w:ascii="Times New Roman" w:hAnsi="Times New Roman" w:eastAsia="仿宋" w:cs="Times New Roman"/>
                <w:color w:val="auto"/>
                <w:sz w:val="21"/>
                <w:szCs w:val="21"/>
                <w:lang w:val="en-US" w:eastAsia="zh-CN"/>
              </w:rPr>
              <w:t>1612.2515</w:t>
            </w:r>
          </w:p>
        </w:tc>
        <w:tc>
          <w:tcPr>
            <w:tcW w:w="1287" w:type="dxa"/>
            <w:vAlign w:val="center"/>
          </w:tcPr>
          <w:p w14:paraId="556DC30F">
            <w:pPr>
              <w:spacing w:line="400" w:lineRule="exact"/>
              <w:jc w:val="center"/>
              <w:outlineLvl w:val="3"/>
              <w:rPr>
                <w:rFonts w:hint="eastAsia" w:ascii="Times New Roman" w:hAnsi="Times New Roman" w:eastAsia="仿宋" w:cs="Times New Roman"/>
                <w:color w:val="auto"/>
                <w:sz w:val="21"/>
                <w:szCs w:val="21"/>
                <w:lang w:val="en-US" w:eastAsia="zh-CN"/>
              </w:rPr>
            </w:pPr>
            <w:r>
              <w:rPr>
                <w:rFonts w:hint="eastAsia" w:ascii="Times New Roman" w:hAnsi="Times New Roman" w:eastAsia="仿宋" w:cs="Times New Roman"/>
                <w:color w:val="auto"/>
                <w:sz w:val="21"/>
                <w:szCs w:val="21"/>
                <w:lang w:val="en-US" w:eastAsia="zh-CN"/>
              </w:rPr>
              <w:t>6274.913</w:t>
            </w:r>
          </w:p>
        </w:tc>
        <w:tc>
          <w:tcPr>
            <w:tcW w:w="1416" w:type="dxa"/>
            <w:vAlign w:val="center"/>
          </w:tcPr>
          <w:p w14:paraId="7EBB50F6">
            <w:pPr>
              <w:spacing w:line="400" w:lineRule="exact"/>
              <w:jc w:val="center"/>
              <w:outlineLvl w:val="3"/>
              <w:rPr>
                <w:rFonts w:hint="eastAsia" w:ascii="Times New Roman" w:hAnsi="Times New Roman" w:eastAsia="仿宋" w:cs="Times New Roman"/>
                <w:color w:val="auto"/>
                <w:sz w:val="21"/>
                <w:szCs w:val="21"/>
                <w:lang w:val="en-US" w:eastAsia="zh-CN"/>
              </w:rPr>
            </w:pPr>
            <w:r>
              <w:rPr>
                <w:rFonts w:hint="eastAsia" w:ascii="Times New Roman" w:hAnsi="Times New Roman" w:eastAsia="仿宋" w:cs="Times New Roman"/>
                <w:color w:val="auto"/>
                <w:sz w:val="21"/>
                <w:szCs w:val="21"/>
                <w:lang w:val="en-US" w:eastAsia="zh-CN"/>
              </w:rPr>
              <w:t>2693.845</w:t>
            </w:r>
          </w:p>
        </w:tc>
      </w:tr>
      <w:tr w14:paraId="2966B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7" w:type="pct"/>
            <w:vAlign w:val="center"/>
          </w:tcPr>
          <w:p w14:paraId="2B51F0B4">
            <w:pPr>
              <w:spacing w:line="400" w:lineRule="exact"/>
              <w:jc w:val="center"/>
              <w:outlineLvl w:val="3"/>
              <w:rPr>
                <w:rFonts w:ascii="Times New Roman" w:hAnsi="Times New Roman" w:eastAsia="仿宋" w:cs="Times New Roman"/>
                <w:color w:val="auto"/>
                <w:sz w:val="21"/>
                <w:szCs w:val="21"/>
              </w:rPr>
            </w:pPr>
            <w:r>
              <w:rPr>
                <w:rFonts w:ascii="Times New Roman" w:hAnsi="Times New Roman" w:eastAsia="仿宋" w:cs="Times New Roman"/>
                <w:color w:val="auto"/>
                <w:sz w:val="21"/>
                <w:szCs w:val="21"/>
              </w:rPr>
              <w:t>NO</w:t>
            </w:r>
            <w:r>
              <w:rPr>
                <w:rFonts w:ascii="Times New Roman" w:hAnsi="Times New Roman" w:eastAsia="仿宋" w:cs="Times New Roman"/>
                <w:color w:val="auto"/>
                <w:sz w:val="21"/>
                <w:szCs w:val="21"/>
                <w:vertAlign w:val="subscript"/>
              </w:rPr>
              <w:t>X</w:t>
            </w:r>
          </w:p>
        </w:tc>
        <w:tc>
          <w:tcPr>
            <w:tcW w:w="1289" w:type="dxa"/>
            <w:vAlign w:val="center"/>
          </w:tcPr>
          <w:p w14:paraId="245E92A9">
            <w:pPr>
              <w:spacing w:line="400" w:lineRule="exact"/>
              <w:jc w:val="center"/>
              <w:outlineLvl w:val="3"/>
              <w:rPr>
                <w:rFonts w:hint="eastAsia" w:ascii="Times New Roman" w:hAnsi="Times New Roman" w:eastAsia="仿宋" w:cs="Times New Roman"/>
                <w:color w:val="auto"/>
                <w:sz w:val="21"/>
                <w:szCs w:val="21"/>
                <w:lang w:val="en-US" w:eastAsia="zh-CN"/>
              </w:rPr>
            </w:pPr>
            <w:r>
              <w:rPr>
                <w:rFonts w:hint="eastAsia" w:ascii="Times New Roman" w:hAnsi="Times New Roman" w:eastAsia="仿宋" w:cs="Times New Roman"/>
                <w:color w:val="auto"/>
                <w:sz w:val="21"/>
                <w:szCs w:val="21"/>
                <w:lang w:val="en-US" w:eastAsia="zh-CN"/>
              </w:rPr>
              <w:t>3329.0749</w:t>
            </w:r>
          </w:p>
        </w:tc>
        <w:tc>
          <w:tcPr>
            <w:tcW w:w="1287" w:type="dxa"/>
            <w:vAlign w:val="center"/>
          </w:tcPr>
          <w:p w14:paraId="7D002C0C">
            <w:pPr>
              <w:spacing w:line="400" w:lineRule="exact"/>
              <w:jc w:val="center"/>
              <w:outlineLvl w:val="3"/>
              <w:rPr>
                <w:rFonts w:hint="eastAsia" w:ascii="Times New Roman" w:hAnsi="Times New Roman" w:eastAsia="仿宋" w:cs="Times New Roman"/>
                <w:color w:val="auto"/>
                <w:sz w:val="21"/>
                <w:szCs w:val="21"/>
                <w:lang w:val="en-US" w:eastAsia="zh-CN"/>
              </w:rPr>
            </w:pPr>
            <w:r>
              <w:rPr>
                <w:rFonts w:hint="eastAsia" w:ascii="Times New Roman" w:hAnsi="Times New Roman" w:eastAsia="仿宋" w:cs="Times New Roman"/>
                <w:color w:val="auto"/>
                <w:sz w:val="21"/>
                <w:szCs w:val="21"/>
                <w:lang w:val="en-US" w:eastAsia="zh-CN"/>
              </w:rPr>
              <w:t>2842.2674</w:t>
            </w:r>
          </w:p>
        </w:tc>
        <w:tc>
          <w:tcPr>
            <w:tcW w:w="1283" w:type="dxa"/>
            <w:vAlign w:val="center"/>
          </w:tcPr>
          <w:p w14:paraId="4FA88277">
            <w:pPr>
              <w:spacing w:line="400" w:lineRule="exact"/>
              <w:jc w:val="center"/>
              <w:outlineLvl w:val="3"/>
              <w:rPr>
                <w:rFonts w:hint="eastAsia" w:ascii="Times New Roman" w:hAnsi="Times New Roman" w:eastAsia="仿宋" w:cs="Times New Roman"/>
                <w:color w:val="auto"/>
                <w:sz w:val="21"/>
                <w:szCs w:val="21"/>
                <w:lang w:val="en-US" w:eastAsia="zh-CN"/>
              </w:rPr>
            </w:pPr>
            <w:r>
              <w:rPr>
                <w:rFonts w:hint="eastAsia" w:ascii="Times New Roman" w:hAnsi="Times New Roman" w:eastAsia="仿宋" w:cs="Times New Roman"/>
                <w:color w:val="auto"/>
                <w:sz w:val="21"/>
                <w:szCs w:val="21"/>
                <w:lang w:val="en-US" w:eastAsia="zh-CN"/>
              </w:rPr>
              <w:t>6685.1038</w:t>
            </w:r>
          </w:p>
        </w:tc>
        <w:tc>
          <w:tcPr>
            <w:tcW w:w="1287" w:type="dxa"/>
            <w:vAlign w:val="center"/>
          </w:tcPr>
          <w:p w14:paraId="65AC0465">
            <w:pPr>
              <w:spacing w:line="400" w:lineRule="exact"/>
              <w:jc w:val="center"/>
              <w:outlineLvl w:val="3"/>
              <w:rPr>
                <w:rFonts w:hint="eastAsia" w:ascii="Times New Roman" w:hAnsi="Times New Roman" w:eastAsia="仿宋" w:cs="Times New Roman"/>
                <w:color w:val="auto"/>
                <w:sz w:val="21"/>
                <w:szCs w:val="21"/>
                <w:lang w:val="en-US" w:eastAsia="zh-CN"/>
              </w:rPr>
            </w:pPr>
            <w:r>
              <w:rPr>
                <w:rFonts w:hint="eastAsia" w:ascii="Times New Roman" w:hAnsi="Times New Roman" w:eastAsia="仿宋" w:cs="Times New Roman"/>
                <w:color w:val="auto"/>
                <w:sz w:val="21"/>
                <w:szCs w:val="21"/>
                <w:lang w:val="en-US" w:eastAsia="zh-CN"/>
              </w:rPr>
              <w:t>5608.962</w:t>
            </w:r>
          </w:p>
        </w:tc>
        <w:tc>
          <w:tcPr>
            <w:tcW w:w="1416" w:type="dxa"/>
            <w:vAlign w:val="center"/>
          </w:tcPr>
          <w:p w14:paraId="791BFD60">
            <w:pPr>
              <w:spacing w:line="400" w:lineRule="exact"/>
              <w:jc w:val="center"/>
              <w:outlineLvl w:val="3"/>
              <w:rPr>
                <w:rFonts w:hint="eastAsia" w:ascii="Times New Roman" w:hAnsi="Times New Roman" w:eastAsia="仿宋" w:cs="Times New Roman"/>
                <w:color w:val="auto"/>
                <w:sz w:val="21"/>
                <w:szCs w:val="21"/>
                <w:lang w:val="en-US" w:eastAsia="zh-CN"/>
              </w:rPr>
            </w:pPr>
            <w:r>
              <w:rPr>
                <w:rFonts w:hint="eastAsia" w:ascii="Times New Roman" w:hAnsi="Times New Roman" w:eastAsia="仿宋" w:cs="Times New Roman"/>
                <w:color w:val="auto"/>
                <w:sz w:val="21"/>
                <w:szCs w:val="21"/>
                <w:lang w:val="en-US" w:eastAsia="zh-CN"/>
              </w:rPr>
              <w:t>5277.571</w:t>
            </w:r>
          </w:p>
        </w:tc>
      </w:tr>
      <w:tr w14:paraId="63054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7" w:type="pct"/>
            <w:vAlign w:val="center"/>
          </w:tcPr>
          <w:p w14:paraId="2915B396">
            <w:pPr>
              <w:spacing w:line="400" w:lineRule="exact"/>
              <w:jc w:val="center"/>
              <w:outlineLvl w:val="3"/>
              <w:rPr>
                <w:rFonts w:ascii="Times New Roman" w:hAnsi="Times New Roman" w:eastAsia="仿宋" w:cs="Times New Roman"/>
                <w:color w:val="auto"/>
                <w:sz w:val="21"/>
                <w:szCs w:val="21"/>
              </w:rPr>
            </w:pPr>
            <w:r>
              <w:rPr>
                <w:rFonts w:ascii="Times New Roman" w:hAnsi="Times New Roman" w:eastAsia="仿宋" w:cs="Times New Roman"/>
                <w:color w:val="auto"/>
                <w:sz w:val="21"/>
                <w:szCs w:val="21"/>
              </w:rPr>
              <w:t>烟尘（颗粒物）</w:t>
            </w:r>
          </w:p>
        </w:tc>
        <w:tc>
          <w:tcPr>
            <w:tcW w:w="1289" w:type="dxa"/>
            <w:vAlign w:val="center"/>
          </w:tcPr>
          <w:p w14:paraId="169D2B23">
            <w:pPr>
              <w:spacing w:line="400" w:lineRule="exact"/>
              <w:jc w:val="center"/>
              <w:outlineLvl w:val="3"/>
              <w:rPr>
                <w:rFonts w:hint="eastAsia" w:ascii="Times New Roman" w:hAnsi="Times New Roman" w:eastAsia="仿宋" w:cs="Times New Roman"/>
                <w:color w:val="auto"/>
                <w:sz w:val="21"/>
                <w:szCs w:val="21"/>
                <w:lang w:val="en-US" w:eastAsia="zh-CN"/>
              </w:rPr>
            </w:pPr>
            <w:r>
              <w:rPr>
                <w:rFonts w:hint="eastAsia" w:ascii="Times New Roman" w:hAnsi="Times New Roman" w:eastAsia="仿宋" w:cs="Times New Roman"/>
                <w:color w:val="auto"/>
                <w:sz w:val="21"/>
                <w:szCs w:val="21"/>
                <w:lang w:val="en-US" w:eastAsia="zh-CN"/>
              </w:rPr>
              <w:t>22282.3307</w:t>
            </w:r>
          </w:p>
        </w:tc>
        <w:tc>
          <w:tcPr>
            <w:tcW w:w="1287" w:type="dxa"/>
            <w:vAlign w:val="center"/>
          </w:tcPr>
          <w:p w14:paraId="08CCACF8">
            <w:pPr>
              <w:spacing w:line="400" w:lineRule="exact"/>
              <w:jc w:val="center"/>
              <w:outlineLvl w:val="3"/>
              <w:rPr>
                <w:rFonts w:hint="eastAsia" w:ascii="Times New Roman" w:hAnsi="Times New Roman" w:eastAsia="仿宋" w:cs="Times New Roman"/>
                <w:color w:val="auto"/>
                <w:sz w:val="21"/>
                <w:szCs w:val="21"/>
                <w:lang w:val="en-US" w:eastAsia="zh-CN"/>
              </w:rPr>
            </w:pPr>
            <w:r>
              <w:rPr>
                <w:rFonts w:hint="eastAsia" w:ascii="Times New Roman" w:hAnsi="Times New Roman" w:eastAsia="仿宋" w:cs="Times New Roman"/>
                <w:color w:val="auto"/>
                <w:sz w:val="21"/>
                <w:szCs w:val="21"/>
                <w:lang w:val="en-US" w:eastAsia="zh-CN"/>
              </w:rPr>
              <w:t>17388.8749</w:t>
            </w:r>
          </w:p>
        </w:tc>
        <w:tc>
          <w:tcPr>
            <w:tcW w:w="1283" w:type="dxa"/>
            <w:vAlign w:val="center"/>
          </w:tcPr>
          <w:p w14:paraId="65836FEA">
            <w:pPr>
              <w:spacing w:line="400" w:lineRule="exact"/>
              <w:jc w:val="center"/>
              <w:outlineLvl w:val="3"/>
              <w:rPr>
                <w:rFonts w:hint="eastAsia" w:ascii="Times New Roman" w:hAnsi="Times New Roman" w:eastAsia="仿宋" w:cs="Times New Roman"/>
                <w:color w:val="auto"/>
                <w:sz w:val="21"/>
                <w:szCs w:val="21"/>
                <w:lang w:val="en-US" w:eastAsia="zh-CN"/>
              </w:rPr>
            </w:pPr>
            <w:r>
              <w:rPr>
                <w:rFonts w:hint="eastAsia" w:ascii="Times New Roman" w:hAnsi="Times New Roman" w:eastAsia="仿宋" w:cs="Times New Roman"/>
                <w:color w:val="auto"/>
                <w:sz w:val="21"/>
                <w:szCs w:val="21"/>
                <w:lang w:val="en-US" w:eastAsia="zh-CN"/>
              </w:rPr>
              <w:t>7330.256</w:t>
            </w:r>
          </w:p>
        </w:tc>
        <w:tc>
          <w:tcPr>
            <w:tcW w:w="1287" w:type="dxa"/>
            <w:vAlign w:val="center"/>
          </w:tcPr>
          <w:p w14:paraId="795B637D">
            <w:pPr>
              <w:spacing w:line="400" w:lineRule="exact"/>
              <w:jc w:val="center"/>
              <w:outlineLvl w:val="3"/>
              <w:rPr>
                <w:rFonts w:hint="eastAsia" w:ascii="Times New Roman" w:hAnsi="Times New Roman" w:eastAsia="仿宋" w:cs="Times New Roman"/>
                <w:color w:val="auto"/>
                <w:sz w:val="21"/>
                <w:szCs w:val="21"/>
                <w:lang w:val="en-US" w:eastAsia="zh-CN"/>
              </w:rPr>
            </w:pPr>
            <w:r>
              <w:rPr>
                <w:rFonts w:hint="eastAsia" w:ascii="Times New Roman" w:hAnsi="Times New Roman" w:eastAsia="仿宋" w:cs="Times New Roman"/>
                <w:color w:val="auto"/>
                <w:sz w:val="21"/>
                <w:szCs w:val="21"/>
                <w:lang w:val="en-US" w:eastAsia="zh-CN"/>
              </w:rPr>
              <w:t>11629.753</w:t>
            </w:r>
          </w:p>
        </w:tc>
        <w:tc>
          <w:tcPr>
            <w:tcW w:w="1416" w:type="dxa"/>
            <w:vAlign w:val="center"/>
          </w:tcPr>
          <w:p w14:paraId="104181EC">
            <w:pPr>
              <w:spacing w:line="400" w:lineRule="exact"/>
              <w:jc w:val="center"/>
              <w:outlineLvl w:val="3"/>
              <w:rPr>
                <w:rFonts w:hint="eastAsia" w:ascii="Times New Roman" w:hAnsi="Times New Roman" w:eastAsia="仿宋" w:cs="Times New Roman"/>
                <w:color w:val="auto"/>
                <w:sz w:val="21"/>
                <w:szCs w:val="21"/>
                <w:lang w:val="en-US" w:eastAsia="zh-CN"/>
              </w:rPr>
            </w:pPr>
            <w:r>
              <w:rPr>
                <w:rFonts w:hint="eastAsia" w:ascii="Times New Roman" w:hAnsi="Times New Roman" w:eastAsia="仿宋" w:cs="Times New Roman"/>
                <w:color w:val="auto"/>
                <w:sz w:val="21"/>
                <w:szCs w:val="21"/>
                <w:lang w:val="en-US" w:eastAsia="zh-CN"/>
              </w:rPr>
              <w:t>4242.6</w:t>
            </w:r>
          </w:p>
        </w:tc>
      </w:tr>
      <w:tr w14:paraId="37511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7" w:type="pct"/>
            <w:vAlign w:val="center"/>
          </w:tcPr>
          <w:p w14:paraId="12A97DE2">
            <w:pPr>
              <w:spacing w:line="400" w:lineRule="exact"/>
              <w:jc w:val="center"/>
              <w:outlineLvl w:val="3"/>
              <w:rPr>
                <w:rFonts w:ascii="Times New Roman" w:hAnsi="Times New Roman" w:eastAsia="仿宋" w:cs="Times New Roman"/>
                <w:color w:val="auto"/>
                <w:sz w:val="21"/>
                <w:szCs w:val="21"/>
              </w:rPr>
            </w:pPr>
            <w:r>
              <w:rPr>
                <w:rFonts w:ascii="Times New Roman" w:hAnsi="Times New Roman" w:eastAsia="仿宋" w:cs="Times New Roman"/>
                <w:color w:val="auto"/>
                <w:sz w:val="21"/>
                <w:szCs w:val="21"/>
              </w:rPr>
              <w:t>挥发性有机物</w:t>
            </w:r>
          </w:p>
        </w:tc>
        <w:tc>
          <w:tcPr>
            <w:tcW w:w="1289" w:type="dxa"/>
            <w:vAlign w:val="center"/>
          </w:tcPr>
          <w:p w14:paraId="46BCD841">
            <w:pPr>
              <w:spacing w:line="400" w:lineRule="exact"/>
              <w:jc w:val="center"/>
              <w:outlineLvl w:val="3"/>
              <w:rPr>
                <w:rFonts w:hint="eastAsia" w:ascii="Times New Roman" w:hAnsi="Times New Roman" w:eastAsia="仿宋" w:cs="Times New Roman"/>
                <w:color w:val="auto"/>
                <w:sz w:val="21"/>
                <w:szCs w:val="21"/>
                <w:lang w:val="en-US" w:eastAsia="zh-CN"/>
              </w:rPr>
            </w:pPr>
            <w:r>
              <w:rPr>
                <w:rFonts w:hint="eastAsia" w:ascii="Times New Roman" w:hAnsi="Times New Roman" w:eastAsia="仿宋" w:cs="Times New Roman"/>
                <w:color w:val="auto"/>
                <w:sz w:val="21"/>
                <w:szCs w:val="21"/>
                <w:lang w:val="en-US" w:eastAsia="zh-CN"/>
              </w:rPr>
              <w:t>2.628</w:t>
            </w:r>
          </w:p>
        </w:tc>
        <w:tc>
          <w:tcPr>
            <w:tcW w:w="1287" w:type="dxa"/>
            <w:vAlign w:val="center"/>
          </w:tcPr>
          <w:p w14:paraId="010B2703">
            <w:pPr>
              <w:spacing w:line="400" w:lineRule="exact"/>
              <w:jc w:val="center"/>
              <w:outlineLvl w:val="3"/>
              <w:rPr>
                <w:rFonts w:hint="eastAsia" w:ascii="Times New Roman" w:hAnsi="Times New Roman" w:eastAsia="仿宋" w:cs="Times New Roman"/>
                <w:color w:val="auto"/>
                <w:sz w:val="21"/>
                <w:szCs w:val="21"/>
                <w:lang w:val="en-US" w:eastAsia="zh-CN"/>
              </w:rPr>
            </w:pPr>
            <w:r>
              <w:rPr>
                <w:rFonts w:hint="eastAsia" w:ascii="Times New Roman" w:hAnsi="Times New Roman" w:eastAsia="仿宋" w:cs="Times New Roman"/>
                <w:color w:val="auto"/>
                <w:sz w:val="21"/>
                <w:szCs w:val="21"/>
                <w:lang w:val="en-US" w:eastAsia="zh-CN"/>
              </w:rPr>
              <w:t>25.9991</w:t>
            </w:r>
          </w:p>
        </w:tc>
        <w:tc>
          <w:tcPr>
            <w:tcW w:w="1283" w:type="dxa"/>
            <w:vAlign w:val="center"/>
          </w:tcPr>
          <w:p w14:paraId="1611ABB4">
            <w:pPr>
              <w:spacing w:line="400" w:lineRule="exact"/>
              <w:jc w:val="center"/>
              <w:outlineLvl w:val="3"/>
              <w:rPr>
                <w:rFonts w:hint="eastAsia" w:ascii="Times New Roman" w:hAnsi="Times New Roman" w:eastAsia="仿宋" w:cs="Times New Roman"/>
                <w:color w:val="auto"/>
                <w:sz w:val="21"/>
                <w:szCs w:val="21"/>
                <w:lang w:val="en-US" w:eastAsia="zh-CN"/>
              </w:rPr>
            </w:pPr>
            <w:r>
              <w:rPr>
                <w:rFonts w:hint="eastAsia" w:ascii="Times New Roman" w:hAnsi="Times New Roman" w:eastAsia="仿宋" w:cs="Times New Roman"/>
                <w:color w:val="auto"/>
                <w:sz w:val="21"/>
                <w:szCs w:val="21"/>
                <w:lang w:val="en-US" w:eastAsia="zh-CN"/>
              </w:rPr>
              <w:t>24.6477</w:t>
            </w:r>
          </w:p>
        </w:tc>
        <w:tc>
          <w:tcPr>
            <w:tcW w:w="1287" w:type="dxa"/>
            <w:vAlign w:val="center"/>
          </w:tcPr>
          <w:p w14:paraId="4E59A5FD">
            <w:pPr>
              <w:spacing w:line="400" w:lineRule="exact"/>
              <w:jc w:val="center"/>
              <w:outlineLvl w:val="3"/>
              <w:rPr>
                <w:rFonts w:hint="eastAsia" w:ascii="Times New Roman" w:hAnsi="Times New Roman" w:eastAsia="仿宋" w:cs="Times New Roman"/>
                <w:color w:val="auto"/>
                <w:sz w:val="21"/>
                <w:szCs w:val="21"/>
                <w:lang w:val="en-US" w:eastAsia="zh-CN"/>
              </w:rPr>
            </w:pPr>
            <w:r>
              <w:rPr>
                <w:rFonts w:hint="eastAsia" w:ascii="Times New Roman" w:hAnsi="Times New Roman" w:eastAsia="仿宋" w:cs="Times New Roman"/>
                <w:color w:val="auto"/>
                <w:sz w:val="21"/>
                <w:szCs w:val="21"/>
                <w:lang w:val="en-US" w:eastAsia="zh-CN"/>
              </w:rPr>
              <w:t>41.0608</w:t>
            </w:r>
          </w:p>
        </w:tc>
        <w:tc>
          <w:tcPr>
            <w:tcW w:w="1416" w:type="dxa"/>
            <w:vAlign w:val="center"/>
          </w:tcPr>
          <w:p w14:paraId="48B91930">
            <w:pPr>
              <w:spacing w:line="400" w:lineRule="exact"/>
              <w:jc w:val="center"/>
              <w:outlineLvl w:val="3"/>
              <w:rPr>
                <w:rFonts w:hint="eastAsia" w:ascii="Times New Roman" w:hAnsi="Times New Roman" w:eastAsia="仿宋" w:cs="Times New Roman"/>
                <w:color w:val="auto"/>
                <w:sz w:val="21"/>
                <w:szCs w:val="21"/>
                <w:lang w:val="en-US" w:eastAsia="zh-CN"/>
              </w:rPr>
            </w:pPr>
            <w:r>
              <w:rPr>
                <w:rFonts w:hint="eastAsia" w:ascii="Times New Roman" w:hAnsi="Times New Roman" w:eastAsia="仿宋" w:cs="Times New Roman"/>
                <w:color w:val="auto"/>
                <w:sz w:val="21"/>
                <w:szCs w:val="21"/>
                <w:lang w:val="en-US" w:eastAsia="zh-CN"/>
              </w:rPr>
              <w:t>61.6873</w:t>
            </w:r>
          </w:p>
        </w:tc>
      </w:tr>
    </w:tbl>
    <w:p w14:paraId="10377407">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Times New Roman" w:hAnsi="Times New Roman" w:eastAsia="方正仿宋_GBK" w:cs="方正仿宋_GBK"/>
          <w:b w:val="0"/>
          <w:bCs w:val="0"/>
          <w:color w:val="auto"/>
          <w:sz w:val="28"/>
          <w:szCs w:val="28"/>
          <w:lang w:val="en-US" w:eastAsia="zh-CN"/>
        </w:rPr>
      </w:pPr>
      <w:r>
        <w:rPr>
          <w:rFonts w:hint="eastAsia" w:ascii="Times New Roman" w:hAnsi="Times New Roman" w:eastAsia="方正仿宋_GBK" w:cs="方正仿宋_GBK"/>
          <w:b w:val="0"/>
          <w:bCs w:val="0"/>
          <w:color w:val="auto"/>
          <w:sz w:val="28"/>
          <w:szCs w:val="28"/>
          <w:lang w:val="en-US" w:eastAsia="zh-CN"/>
        </w:rPr>
        <w:t>（3）固体废物利用处置情况</w:t>
      </w:r>
    </w:p>
    <w:p w14:paraId="3F19369D">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Times New Roman" w:hAnsi="Times New Roman" w:eastAsia="方正仿宋_GBK" w:cs="方正仿宋_GBK"/>
          <w:b w:val="0"/>
          <w:bCs w:val="0"/>
          <w:color w:val="auto"/>
          <w:sz w:val="28"/>
          <w:szCs w:val="28"/>
          <w:lang w:val="en-US" w:eastAsia="zh-CN"/>
        </w:rPr>
      </w:pPr>
      <w:r>
        <w:rPr>
          <w:rFonts w:hint="default" w:ascii="Calibri" w:hAnsi="Calibri" w:eastAsia="方正仿宋_GBK" w:cs="Calibri"/>
          <w:b w:val="0"/>
          <w:bCs w:val="0"/>
          <w:color w:val="auto"/>
          <w:sz w:val="28"/>
          <w:szCs w:val="28"/>
          <w:lang w:val="en-US" w:eastAsia="zh-CN"/>
        </w:rPr>
        <w:t>①</w:t>
      </w:r>
      <w:r>
        <w:rPr>
          <w:rFonts w:hint="eastAsia" w:ascii="Times New Roman" w:hAnsi="Times New Roman" w:eastAsia="方正仿宋_GBK" w:cs="方正仿宋_GBK"/>
          <w:b w:val="0"/>
          <w:bCs w:val="0"/>
          <w:color w:val="auto"/>
          <w:sz w:val="28"/>
          <w:szCs w:val="28"/>
          <w:lang w:val="en-US" w:eastAsia="zh-CN"/>
        </w:rPr>
        <w:t>一般工业固废</w:t>
      </w:r>
    </w:p>
    <w:p w14:paraId="4C21EDE6">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default" w:eastAsia="方正仿宋_GBK"/>
          <w:color w:val="FF0000"/>
          <w:sz w:val="24"/>
          <w:szCs w:val="20"/>
          <w:highlight w:val="none"/>
          <w:lang w:val="en-US"/>
        </w:rPr>
      </w:pPr>
      <w:bookmarkStart w:id="57" w:name="_Hlk108864195"/>
      <w:r>
        <w:rPr>
          <w:rFonts w:hint="eastAsia" w:ascii="Times New Roman" w:hAnsi="Times New Roman" w:eastAsia="方正仿宋_GBK" w:cs="方正仿宋_GBK"/>
          <w:b w:val="0"/>
          <w:bCs w:val="0"/>
          <w:color w:val="auto"/>
          <w:sz w:val="28"/>
          <w:szCs w:val="28"/>
          <w:lang w:val="en-US" w:eastAsia="zh-CN"/>
        </w:rPr>
        <w:t>根据新平县环境统计数据，2017—2021年一般工业固体废弃物的综合利用率为74.22%、76.40%、74.28%。新平县一般固体废物类型主要是采矿废石、选矿尾砂、钢渣、高炉渣（水渣）、脱硫石膏等，均要求企业进行综合利用和妥善处置。从环境统计数据分析可知，新平县一般工业固体废弃物的综合利用率持续保持稳定，产生固废较高的企业分别为玉溪大红山矿业有限公司、云南玉溪仙福钢铁（集团）有限公司。</w:t>
      </w:r>
    </w:p>
    <w:p w14:paraId="66E42C6E">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Times New Roman" w:hAnsi="Times New Roman" w:eastAsia="方正仿宋_GBK" w:cs="方正仿宋_GBK"/>
          <w:b w:val="0"/>
          <w:bCs w:val="0"/>
          <w:color w:val="auto"/>
          <w:sz w:val="28"/>
          <w:szCs w:val="28"/>
          <w:lang w:val="en-US" w:eastAsia="zh-CN"/>
        </w:rPr>
      </w:pPr>
      <w:r>
        <w:rPr>
          <w:rFonts w:hint="eastAsia" w:ascii="Times New Roman" w:hAnsi="Times New Roman" w:eastAsia="方正仿宋_GBK" w:cs="方正仿宋_GBK"/>
          <w:b w:val="0"/>
          <w:bCs w:val="0"/>
          <w:color w:val="auto"/>
          <w:sz w:val="28"/>
          <w:szCs w:val="28"/>
          <w:lang w:val="en-US" w:eastAsia="zh-CN"/>
        </w:rPr>
        <w:t>玉溪大红山矿业有限公司固体废弃物产综合利用情况：该公司产生的固体废弃物分别为采矿废石及选矿尾矿。其中采矿废石按照相关要求运送至废石场及尾矿库堆存，严禁外排，井下采掘废石主要用于充填井下采空区，充填地点主要为Ⅰ号铜深部采空区，Ⅲ、Ⅳ号矿采空区，Ⅰ号铜浅部采空区。露天采矿废石均用于塌陷区回填充填、碎后铺路及售卖。选矿尾矿均运输至龙都尾矿库堆存和堆坝，利用率达70%以上。</w:t>
      </w:r>
    </w:p>
    <w:p w14:paraId="530D1438">
      <w:pPr>
        <w:keepNext w:val="0"/>
        <w:keepLines w:val="0"/>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Times New Roman" w:hAnsi="Times New Roman" w:eastAsia="方正仿宋_GBK" w:cs="方正仿宋_GBK"/>
          <w:b w:val="0"/>
          <w:bCs w:val="0"/>
          <w:color w:val="auto"/>
          <w:sz w:val="28"/>
          <w:szCs w:val="28"/>
          <w:lang w:val="en-US" w:eastAsia="zh-CN"/>
        </w:rPr>
      </w:pPr>
      <w:r>
        <w:rPr>
          <w:rFonts w:hint="eastAsia" w:ascii="Times New Roman" w:hAnsi="Times New Roman" w:eastAsia="方正仿宋_GBK" w:cs="方正仿宋_GBK"/>
          <w:b w:val="0"/>
          <w:bCs w:val="0"/>
          <w:color w:val="auto"/>
          <w:sz w:val="28"/>
          <w:szCs w:val="28"/>
          <w:lang w:val="en-US" w:eastAsia="zh-CN"/>
        </w:rPr>
        <w:t>云南玉溪仙福钢铁（集团）有限公司固体废弃物及综合利用情况：该公司产生固体废弃物有烧结工序除尘灰、脱硫石膏渣、炼铁工序除尘灰、高炉渣（水渣）、炼钢工序除尘灰、水膜除尘污泥、钢渣、废钢、氧化铁皮等，其中除尘灰、含铁尘泥（压榨脱水处理）、氧化铁皮返烧结工序作为掺合料和烧结原料矿粉掺和焙烧烧结矿使用，钢渣、废钢返炼钢工序回炉冶炼使用，脱硫石膏渣、高炉渣（水渣）外销水泥厂。</w:t>
      </w:r>
    </w:p>
    <w:bookmarkEnd w:id="57"/>
    <w:p w14:paraId="3DE55C50">
      <w:pPr>
        <w:keepNext w:val="0"/>
        <w:keepLines w:val="0"/>
        <w:pageBreakBefore w:val="0"/>
        <w:widowControl/>
        <w:suppressLineNumbers w:val="0"/>
        <w:kinsoku/>
        <w:wordWrap/>
        <w:overflowPunct/>
        <w:topLinePunct w:val="0"/>
        <w:autoSpaceDE/>
        <w:autoSpaceDN/>
        <w:bidi w:val="0"/>
        <w:adjustRightInd/>
        <w:snapToGrid/>
        <w:spacing w:line="500" w:lineRule="exact"/>
        <w:ind w:firstLine="560" w:firstLineChars="200"/>
        <w:jc w:val="left"/>
        <w:textAlignment w:val="auto"/>
        <w:rPr>
          <w:rFonts w:hint="eastAsia" w:ascii="Times New Roman" w:hAnsi="Times New Roman" w:eastAsia="方正仿宋_GBK" w:cs="方正仿宋_GBK"/>
          <w:b w:val="0"/>
          <w:bCs w:val="0"/>
          <w:color w:val="auto"/>
          <w:sz w:val="28"/>
          <w:szCs w:val="28"/>
          <w:lang w:val="en-US" w:eastAsia="zh-CN"/>
        </w:rPr>
      </w:pPr>
      <w:r>
        <w:rPr>
          <w:rFonts w:hint="eastAsia" w:ascii="Times New Roman" w:hAnsi="Times New Roman" w:eastAsia="方正仿宋_GBK" w:cs="方正仿宋_GBK"/>
          <w:b w:val="0"/>
          <w:bCs w:val="0"/>
          <w:color w:val="auto"/>
          <w:sz w:val="28"/>
          <w:szCs w:val="28"/>
          <w:lang w:val="en-US" w:eastAsia="zh-CN"/>
        </w:rPr>
        <w:t>（2）医疗废物</w:t>
      </w:r>
    </w:p>
    <w:p w14:paraId="7A42F888">
      <w:pPr>
        <w:keepNext w:val="0"/>
        <w:keepLines w:val="0"/>
        <w:pageBreakBefore w:val="0"/>
        <w:widowControl/>
        <w:suppressLineNumbers w:val="0"/>
        <w:kinsoku/>
        <w:wordWrap/>
        <w:overflowPunct/>
        <w:topLinePunct w:val="0"/>
        <w:autoSpaceDE/>
        <w:autoSpaceDN/>
        <w:bidi w:val="0"/>
        <w:adjustRightInd/>
        <w:snapToGrid/>
        <w:spacing w:line="500" w:lineRule="exact"/>
        <w:ind w:firstLine="560" w:firstLineChars="200"/>
        <w:jc w:val="left"/>
        <w:textAlignment w:val="auto"/>
        <w:rPr>
          <w:rFonts w:hint="eastAsia" w:ascii="Times New Roman" w:hAnsi="Times New Roman" w:eastAsia="方正仿宋_GBK" w:cs="方正仿宋_GBK"/>
          <w:b w:val="0"/>
          <w:bCs w:val="0"/>
          <w:color w:val="auto"/>
          <w:sz w:val="28"/>
          <w:szCs w:val="28"/>
          <w:lang w:val="en-US" w:eastAsia="zh-CN"/>
        </w:rPr>
      </w:pPr>
      <w:r>
        <w:rPr>
          <w:rFonts w:hint="eastAsia" w:ascii="Times New Roman" w:hAnsi="Times New Roman" w:eastAsia="方正仿宋_GBK" w:cs="方正仿宋_GBK"/>
          <w:b w:val="0"/>
          <w:bCs w:val="0"/>
          <w:color w:val="auto"/>
          <w:sz w:val="28"/>
          <w:szCs w:val="28"/>
          <w:lang w:val="en-US" w:eastAsia="zh-CN"/>
        </w:rPr>
        <w:t>新平县按照《医疗废物管理条例》和《危险废物转移联单管理办法》，玉溪市生态环境局新平分局、卫健局加强对新平县医疗机构医疗废物监督管理工作。目前，全县所有医疗机构按要求设置了医疗废物暂存点，医疗机构产生的药物性医疗废物、化学性医疗废物、感染性医疗废物、损伤性医疗废物等医疗废物，统一交由玉溪兴洁垃圾处理有限公司、玉溪易和环境技术有限公司进行规范处置。收集处置范围包括县医院、妇幼保健院、乡镇卫生院等医疗机构，基本实现全覆盖，根据环境统计，2017—2021年危险废物利用处置率均为100%。</w:t>
      </w:r>
    </w:p>
    <w:p w14:paraId="69802FDC">
      <w:pPr>
        <w:pageBreakBefore w:val="0"/>
        <w:widowControl/>
        <w:tabs>
          <w:tab w:val="left" w:pos="3360"/>
        </w:tabs>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sz w:val="28"/>
          <w:szCs w:val="28"/>
          <w:lang w:val="en-US" w:eastAsia="zh-CN"/>
        </w:rPr>
      </w:pPr>
      <w:r>
        <w:rPr>
          <w:rFonts w:hint="eastAsia" w:ascii="Times New Roman" w:hAnsi="Times New Roman" w:eastAsia="方正仿宋_GBK" w:cs="方正仿宋_GBK"/>
          <w:b w:val="0"/>
          <w:bCs w:val="0"/>
          <w:color w:val="auto"/>
          <w:sz w:val="28"/>
          <w:szCs w:val="28"/>
          <w:lang w:val="en-US" w:eastAsia="zh-CN"/>
        </w:rPr>
        <w:t>（3）危险废物</w:t>
      </w:r>
    </w:p>
    <w:p w14:paraId="32E17559">
      <w:pPr>
        <w:pageBreakBefore w:val="0"/>
        <w:widowControl/>
        <w:tabs>
          <w:tab w:val="left" w:pos="3360"/>
        </w:tabs>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sz w:val="28"/>
          <w:szCs w:val="28"/>
          <w:lang w:val="en-US" w:eastAsia="zh-CN"/>
        </w:rPr>
      </w:pPr>
      <w:r>
        <w:rPr>
          <w:rFonts w:hint="eastAsia" w:ascii="Times New Roman" w:hAnsi="Times New Roman" w:eastAsia="方正仿宋_GBK" w:cs="方正仿宋_GBK"/>
          <w:b w:val="0"/>
          <w:bCs w:val="0"/>
          <w:color w:val="auto"/>
          <w:sz w:val="28"/>
          <w:szCs w:val="28"/>
          <w:lang w:val="en-US" w:eastAsia="zh-CN"/>
        </w:rPr>
        <w:t>根据新平县2017—2021年环境统计数据，新平县除医疗废物外的危险废物主要为废矿物油与含矿物油废物以及其他废物，其中废机油自行综合利用，其他工业危废均委托有资质的单位进行处置。新平县工业园区对危险废物的申报、转移、处置基本形成有效管理机制，危险废物由企业自行处置进行综合利用、返回生产厂家回收利用或委托有资质的单位进行处置，危险废物已得到妥善处置。</w:t>
      </w:r>
    </w:p>
    <w:p w14:paraId="5D3BDCAA">
      <w:pPr>
        <w:pStyle w:val="6"/>
        <w:pageBreakBefore w:val="0"/>
        <w:kinsoku/>
        <w:wordWrap/>
        <w:overflowPunct/>
        <w:topLinePunct w:val="0"/>
        <w:autoSpaceDE/>
        <w:autoSpaceDN/>
        <w:bidi w:val="0"/>
        <w:spacing w:line="500" w:lineRule="exact"/>
        <w:textAlignment w:val="auto"/>
        <w:rPr>
          <w:rFonts w:ascii="Times New Roman" w:hAnsi="Times New Roman" w:eastAsia="仿宋" w:cs="Times New Roman"/>
          <w:b/>
          <w:bCs/>
          <w:snapToGrid w:val="0"/>
          <w:color w:val="auto"/>
          <w:kern w:val="2"/>
          <w:sz w:val="28"/>
          <w:szCs w:val="32"/>
          <w:lang w:val="en-US" w:eastAsia="zh-CN" w:bidi="ar-SA"/>
        </w:rPr>
      </w:pPr>
      <w:r>
        <w:rPr>
          <w:rFonts w:ascii="Times New Roman" w:hAnsi="Times New Roman" w:eastAsia="仿宋" w:cs="Times New Roman"/>
          <w:b/>
          <w:bCs/>
          <w:snapToGrid w:val="0"/>
          <w:color w:val="auto"/>
          <w:kern w:val="2"/>
          <w:sz w:val="28"/>
          <w:szCs w:val="32"/>
          <w:lang w:val="en-US" w:eastAsia="zh-CN" w:bidi="ar-SA"/>
        </w:rPr>
        <w:t>2.1.5.6生态环境状况指数</w:t>
      </w:r>
    </w:p>
    <w:p w14:paraId="35977F18">
      <w:pPr>
        <w:keepNext w:val="0"/>
        <w:keepLines w:val="0"/>
        <w:pageBreakBefore w:val="0"/>
        <w:widowControl/>
        <w:suppressLineNumbers w:val="0"/>
        <w:kinsoku/>
        <w:wordWrap/>
        <w:overflowPunct/>
        <w:topLinePunct w:val="0"/>
        <w:autoSpaceDE/>
        <w:autoSpaceDN/>
        <w:bidi w:val="0"/>
        <w:adjustRightInd/>
        <w:snapToGrid/>
        <w:spacing w:line="500" w:lineRule="exact"/>
        <w:ind w:firstLine="560" w:firstLineChars="200"/>
        <w:jc w:val="left"/>
        <w:textAlignment w:val="auto"/>
        <w:rPr>
          <w:rFonts w:hint="eastAsia" w:ascii="Times New Roman" w:hAnsi="Times New Roman" w:eastAsia="方正仿宋_GBK" w:cs="方正仿宋_GBK"/>
          <w:b w:val="0"/>
          <w:bCs w:val="0"/>
          <w:color w:val="auto"/>
          <w:sz w:val="28"/>
          <w:szCs w:val="28"/>
          <w:lang w:val="en-US" w:eastAsia="zh-CN"/>
        </w:rPr>
      </w:pPr>
      <w:r>
        <w:rPr>
          <w:rFonts w:hint="eastAsia" w:ascii="Times New Roman" w:hAnsi="Times New Roman" w:eastAsia="方正仿宋_GBK" w:cs="方正仿宋_GBK"/>
          <w:b w:val="0"/>
          <w:bCs w:val="0"/>
          <w:color w:val="auto"/>
          <w:sz w:val="28"/>
          <w:szCs w:val="28"/>
          <w:lang w:val="en-US" w:eastAsia="zh-CN"/>
        </w:rPr>
        <w:t>根据《云南省环境监测中心关于新平县生态质量状况结果的函》，新平县2019—2021年的生态环境状况指数范围为77.71-79.28之间，新平县2019—2021年生态环境状况指数（EI）等级均为优，植被覆盖度较高，生物多样性较丰富。详见表3.1.2.1-1。</w:t>
      </w:r>
    </w:p>
    <w:p w14:paraId="24E521C8">
      <w:pPr>
        <w:pageBreakBefore w:val="0"/>
        <w:kinsoku/>
        <w:wordWrap/>
        <w:overflowPunct/>
        <w:topLinePunct w:val="0"/>
        <w:autoSpaceDE/>
        <w:autoSpaceDN/>
        <w:bidi w:val="0"/>
        <w:snapToGrid w:val="0"/>
        <w:spacing w:line="500" w:lineRule="exact"/>
        <w:jc w:val="center"/>
        <w:textAlignment w:val="auto"/>
        <w:rPr>
          <w:rFonts w:hint="default" w:ascii="Times New Roman" w:hAnsi="Times New Roman" w:eastAsia="方正仿宋_GBK" w:cs="Times New Roman"/>
          <w:b/>
          <w:color w:val="auto"/>
          <w:sz w:val="28"/>
          <w:szCs w:val="28"/>
          <w:lang w:val="en-US" w:eastAsia="zh-CN"/>
        </w:rPr>
      </w:pPr>
      <w:r>
        <w:rPr>
          <w:rFonts w:hint="default" w:ascii="Times New Roman" w:hAnsi="Times New Roman" w:eastAsia="方正仿宋_GBK" w:cs="Times New Roman"/>
          <w:b/>
          <w:color w:val="auto"/>
          <w:sz w:val="28"/>
          <w:szCs w:val="28"/>
        </w:rPr>
        <w:t>3.1.2.1-1</w:t>
      </w:r>
      <w:r>
        <w:rPr>
          <w:rFonts w:hint="default" w:ascii="Times New Roman" w:hAnsi="Times New Roman" w:eastAsia="方正仿宋_GBK" w:cs="Times New Roman"/>
          <w:b/>
          <w:color w:val="auto"/>
          <w:sz w:val="28"/>
          <w:szCs w:val="28"/>
          <w:lang w:eastAsia="zh-CN"/>
        </w:rPr>
        <w:t>新平县</w:t>
      </w:r>
      <w:r>
        <w:rPr>
          <w:rFonts w:hint="default" w:ascii="Times New Roman" w:hAnsi="Times New Roman" w:eastAsia="方正仿宋_GBK" w:cs="Times New Roman"/>
          <w:b/>
          <w:color w:val="auto"/>
          <w:sz w:val="28"/>
          <w:szCs w:val="28"/>
        </w:rPr>
        <w:t>201</w:t>
      </w:r>
      <w:r>
        <w:rPr>
          <w:rFonts w:hint="default" w:ascii="Times New Roman" w:hAnsi="Times New Roman" w:eastAsia="方正仿宋_GBK" w:cs="Times New Roman"/>
          <w:b/>
          <w:color w:val="auto"/>
          <w:sz w:val="28"/>
          <w:szCs w:val="28"/>
          <w:lang w:val="en-US" w:eastAsia="zh-CN"/>
        </w:rPr>
        <w:t>9</w:t>
      </w:r>
      <w:r>
        <w:rPr>
          <w:rFonts w:hint="eastAsia" w:ascii="Times New Roman" w:hAnsi="Times New Roman" w:eastAsia="方正仿宋_GBK" w:cs="Times New Roman"/>
          <w:b/>
          <w:color w:val="auto"/>
          <w:sz w:val="28"/>
          <w:szCs w:val="28"/>
          <w:lang w:val="en-US" w:eastAsia="zh-CN"/>
        </w:rPr>
        <w:t>—</w:t>
      </w:r>
      <w:r>
        <w:rPr>
          <w:rFonts w:hint="default" w:ascii="Times New Roman" w:hAnsi="Times New Roman" w:eastAsia="方正仿宋_GBK" w:cs="Times New Roman"/>
          <w:b/>
          <w:color w:val="auto"/>
          <w:sz w:val="28"/>
          <w:szCs w:val="28"/>
        </w:rPr>
        <w:t>2021年生态环境状况</w:t>
      </w:r>
      <w:r>
        <w:rPr>
          <w:rFonts w:hint="default" w:ascii="Times New Roman" w:hAnsi="Times New Roman" w:eastAsia="方正仿宋_GBK" w:cs="Times New Roman"/>
          <w:b/>
          <w:color w:val="auto"/>
          <w:sz w:val="28"/>
          <w:szCs w:val="28"/>
          <w:lang w:val="en-US" w:eastAsia="zh-CN"/>
        </w:rPr>
        <w:t>遥感监测评价结果</w:t>
      </w:r>
    </w:p>
    <w:tbl>
      <w:tblPr>
        <w:tblStyle w:val="25"/>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4"/>
        <w:gridCol w:w="914"/>
        <w:gridCol w:w="1047"/>
        <w:gridCol w:w="1037"/>
        <w:gridCol w:w="933"/>
        <w:gridCol w:w="975"/>
        <w:gridCol w:w="1734"/>
        <w:gridCol w:w="1023"/>
      </w:tblGrid>
      <w:tr w14:paraId="11387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5" w:hRule="atLeast"/>
          <w:tblHeader/>
          <w:jc w:val="center"/>
        </w:trPr>
        <w:tc>
          <w:tcPr>
            <w:tcW w:w="501" w:type="pct"/>
            <w:tcBorders>
              <w:tl2br w:val="nil"/>
              <w:tr2bl w:val="nil"/>
            </w:tcBorders>
            <w:shd w:val="clear" w:color="000000" w:fill="FFFFFF"/>
            <w:vAlign w:val="center"/>
          </w:tcPr>
          <w:p w14:paraId="58844394">
            <w:pPr>
              <w:spacing w:line="400" w:lineRule="exact"/>
              <w:jc w:val="center"/>
              <w:outlineLvl w:val="3"/>
              <w:rPr>
                <w:rFonts w:hint="default" w:ascii="Times New Roman" w:hAnsi="Times New Roman" w:eastAsia="仿宋" w:cs="Times New Roman"/>
                <w:b/>
                <w:bCs/>
                <w:color w:val="auto"/>
                <w:sz w:val="21"/>
                <w:szCs w:val="21"/>
                <w:lang w:val="en-US" w:eastAsia="zh-CN"/>
              </w:rPr>
            </w:pPr>
            <w:r>
              <w:rPr>
                <w:rFonts w:hint="default" w:ascii="Times New Roman" w:hAnsi="Times New Roman" w:eastAsia="仿宋" w:cs="Times New Roman"/>
                <w:b/>
                <w:bCs/>
                <w:color w:val="auto"/>
                <w:sz w:val="21"/>
                <w:szCs w:val="21"/>
                <w:lang w:val="en-US" w:eastAsia="zh-CN"/>
              </w:rPr>
              <w:t>年份</w:t>
            </w:r>
          </w:p>
        </w:tc>
        <w:tc>
          <w:tcPr>
            <w:tcW w:w="536" w:type="pct"/>
            <w:tcBorders>
              <w:tl2br w:val="nil"/>
              <w:tr2bl w:val="nil"/>
            </w:tcBorders>
            <w:shd w:val="clear" w:color="000000" w:fill="FFFFFF"/>
            <w:vAlign w:val="center"/>
          </w:tcPr>
          <w:p w14:paraId="72B33573">
            <w:pPr>
              <w:spacing w:line="400" w:lineRule="exact"/>
              <w:jc w:val="center"/>
              <w:outlineLvl w:val="3"/>
              <w:rPr>
                <w:rFonts w:hint="default" w:ascii="Times New Roman" w:hAnsi="Times New Roman" w:eastAsia="仿宋" w:cs="Times New Roman"/>
                <w:b/>
                <w:bCs/>
                <w:color w:val="auto"/>
                <w:sz w:val="21"/>
                <w:szCs w:val="21"/>
                <w:lang w:val="en-US" w:eastAsia="zh-CN"/>
              </w:rPr>
            </w:pPr>
            <w:r>
              <w:rPr>
                <w:rFonts w:hint="default" w:ascii="Times New Roman" w:hAnsi="Times New Roman" w:eastAsia="仿宋" w:cs="Times New Roman"/>
                <w:b/>
                <w:bCs/>
                <w:color w:val="auto"/>
                <w:sz w:val="21"/>
                <w:szCs w:val="21"/>
                <w:lang w:val="en-US" w:eastAsia="zh-CN"/>
              </w:rPr>
              <w:t>生物丰度指数</w:t>
            </w:r>
          </w:p>
        </w:tc>
        <w:tc>
          <w:tcPr>
            <w:tcW w:w="614" w:type="pct"/>
            <w:tcBorders>
              <w:tl2br w:val="nil"/>
              <w:tr2bl w:val="nil"/>
            </w:tcBorders>
            <w:shd w:val="clear" w:color="000000" w:fill="FFFFFF"/>
            <w:vAlign w:val="center"/>
          </w:tcPr>
          <w:p w14:paraId="56074683">
            <w:pPr>
              <w:spacing w:line="400" w:lineRule="exact"/>
              <w:jc w:val="center"/>
              <w:outlineLvl w:val="3"/>
              <w:rPr>
                <w:rFonts w:hint="default" w:ascii="Times New Roman" w:hAnsi="Times New Roman" w:eastAsia="仿宋" w:cs="Times New Roman"/>
                <w:b/>
                <w:bCs/>
                <w:color w:val="auto"/>
                <w:sz w:val="21"/>
                <w:szCs w:val="21"/>
                <w:lang w:val="en-US" w:eastAsia="zh-CN"/>
              </w:rPr>
            </w:pPr>
            <w:r>
              <w:rPr>
                <w:rFonts w:hint="default" w:ascii="Times New Roman" w:hAnsi="Times New Roman" w:eastAsia="仿宋" w:cs="Times New Roman"/>
                <w:b/>
                <w:bCs/>
                <w:color w:val="auto"/>
                <w:sz w:val="21"/>
                <w:szCs w:val="21"/>
                <w:lang w:val="en-US" w:eastAsia="zh-CN"/>
              </w:rPr>
              <w:t>植被覆盖指数</w:t>
            </w:r>
          </w:p>
        </w:tc>
        <w:tc>
          <w:tcPr>
            <w:tcW w:w="608" w:type="pct"/>
            <w:tcBorders>
              <w:tl2br w:val="nil"/>
              <w:tr2bl w:val="nil"/>
            </w:tcBorders>
            <w:shd w:val="clear" w:color="000000" w:fill="FFFFFF"/>
            <w:vAlign w:val="center"/>
          </w:tcPr>
          <w:p w14:paraId="2D82F407">
            <w:pPr>
              <w:spacing w:line="400" w:lineRule="exact"/>
              <w:jc w:val="center"/>
              <w:outlineLvl w:val="3"/>
              <w:rPr>
                <w:rFonts w:hint="default" w:ascii="Times New Roman" w:hAnsi="Times New Roman" w:eastAsia="仿宋" w:cs="Times New Roman"/>
                <w:b/>
                <w:bCs/>
                <w:color w:val="auto"/>
                <w:sz w:val="21"/>
                <w:szCs w:val="21"/>
                <w:lang w:val="en-US" w:eastAsia="zh-CN"/>
              </w:rPr>
            </w:pPr>
            <w:r>
              <w:rPr>
                <w:rFonts w:hint="default" w:ascii="Times New Roman" w:hAnsi="Times New Roman" w:eastAsia="仿宋" w:cs="Times New Roman"/>
                <w:b/>
                <w:bCs/>
                <w:color w:val="auto"/>
                <w:sz w:val="21"/>
                <w:szCs w:val="21"/>
                <w:lang w:val="en-US" w:eastAsia="zh-CN"/>
              </w:rPr>
              <w:t>水网密度指数</w:t>
            </w:r>
          </w:p>
        </w:tc>
        <w:tc>
          <w:tcPr>
            <w:tcW w:w="547" w:type="pct"/>
            <w:tcBorders>
              <w:tl2br w:val="nil"/>
              <w:tr2bl w:val="nil"/>
            </w:tcBorders>
            <w:shd w:val="clear" w:color="000000" w:fill="FFFFFF"/>
            <w:vAlign w:val="center"/>
          </w:tcPr>
          <w:p w14:paraId="45059672">
            <w:pPr>
              <w:spacing w:line="400" w:lineRule="exact"/>
              <w:jc w:val="center"/>
              <w:outlineLvl w:val="3"/>
              <w:rPr>
                <w:rFonts w:hint="default" w:ascii="Times New Roman" w:hAnsi="Times New Roman" w:eastAsia="仿宋" w:cs="Times New Roman"/>
                <w:b/>
                <w:bCs/>
                <w:color w:val="auto"/>
                <w:sz w:val="21"/>
                <w:szCs w:val="21"/>
                <w:lang w:val="en-US" w:eastAsia="zh-CN"/>
              </w:rPr>
            </w:pPr>
            <w:r>
              <w:rPr>
                <w:rFonts w:hint="default" w:ascii="Times New Roman" w:hAnsi="Times New Roman" w:eastAsia="仿宋" w:cs="Times New Roman"/>
                <w:b/>
                <w:bCs/>
                <w:color w:val="auto"/>
                <w:sz w:val="21"/>
                <w:szCs w:val="21"/>
                <w:lang w:val="en-US" w:eastAsia="zh-CN"/>
              </w:rPr>
              <w:t>土地胁迫指数</w:t>
            </w:r>
          </w:p>
        </w:tc>
        <w:tc>
          <w:tcPr>
            <w:tcW w:w="572" w:type="pct"/>
            <w:tcBorders>
              <w:tl2br w:val="nil"/>
              <w:tr2bl w:val="nil"/>
            </w:tcBorders>
            <w:shd w:val="clear" w:color="000000" w:fill="FFFFFF"/>
            <w:vAlign w:val="center"/>
          </w:tcPr>
          <w:p w14:paraId="1EDD79FF">
            <w:pPr>
              <w:spacing w:line="400" w:lineRule="exact"/>
              <w:jc w:val="center"/>
              <w:outlineLvl w:val="3"/>
              <w:rPr>
                <w:rFonts w:hint="default" w:ascii="Times New Roman" w:hAnsi="Times New Roman" w:eastAsia="仿宋" w:cs="Times New Roman"/>
                <w:b/>
                <w:bCs/>
                <w:color w:val="auto"/>
                <w:sz w:val="21"/>
                <w:szCs w:val="21"/>
                <w:lang w:val="en-US" w:eastAsia="zh-CN"/>
              </w:rPr>
            </w:pPr>
            <w:r>
              <w:rPr>
                <w:rFonts w:hint="default" w:ascii="Times New Roman" w:hAnsi="Times New Roman" w:eastAsia="仿宋" w:cs="Times New Roman"/>
                <w:b/>
                <w:bCs/>
                <w:color w:val="auto"/>
                <w:sz w:val="21"/>
                <w:szCs w:val="21"/>
                <w:lang w:val="en-US" w:eastAsia="zh-CN"/>
              </w:rPr>
              <w:t>污染负荷指数</w:t>
            </w:r>
          </w:p>
        </w:tc>
        <w:tc>
          <w:tcPr>
            <w:tcW w:w="1017" w:type="pct"/>
            <w:tcBorders>
              <w:tl2br w:val="nil"/>
              <w:tr2bl w:val="nil"/>
            </w:tcBorders>
            <w:shd w:val="clear" w:color="000000" w:fill="FFFFFF"/>
            <w:vAlign w:val="center"/>
          </w:tcPr>
          <w:p w14:paraId="1A137548">
            <w:pPr>
              <w:spacing w:line="400" w:lineRule="exact"/>
              <w:jc w:val="center"/>
              <w:outlineLvl w:val="3"/>
              <w:rPr>
                <w:rFonts w:hint="default" w:ascii="Times New Roman" w:hAnsi="Times New Roman" w:eastAsia="仿宋" w:cs="Times New Roman"/>
                <w:b/>
                <w:bCs/>
                <w:color w:val="auto"/>
                <w:sz w:val="21"/>
                <w:szCs w:val="21"/>
                <w:lang w:val="en-US" w:eastAsia="zh-CN"/>
              </w:rPr>
            </w:pPr>
            <w:r>
              <w:rPr>
                <w:rFonts w:hint="default" w:ascii="Times New Roman" w:hAnsi="Times New Roman" w:eastAsia="仿宋" w:cs="Times New Roman"/>
                <w:b/>
                <w:bCs/>
                <w:color w:val="auto"/>
                <w:sz w:val="21"/>
                <w:szCs w:val="21"/>
                <w:lang w:val="en-US" w:eastAsia="zh-CN"/>
              </w:rPr>
              <w:t>生态环境状况指数（EI）</w:t>
            </w:r>
          </w:p>
        </w:tc>
        <w:tc>
          <w:tcPr>
            <w:tcW w:w="600" w:type="pct"/>
            <w:tcBorders>
              <w:tl2br w:val="nil"/>
              <w:tr2bl w:val="nil"/>
            </w:tcBorders>
            <w:shd w:val="clear" w:color="000000" w:fill="FFFFFF"/>
            <w:vAlign w:val="center"/>
          </w:tcPr>
          <w:p w14:paraId="14757693">
            <w:pPr>
              <w:spacing w:line="400" w:lineRule="exact"/>
              <w:jc w:val="center"/>
              <w:outlineLvl w:val="3"/>
              <w:rPr>
                <w:rFonts w:hint="default" w:ascii="Times New Roman" w:hAnsi="Times New Roman" w:eastAsia="仿宋" w:cs="Times New Roman"/>
                <w:b/>
                <w:bCs/>
                <w:color w:val="auto"/>
                <w:sz w:val="21"/>
                <w:szCs w:val="21"/>
                <w:lang w:val="en-US" w:eastAsia="zh-CN"/>
              </w:rPr>
            </w:pPr>
            <w:r>
              <w:rPr>
                <w:rFonts w:hint="default" w:ascii="Times New Roman" w:hAnsi="Times New Roman" w:eastAsia="仿宋" w:cs="Times New Roman"/>
                <w:b/>
                <w:bCs/>
                <w:color w:val="auto"/>
                <w:sz w:val="21"/>
                <w:szCs w:val="21"/>
                <w:lang w:val="en-US" w:eastAsia="zh-CN"/>
              </w:rPr>
              <w:t>等级</w:t>
            </w:r>
          </w:p>
        </w:tc>
      </w:tr>
      <w:tr w14:paraId="753A7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501" w:type="pct"/>
            <w:tcBorders>
              <w:tl2br w:val="nil"/>
              <w:tr2bl w:val="nil"/>
            </w:tcBorders>
            <w:shd w:val="clear" w:color="000000" w:fill="FFFFFF"/>
            <w:vAlign w:val="center"/>
          </w:tcPr>
          <w:p w14:paraId="3F68F08E">
            <w:pPr>
              <w:spacing w:line="400" w:lineRule="exact"/>
              <w:jc w:val="center"/>
              <w:outlineLvl w:val="3"/>
              <w:rPr>
                <w:rFonts w:hint="default" w:ascii="Times New Roman" w:hAnsi="Times New Roman" w:eastAsia="仿宋" w:cs="Times New Roman"/>
                <w:color w:val="auto"/>
                <w:sz w:val="21"/>
                <w:szCs w:val="21"/>
                <w:lang w:val="en-US" w:eastAsia="zh-CN"/>
              </w:rPr>
            </w:pPr>
            <w:r>
              <w:rPr>
                <w:rFonts w:hint="default" w:ascii="Times New Roman" w:hAnsi="Times New Roman" w:eastAsia="仿宋" w:cs="Times New Roman"/>
                <w:color w:val="auto"/>
                <w:sz w:val="21"/>
                <w:szCs w:val="21"/>
                <w:lang w:val="en-US" w:eastAsia="zh-CN"/>
              </w:rPr>
              <w:t>2019</w:t>
            </w:r>
          </w:p>
        </w:tc>
        <w:tc>
          <w:tcPr>
            <w:tcW w:w="536" w:type="pct"/>
            <w:tcBorders>
              <w:tl2br w:val="nil"/>
              <w:tr2bl w:val="nil"/>
            </w:tcBorders>
            <w:shd w:val="clear" w:color="000000" w:fill="FFFFFF"/>
            <w:vAlign w:val="center"/>
          </w:tcPr>
          <w:p w14:paraId="0554D0F6">
            <w:pPr>
              <w:spacing w:line="400" w:lineRule="exact"/>
              <w:jc w:val="center"/>
              <w:outlineLvl w:val="3"/>
              <w:rPr>
                <w:rFonts w:hint="default" w:ascii="Times New Roman" w:hAnsi="Times New Roman" w:eastAsia="仿宋" w:cs="Times New Roman"/>
                <w:color w:val="auto"/>
                <w:sz w:val="21"/>
                <w:szCs w:val="21"/>
                <w:lang w:val="en-US" w:eastAsia="zh-CN"/>
              </w:rPr>
            </w:pPr>
            <w:r>
              <w:rPr>
                <w:rFonts w:hint="default" w:ascii="Times New Roman" w:hAnsi="Times New Roman" w:eastAsia="仿宋" w:cs="Times New Roman"/>
                <w:color w:val="auto"/>
                <w:sz w:val="21"/>
                <w:szCs w:val="21"/>
                <w:lang w:val="en-US" w:eastAsia="zh-CN"/>
              </w:rPr>
              <w:t>78.85</w:t>
            </w:r>
          </w:p>
        </w:tc>
        <w:tc>
          <w:tcPr>
            <w:tcW w:w="614" w:type="pct"/>
            <w:tcBorders>
              <w:tl2br w:val="nil"/>
              <w:tr2bl w:val="nil"/>
            </w:tcBorders>
            <w:shd w:val="clear" w:color="000000" w:fill="FFFFFF"/>
            <w:vAlign w:val="center"/>
          </w:tcPr>
          <w:p w14:paraId="715EEBE7">
            <w:pPr>
              <w:spacing w:line="400" w:lineRule="exact"/>
              <w:jc w:val="center"/>
              <w:outlineLvl w:val="3"/>
              <w:rPr>
                <w:rFonts w:hint="default" w:ascii="Times New Roman" w:hAnsi="Times New Roman" w:eastAsia="仿宋" w:cs="Times New Roman"/>
                <w:color w:val="auto"/>
                <w:sz w:val="21"/>
                <w:szCs w:val="21"/>
                <w:lang w:val="en-US" w:eastAsia="zh-CN"/>
              </w:rPr>
            </w:pPr>
            <w:r>
              <w:rPr>
                <w:rFonts w:hint="default" w:ascii="Times New Roman" w:hAnsi="Times New Roman" w:eastAsia="仿宋" w:cs="Times New Roman"/>
                <w:color w:val="auto"/>
                <w:sz w:val="21"/>
                <w:szCs w:val="21"/>
                <w:lang w:val="en-US" w:eastAsia="zh-CN"/>
              </w:rPr>
              <w:t>92.37</w:t>
            </w:r>
          </w:p>
        </w:tc>
        <w:tc>
          <w:tcPr>
            <w:tcW w:w="608" w:type="pct"/>
            <w:tcBorders>
              <w:tl2br w:val="nil"/>
              <w:tr2bl w:val="nil"/>
            </w:tcBorders>
            <w:shd w:val="clear" w:color="000000" w:fill="FFFFFF"/>
            <w:vAlign w:val="center"/>
          </w:tcPr>
          <w:p w14:paraId="6150C6FE">
            <w:pPr>
              <w:spacing w:line="400" w:lineRule="exact"/>
              <w:jc w:val="center"/>
              <w:outlineLvl w:val="3"/>
              <w:rPr>
                <w:rFonts w:hint="default" w:ascii="Times New Roman" w:hAnsi="Times New Roman" w:eastAsia="仿宋" w:cs="Times New Roman"/>
                <w:color w:val="auto"/>
                <w:sz w:val="21"/>
                <w:szCs w:val="21"/>
                <w:lang w:val="en-US" w:eastAsia="zh-CN"/>
              </w:rPr>
            </w:pPr>
            <w:r>
              <w:rPr>
                <w:rFonts w:hint="default" w:ascii="Times New Roman" w:hAnsi="Times New Roman" w:eastAsia="仿宋" w:cs="Times New Roman"/>
                <w:color w:val="auto"/>
                <w:sz w:val="21"/>
                <w:szCs w:val="21"/>
                <w:lang w:val="en-US" w:eastAsia="zh-CN"/>
              </w:rPr>
              <w:t>28.26</w:t>
            </w:r>
          </w:p>
        </w:tc>
        <w:tc>
          <w:tcPr>
            <w:tcW w:w="547" w:type="pct"/>
            <w:tcBorders>
              <w:tl2br w:val="nil"/>
              <w:tr2bl w:val="nil"/>
            </w:tcBorders>
            <w:shd w:val="clear" w:color="000000" w:fill="FFFFFF"/>
            <w:vAlign w:val="center"/>
          </w:tcPr>
          <w:p w14:paraId="49930546">
            <w:pPr>
              <w:spacing w:line="400" w:lineRule="exact"/>
              <w:jc w:val="center"/>
              <w:outlineLvl w:val="3"/>
              <w:rPr>
                <w:rFonts w:hint="default" w:ascii="Times New Roman" w:hAnsi="Times New Roman" w:eastAsia="仿宋" w:cs="Times New Roman"/>
                <w:color w:val="auto"/>
                <w:sz w:val="21"/>
                <w:szCs w:val="21"/>
                <w:lang w:val="en-US" w:eastAsia="zh-CN"/>
              </w:rPr>
            </w:pPr>
            <w:r>
              <w:rPr>
                <w:rFonts w:hint="default" w:ascii="Times New Roman" w:hAnsi="Times New Roman" w:eastAsia="仿宋" w:cs="Times New Roman"/>
                <w:color w:val="auto"/>
                <w:sz w:val="21"/>
                <w:szCs w:val="21"/>
                <w:lang w:val="en-US" w:eastAsia="zh-CN"/>
              </w:rPr>
              <w:t>3.09</w:t>
            </w:r>
          </w:p>
        </w:tc>
        <w:tc>
          <w:tcPr>
            <w:tcW w:w="572" w:type="pct"/>
            <w:tcBorders>
              <w:tl2br w:val="nil"/>
              <w:tr2bl w:val="nil"/>
            </w:tcBorders>
            <w:shd w:val="clear" w:color="000000" w:fill="FFFFFF"/>
            <w:vAlign w:val="center"/>
          </w:tcPr>
          <w:p w14:paraId="307BB255">
            <w:pPr>
              <w:spacing w:line="400" w:lineRule="exact"/>
              <w:jc w:val="center"/>
              <w:outlineLvl w:val="3"/>
              <w:rPr>
                <w:rFonts w:hint="default" w:ascii="Times New Roman" w:hAnsi="Times New Roman" w:eastAsia="仿宋" w:cs="Times New Roman"/>
                <w:color w:val="auto"/>
                <w:sz w:val="21"/>
                <w:szCs w:val="21"/>
                <w:lang w:val="en-US" w:eastAsia="zh-CN"/>
              </w:rPr>
            </w:pPr>
            <w:r>
              <w:rPr>
                <w:rFonts w:hint="default" w:ascii="Times New Roman" w:hAnsi="Times New Roman" w:eastAsia="仿宋" w:cs="Times New Roman"/>
                <w:color w:val="auto"/>
                <w:sz w:val="21"/>
                <w:szCs w:val="21"/>
                <w:lang w:val="en-US" w:eastAsia="zh-CN"/>
              </w:rPr>
              <w:t>1.81</w:t>
            </w:r>
          </w:p>
        </w:tc>
        <w:tc>
          <w:tcPr>
            <w:tcW w:w="1017" w:type="pct"/>
            <w:tcBorders>
              <w:tl2br w:val="nil"/>
              <w:tr2bl w:val="nil"/>
            </w:tcBorders>
            <w:shd w:val="clear" w:color="000000" w:fill="FFFFFF"/>
            <w:vAlign w:val="center"/>
          </w:tcPr>
          <w:p w14:paraId="09463A09">
            <w:pPr>
              <w:spacing w:line="400" w:lineRule="exact"/>
              <w:jc w:val="center"/>
              <w:outlineLvl w:val="3"/>
              <w:rPr>
                <w:rFonts w:hint="default" w:ascii="Times New Roman" w:hAnsi="Times New Roman" w:eastAsia="仿宋" w:cs="Times New Roman"/>
                <w:color w:val="auto"/>
                <w:sz w:val="21"/>
                <w:szCs w:val="21"/>
                <w:lang w:val="en-US" w:eastAsia="zh-CN"/>
              </w:rPr>
            </w:pPr>
            <w:r>
              <w:rPr>
                <w:rFonts w:hint="default" w:ascii="Times New Roman" w:hAnsi="Times New Roman" w:eastAsia="仿宋" w:cs="Times New Roman"/>
                <w:color w:val="auto"/>
                <w:sz w:val="21"/>
                <w:szCs w:val="21"/>
                <w:lang w:val="en-US" w:eastAsia="zh-CN"/>
              </w:rPr>
              <w:t>79.28</w:t>
            </w:r>
          </w:p>
        </w:tc>
        <w:tc>
          <w:tcPr>
            <w:tcW w:w="600" w:type="pct"/>
            <w:tcBorders>
              <w:tl2br w:val="nil"/>
              <w:tr2bl w:val="nil"/>
            </w:tcBorders>
            <w:shd w:val="clear" w:color="000000" w:fill="FFFFFF"/>
            <w:vAlign w:val="center"/>
          </w:tcPr>
          <w:p w14:paraId="095C7FEC">
            <w:pPr>
              <w:spacing w:line="400" w:lineRule="exact"/>
              <w:jc w:val="center"/>
              <w:outlineLvl w:val="3"/>
              <w:rPr>
                <w:rFonts w:hint="default" w:ascii="Times New Roman" w:hAnsi="Times New Roman" w:eastAsia="仿宋" w:cs="Times New Roman"/>
                <w:color w:val="auto"/>
                <w:sz w:val="21"/>
                <w:szCs w:val="21"/>
                <w:lang w:val="en-US" w:eastAsia="zh-CN"/>
              </w:rPr>
            </w:pPr>
            <w:r>
              <w:rPr>
                <w:rFonts w:hint="default" w:ascii="Times New Roman" w:hAnsi="Times New Roman" w:eastAsia="仿宋" w:cs="Times New Roman"/>
                <w:color w:val="auto"/>
                <w:sz w:val="21"/>
                <w:szCs w:val="21"/>
                <w:lang w:val="en-US" w:eastAsia="zh-CN"/>
              </w:rPr>
              <w:t>优</w:t>
            </w:r>
          </w:p>
        </w:tc>
      </w:tr>
      <w:tr w14:paraId="647BE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501" w:type="pct"/>
            <w:tcBorders>
              <w:tl2br w:val="nil"/>
              <w:tr2bl w:val="nil"/>
            </w:tcBorders>
            <w:shd w:val="clear" w:color="000000" w:fill="FFFFFF"/>
            <w:vAlign w:val="center"/>
          </w:tcPr>
          <w:p w14:paraId="30A104F9">
            <w:pPr>
              <w:spacing w:line="400" w:lineRule="exact"/>
              <w:jc w:val="center"/>
              <w:outlineLvl w:val="3"/>
              <w:rPr>
                <w:rFonts w:hint="default" w:ascii="Times New Roman" w:hAnsi="Times New Roman" w:eastAsia="仿宋" w:cs="Times New Roman"/>
                <w:color w:val="auto"/>
                <w:sz w:val="21"/>
                <w:szCs w:val="21"/>
                <w:lang w:val="en-US" w:eastAsia="zh-CN"/>
              </w:rPr>
            </w:pPr>
            <w:r>
              <w:rPr>
                <w:rFonts w:hint="default" w:ascii="Times New Roman" w:hAnsi="Times New Roman" w:eastAsia="仿宋" w:cs="Times New Roman"/>
                <w:color w:val="auto"/>
                <w:sz w:val="21"/>
                <w:szCs w:val="21"/>
                <w:lang w:val="en-US" w:eastAsia="zh-CN"/>
              </w:rPr>
              <w:t>2020</w:t>
            </w:r>
          </w:p>
        </w:tc>
        <w:tc>
          <w:tcPr>
            <w:tcW w:w="536" w:type="pct"/>
            <w:tcBorders>
              <w:tl2br w:val="nil"/>
              <w:tr2bl w:val="nil"/>
            </w:tcBorders>
            <w:shd w:val="clear" w:color="000000" w:fill="FFFFFF"/>
            <w:vAlign w:val="center"/>
          </w:tcPr>
          <w:p w14:paraId="0D760AA5">
            <w:pPr>
              <w:spacing w:line="400" w:lineRule="exact"/>
              <w:jc w:val="center"/>
              <w:outlineLvl w:val="3"/>
              <w:rPr>
                <w:rFonts w:hint="default" w:ascii="Times New Roman" w:hAnsi="Times New Roman" w:eastAsia="仿宋" w:cs="Times New Roman"/>
                <w:color w:val="auto"/>
                <w:sz w:val="21"/>
                <w:szCs w:val="21"/>
                <w:lang w:val="en-US" w:eastAsia="zh-CN"/>
              </w:rPr>
            </w:pPr>
            <w:r>
              <w:rPr>
                <w:rFonts w:hint="default" w:ascii="Times New Roman" w:hAnsi="Times New Roman" w:eastAsia="仿宋" w:cs="Times New Roman"/>
                <w:color w:val="auto"/>
                <w:sz w:val="21"/>
                <w:szCs w:val="21"/>
                <w:lang w:val="en-US" w:eastAsia="zh-CN"/>
              </w:rPr>
              <w:t>79.10</w:t>
            </w:r>
          </w:p>
        </w:tc>
        <w:tc>
          <w:tcPr>
            <w:tcW w:w="614" w:type="pct"/>
            <w:tcBorders>
              <w:tl2br w:val="nil"/>
              <w:tr2bl w:val="nil"/>
            </w:tcBorders>
            <w:shd w:val="clear" w:color="000000" w:fill="FFFFFF"/>
            <w:vAlign w:val="center"/>
          </w:tcPr>
          <w:p w14:paraId="7D855C1D">
            <w:pPr>
              <w:spacing w:line="400" w:lineRule="exact"/>
              <w:jc w:val="center"/>
              <w:outlineLvl w:val="3"/>
              <w:rPr>
                <w:rFonts w:hint="default" w:ascii="Times New Roman" w:hAnsi="Times New Roman" w:eastAsia="仿宋" w:cs="Times New Roman"/>
                <w:color w:val="auto"/>
                <w:sz w:val="21"/>
                <w:szCs w:val="21"/>
                <w:lang w:val="en-US" w:eastAsia="zh-CN"/>
              </w:rPr>
            </w:pPr>
            <w:r>
              <w:rPr>
                <w:rFonts w:hint="default" w:ascii="Times New Roman" w:hAnsi="Times New Roman" w:eastAsia="仿宋" w:cs="Times New Roman"/>
                <w:color w:val="auto"/>
                <w:sz w:val="21"/>
                <w:szCs w:val="21"/>
                <w:lang w:val="en-US" w:eastAsia="zh-CN"/>
              </w:rPr>
              <w:t>88.76</w:t>
            </w:r>
          </w:p>
        </w:tc>
        <w:tc>
          <w:tcPr>
            <w:tcW w:w="608" w:type="pct"/>
            <w:tcBorders>
              <w:tl2br w:val="nil"/>
              <w:tr2bl w:val="nil"/>
            </w:tcBorders>
            <w:shd w:val="clear" w:color="000000" w:fill="FFFFFF"/>
            <w:vAlign w:val="center"/>
          </w:tcPr>
          <w:p w14:paraId="6B1C31E7">
            <w:pPr>
              <w:spacing w:line="400" w:lineRule="exact"/>
              <w:jc w:val="center"/>
              <w:outlineLvl w:val="3"/>
              <w:rPr>
                <w:rFonts w:hint="default" w:ascii="Times New Roman" w:hAnsi="Times New Roman" w:eastAsia="仿宋" w:cs="Times New Roman"/>
                <w:color w:val="auto"/>
                <w:sz w:val="21"/>
                <w:szCs w:val="21"/>
                <w:lang w:val="en-US" w:eastAsia="zh-CN"/>
              </w:rPr>
            </w:pPr>
            <w:r>
              <w:rPr>
                <w:rFonts w:hint="default" w:ascii="Times New Roman" w:hAnsi="Times New Roman" w:eastAsia="仿宋" w:cs="Times New Roman"/>
                <w:color w:val="auto"/>
                <w:sz w:val="21"/>
                <w:szCs w:val="21"/>
                <w:lang w:val="en-US" w:eastAsia="zh-CN"/>
              </w:rPr>
              <w:t>22.35</w:t>
            </w:r>
          </w:p>
        </w:tc>
        <w:tc>
          <w:tcPr>
            <w:tcW w:w="547" w:type="pct"/>
            <w:tcBorders>
              <w:tl2br w:val="nil"/>
              <w:tr2bl w:val="nil"/>
            </w:tcBorders>
            <w:shd w:val="clear" w:color="000000" w:fill="FFFFFF"/>
            <w:vAlign w:val="center"/>
          </w:tcPr>
          <w:p w14:paraId="5570AC7D">
            <w:pPr>
              <w:spacing w:line="400" w:lineRule="exact"/>
              <w:jc w:val="center"/>
              <w:outlineLvl w:val="3"/>
              <w:rPr>
                <w:rFonts w:hint="default" w:ascii="Times New Roman" w:hAnsi="Times New Roman" w:eastAsia="仿宋" w:cs="Times New Roman"/>
                <w:color w:val="auto"/>
                <w:sz w:val="21"/>
                <w:szCs w:val="21"/>
                <w:lang w:val="en-US" w:eastAsia="zh-CN"/>
              </w:rPr>
            </w:pPr>
            <w:r>
              <w:rPr>
                <w:rFonts w:hint="default" w:ascii="Times New Roman" w:hAnsi="Times New Roman" w:eastAsia="仿宋" w:cs="Times New Roman"/>
                <w:color w:val="auto"/>
                <w:sz w:val="21"/>
                <w:szCs w:val="21"/>
                <w:lang w:val="en-US" w:eastAsia="zh-CN"/>
              </w:rPr>
              <w:t>2.90</w:t>
            </w:r>
          </w:p>
        </w:tc>
        <w:tc>
          <w:tcPr>
            <w:tcW w:w="572" w:type="pct"/>
            <w:tcBorders>
              <w:tl2br w:val="nil"/>
              <w:tr2bl w:val="nil"/>
            </w:tcBorders>
            <w:shd w:val="clear" w:color="000000" w:fill="FFFFFF"/>
            <w:vAlign w:val="center"/>
          </w:tcPr>
          <w:p w14:paraId="74D2ADB5">
            <w:pPr>
              <w:spacing w:line="400" w:lineRule="exact"/>
              <w:jc w:val="center"/>
              <w:outlineLvl w:val="3"/>
              <w:rPr>
                <w:rFonts w:hint="default" w:ascii="Times New Roman" w:hAnsi="Times New Roman" w:eastAsia="仿宋" w:cs="Times New Roman"/>
                <w:color w:val="auto"/>
                <w:sz w:val="21"/>
                <w:szCs w:val="21"/>
                <w:lang w:val="en-US" w:eastAsia="zh-CN"/>
              </w:rPr>
            </w:pPr>
            <w:r>
              <w:rPr>
                <w:rFonts w:hint="default" w:ascii="Times New Roman" w:hAnsi="Times New Roman" w:eastAsia="仿宋" w:cs="Times New Roman"/>
                <w:color w:val="auto"/>
                <w:sz w:val="21"/>
                <w:szCs w:val="21"/>
                <w:lang w:val="en-US" w:eastAsia="zh-CN"/>
              </w:rPr>
              <w:t>0.87</w:t>
            </w:r>
          </w:p>
        </w:tc>
        <w:tc>
          <w:tcPr>
            <w:tcW w:w="1017" w:type="pct"/>
            <w:tcBorders>
              <w:tl2br w:val="nil"/>
              <w:tr2bl w:val="nil"/>
            </w:tcBorders>
            <w:shd w:val="clear" w:color="000000" w:fill="FFFFFF"/>
            <w:vAlign w:val="center"/>
          </w:tcPr>
          <w:p w14:paraId="24B390BE">
            <w:pPr>
              <w:spacing w:line="400" w:lineRule="exact"/>
              <w:jc w:val="center"/>
              <w:outlineLvl w:val="3"/>
              <w:rPr>
                <w:rFonts w:hint="default" w:ascii="Times New Roman" w:hAnsi="Times New Roman" w:eastAsia="仿宋" w:cs="Times New Roman"/>
                <w:color w:val="auto"/>
                <w:sz w:val="21"/>
                <w:szCs w:val="21"/>
                <w:lang w:val="en-US" w:eastAsia="zh-CN"/>
              </w:rPr>
            </w:pPr>
            <w:r>
              <w:rPr>
                <w:rFonts w:hint="default" w:ascii="Times New Roman" w:hAnsi="Times New Roman" w:eastAsia="仿宋" w:cs="Times New Roman"/>
                <w:color w:val="auto"/>
                <w:sz w:val="21"/>
                <w:szCs w:val="21"/>
                <w:lang w:val="en-US" w:eastAsia="zh-CN"/>
              </w:rPr>
              <w:t>77.71</w:t>
            </w:r>
          </w:p>
        </w:tc>
        <w:tc>
          <w:tcPr>
            <w:tcW w:w="600" w:type="pct"/>
            <w:tcBorders>
              <w:tl2br w:val="nil"/>
              <w:tr2bl w:val="nil"/>
            </w:tcBorders>
            <w:shd w:val="clear" w:color="000000" w:fill="FFFFFF"/>
            <w:vAlign w:val="center"/>
          </w:tcPr>
          <w:p w14:paraId="328D554F">
            <w:pPr>
              <w:spacing w:line="400" w:lineRule="exact"/>
              <w:jc w:val="center"/>
              <w:outlineLvl w:val="3"/>
              <w:rPr>
                <w:rFonts w:hint="default" w:ascii="Times New Roman" w:hAnsi="Times New Roman" w:eastAsia="仿宋" w:cs="Times New Roman"/>
                <w:color w:val="auto"/>
                <w:sz w:val="21"/>
                <w:szCs w:val="21"/>
                <w:lang w:val="en-US" w:eastAsia="zh-CN"/>
              </w:rPr>
            </w:pPr>
            <w:r>
              <w:rPr>
                <w:rFonts w:hint="default" w:ascii="Times New Roman" w:hAnsi="Times New Roman" w:eastAsia="仿宋" w:cs="Times New Roman"/>
                <w:color w:val="auto"/>
                <w:sz w:val="21"/>
                <w:szCs w:val="21"/>
                <w:lang w:val="en-US" w:eastAsia="zh-CN"/>
              </w:rPr>
              <w:t>优</w:t>
            </w:r>
          </w:p>
        </w:tc>
      </w:tr>
      <w:tr w14:paraId="1E708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501" w:type="pct"/>
            <w:tcBorders>
              <w:tl2br w:val="nil"/>
              <w:tr2bl w:val="nil"/>
            </w:tcBorders>
            <w:shd w:val="clear" w:color="000000" w:fill="FFFFFF"/>
            <w:vAlign w:val="center"/>
          </w:tcPr>
          <w:p w14:paraId="6E4B0F63">
            <w:pPr>
              <w:spacing w:line="400" w:lineRule="exact"/>
              <w:jc w:val="center"/>
              <w:outlineLvl w:val="3"/>
              <w:rPr>
                <w:rFonts w:hint="default" w:ascii="Times New Roman" w:hAnsi="Times New Roman" w:eastAsia="仿宋" w:cs="Times New Roman"/>
                <w:color w:val="auto"/>
                <w:sz w:val="21"/>
                <w:szCs w:val="21"/>
                <w:lang w:val="en-US" w:eastAsia="zh-CN"/>
              </w:rPr>
            </w:pPr>
            <w:r>
              <w:rPr>
                <w:rFonts w:hint="default" w:ascii="Times New Roman" w:hAnsi="Times New Roman" w:eastAsia="仿宋" w:cs="Times New Roman"/>
                <w:color w:val="auto"/>
                <w:sz w:val="21"/>
                <w:szCs w:val="21"/>
                <w:lang w:val="en-US" w:eastAsia="zh-CN"/>
              </w:rPr>
              <w:t>2021</w:t>
            </w:r>
          </w:p>
        </w:tc>
        <w:tc>
          <w:tcPr>
            <w:tcW w:w="536" w:type="pct"/>
            <w:tcBorders>
              <w:tl2br w:val="nil"/>
              <w:tr2bl w:val="nil"/>
            </w:tcBorders>
            <w:shd w:val="clear" w:color="000000" w:fill="FFFFFF"/>
            <w:vAlign w:val="center"/>
          </w:tcPr>
          <w:p w14:paraId="617C9EC5">
            <w:pPr>
              <w:spacing w:line="400" w:lineRule="exact"/>
              <w:jc w:val="center"/>
              <w:outlineLvl w:val="3"/>
              <w:rPr>
                <w:rFonts w:hint="default" w:ascii="Times New Roman" w:hAnsi="Times New Roman" w:eastAsia="仿宋" w:cs="Times New Roman"/>
                <w:color w:val="auto"/>
                <w:sz w:val="21"/>
                <w:szCs w:val="21"/>
                <w:lang w:val="en-US" w:eastAsia="zh-CN"/>
              </w:rPr>
            </w:pPr>
            <w:r>
              <w:rPr>
                <w:rFonts w:hint="default" w:ascii="Times New Roman" w:hAnsi="Times New Roman" w:eastAsia="仿宋" w:cs="Times New Roman"/>
                <w:color w:val="auto"/>
                <w:sz w:val="21"/>
                <w:szCs w:val="21"/>
                <w:lang w:val="en-US" w:eastAsia="zh-CN"/>
              </w:rPr>
              <w:t>79.08</w:t>
            </w:r>
          </w:p>
        </w:tc>
        <w:tc>
          <w:tcPr>
            <w:tcW w:w="614" w:type="pct"/>
            <w:tcBorders>
              <w:tl2br w:val="nil"/>
              <w:tr2bl w:val="nil"/>
            </w:tcBorders>
            <w:shd w:val="clear" w:color="000000" w:fill="FFFFFF"/>
            <w:vAlign w:val="center"/>
          </w:tcPr>
          <w:p w14:paraId="51DD412A">
            <w:pPr>
              <w:spacing w:line="400" w:lineRule="exact"/>
              <w:jc w:val="center"/>
              <w:outlineLvl w:val="3"/>
              <w:rPr>
                <w:rFonts w:hint="default" w:ascii="Times New Roman" w:hAnsi="Times New Roman" w:eastAsia="仿宋" w:cs="Times New Roman"/>
                <w:color w:val="auto"/>
                <w:sz w:val="21"/>
                <w:szCs w:val="21"/>
                <w:lang w:val="en-US" w:eastAsia="zh-CN"/>
              </w:rPr>
            </w:pPr>
            <w:r>
              <w:rPr>
                <w:rFonts w:hint="default" w:ascii="Times New Roman" w:hAnsi="Times New Roman" w:eastAsia="仿宋" w:cs="Times New Roman"/>
                <w:color w:val="auto"/>
                <w:sz w:val="21"/>
                <w:szCs w:val="21"/>
                <w:lang w:val="en-US" w:eastAsia="zh-CN"/>
              </w:rPr>
              <w:t>94.04</w:t>
            </w:r>
          </w:p>
        </w:tc>
        <w:tc>
          <w:tcPr>
            <w:tcW w:w="608" w:type="pct"/>
            <w:tcBorders>
              <w:tl2br w:val="nil"/>
              <w:tr2bl w:val="nil"/>
            </w:tcBorders>
            <w:shd w:val="clear" w:color="000000" w:fill="FFFFFF"/>
            <w:vAlign w:val="center"/>
          </w:tcPr>
          <w:p w14:paraId="2D225182">
            <w:pPr>
              <w:spacing w:line="400" w:lineRule="exact"/>
              <w:jc w:val="center"/>
              <w:outlineLvl w:val="3"/>
              <w:rPr>
                <w:rFonts w:hint="default" w:ascii="Times New Roman" w:hAnsi="Times New Roman" w:eastAsia="仿宋" w:cs="Times New Roman"/>
                <w:color w:val="auto"/>
                <w:sz w:val="21"/>
                <w:szCs w:val="21"/>
                <w:lang w:val="en-US" w:eastAsia="zh-CN"/>
              </w:rPr>
            </w:pPr>
            <w:r>
              <w:rPr>
                <w:rFonts w:hint="default" w:ascii="Times New Roman" w:hAnsi="Times New Roman" w:eastAsia="仿宋" w:cs="Times New Roman"/>
                <w:color w:val="auto"/>
                <w:sz w:val="21"/>
                <w:szCs w:val="21"/>
                <w:lang w:val="en-US" w:eastAsia="zh-CN"/>
              </w:rPr>
              <w:t>23.49</w:t>
            </w:r>
          </w:p>
        </w:tc>
        <w:tc>
          <w:tcPr>
            <w:tcW w:w="547" w:type="pct"/>
            <w:tcBorders>
              <w:tl2br w:val="nil"/>
              <w:tr2bl w:val="nil"/>
            </w:tcBorders>
            <w:shd w:val="clear" w:color="000000" w:fill="FFFFFF"/>
            <w:vAlign w:val="center"/>
          </w:tcPr>
          <w:p w14:paraId="4F3BB5A5">
            <w:pPr>
              <w:spacing w:line="400" w:lineRule="exact"/>
              <w:jc w:val="center"/>
              <w:outlineLvl w:val="3"/>
              <w:rPr>
                <w:rFonts w:hint="default" w:ascii="Times New Roman" w:hAnsi="Times New Roman" w:eastAsia="仿宋" w:cs="Times New Roman"/>
                <w:color w:val="auto"/>
                <w:sz w:val="21"/>
                <w:szCs w:val="21"/>
                <w:lang w:val="en-US" w:eastAsia="zh-CN"/>
              </w:rPr>
            </w:pPr>
            <w:r>
              <w:rPr>
                <w:rFonts w:hint="default" w:ascii="Times New Roman" w:hAnsi="Times New Roman" w:eastAsia="仿宋" w:cs="Times New Roman"/>
                <w:color w:val="auto"/>
                <w:sz w:val="21"/>
                <w:szCs w:val="21"/>
                <w:lang w:val="en-US" w:eastAsia="zh-CN"/>
              </w:rPr>
              <w:t>3.23</w:t>
            </w:r>
          </w:p>
        </w:tc>
        <w:tc>
          <w:tcPr>
            <w:tcW w:w="572" w:type="pct"/>
            <w:tcBorders>
              <w:tl2br w:val="nil"/>
              <w:tr2bl w:val="nil"/>
            </w:tcBorders>
            <w:shd w:val="clear" w:color="000000" w:fill="FFFFFF"/>
            <w:vAlign w:val="center"/>
          </w:tcPr>
          <w:p w14:paraId="27713DE4">
            <w:pPr>
              <w:spacing w:line="400" w:lineRule="exact"/>
              <w:jc w:val="center"/>
              <w:outlineLvl w:val="3"/>
              <w:rPr>
                <w:rFonts w:hint="default" w:ascii="Times New Roman" w:hAnsi="Times New Roman" w:eastAsia="仿宋" w:cs="Times New Roman"/>
                <w:color w:val="auto"/>
                <w:sz w:val="21"/>
                <w:szCs w:val="21"/>
                <w:lang w:val="en-US" w:eastAsia="zh-CN"/>
              </w:rPr>
            </w:pPr>
            <w:r>
              <w:rPr>
                <w:rFonts w:hint="default" w:ascii="Times New Roman" w:hAnsi="Times New Roman" w:eastAsia="仿宋" w:cs="Times New Roman"/>
                <w:color w:val="auto"/>
                <w:sz w:val="21"/>
                <w:szCs w:val="21"/>
                <w:lang w:val="en-US" w:eastAsia="zh-CN"/>
              </w:rPr>
              <w:t>1.27</w:t>
            </w:r>
          </w:p>
        </w:tc>
        <w:tc>
          <w:tcPr>
            <w:tcW w:w="1017" w:type="pct"/>
            <w:tcBorders>
              <w:tl2br w:val="nil"/>
              <w:tr2bl w:val="nil"/>
            </w:tcBorders>
            <w:shd w:val="clear" w:color="000000" w:fill="FFFFFF"/>
            <w:vAlign w:val="center"/>
          </w:tcPr>
          <w:p w14:paraId="3D93F0F7">
            <w:pPr>
              <w:spacing w:line="400" w:lineRule="exact"/>
              <w:jc w:val="center"/>
              <w:outlineLvl w:val="3"/>
              <w:rPr>
                <w:rFonts w:hint="default" w:ascii="Times New Roman" w:hAnsi="Times New Roman" w:eastAsia="仿宋" w:cs="Times New Roman"/>
                <w:color w:val="auto"/>
                <w:sz w:val="21"/>
                <w:szCs w:val="21"/>
                <w:lang w:val="en-US" w:eastAsia="zh-CN"/>
              </w:rPr>
            </w:pPr>
            <w:r>
              <w:rPr>
                <w:rFonts w:hint="default" w:ascii="Times New Roman" w:hAnsi="Times New Roman" w:eastAsia="仿宋" w:cs="Times New Roman"/>
                <w:color w:val="auto"/>
                <w:sz w:val="21"/>
                <w:szCs w:val="21"/>
                <w:lang w:val="en-US" w:eastAsia="zh-CN"/>
              </w:rPr>
              <w:t>79.10</w:t>
            </w:r>
          </w:p>
        </w:tc>
        <w:tc>
          <w:tcPr>
            <w:tcW w:w="600" w:type="pct"/>
            <w:tcBorders>
              <w:tl2br w:val="nil"/>
              <w:tr2bl w:val="nil"/>
            </w:tcBorders>
            <w:shd w:val="clear" w:color="000000" w:fill="FFFFFF"/>
            <w:vAlign w:val="center"/>
          </w:tcPr>
          <w:p w14:paraId="34421E68">
            <w:pPr>
              <w:spacing w:line="400" w:lineRule="exact"/>
              <w:jc w:val="center"/>
              <w:outlineLvl w:val="3"/>
              <w:rPr>
                <w:rFonts w:hint="default" w:ascii="Times New Roman" w:hAnsi="Times New Roman" w:eastAsia="仿宋" w:cs="Times New Roman"/>
                <w:color w:val="auto"/>
                <w:sz w:val="21"/>
                <w:szCs w:val="21"/>
                <w:lang w:val="en-US" w:eastAsia="zh-CN"/>
              </w:rPr>
            </w:pPr>
            <w:r>
              <w:rPr>
                <w:rFonts w:hint="default" w:ascii="Times New Roman" w:hAnsi="Times New Roman" w:eastAsia="仿宋" w:cs="Times New Roman"/>
                <w:color w:val="auto"/>
                <w:sz w:val="21"/>
                <w:szCs w:val="21"/>
                <w:lang w:val="en-US" w:eastAsia="zh-CN"/>
              </w:rPr>
              <w:t>优</w:t>
            </w:r>
          </w:p>
        </w:tc>
      </w:tr>
    </w:tbl>
    <w:p w14:paraId="4C1D1AE2">
      <w:pPr>
        <w:pStyle w:val="6"/>
        <w:pageBreakBefore w:val="0"/>
        <w:kinsoku/>
        <w:wordWrap/>
        <w:overflowPunct/>
        <w:topLinePunct w:val="0"/>
        <w:autoSpaceDE/>
        <w:autoSpaceDN/>
        <w:bidi w:val="0"/>
        <w:spacing w:line="500" w:lineRule="exact"/>
        <w:textAlignment w:val="auto"/>
        <w:rPr>
          <w:rFonts w:hint="eastAsia" w:ascii="Times New Roman" w:hAnsi="Times New Roman" w:eastAsia="仿宋" w:cs="Times New Roman"/>
          <w:b/>
          <w:bCs/>
          <w:snapToGrid w:val="0"/>
          <w:color w:val="auto"/>
          <w:kern w:val="2"/>
          <w:sz w:val="28"/>
          <w:szCs w:val="32"/>
          <w:lang w:val="en-US" w:eastAsia="zh-CN" w:bidi="ar-SA"/>
        </w:rPr>
      </w:pPr>
      <w:r>
        <w:rPr>
          <w:rFonts w:ascii="Times New Roman" w:hAnsi="Times New Roman" w:eastAsia="仿宋" w:cs="Times New Roman"/>
          <w:b/>
          <w:bCs/>
          <w:snapToGrid w:val="0"/>
          <w:color w:val="auto"/>
          <w:kern w:val="2"/>
          <w:sz w:val="28"/>
          <w:szCs w:val="32"/>
          <w:lang w:val="en-US" w:eastAsia="zh-CN" w:bidi="ar-SA"/>
        </w:rPr>
        <w:t>2.1.5.7自然保护地</w:t>
      </w:r>
      <w:r>
        <w:rPr>
          <w:rFonts w:hint="eastAsia" w:ascii="Times New Roman" w:hAnsi="Times New Roman" w:eastAsia="仿宋" w:cs="Times New Roman"/>
          <w:b/>
          <w:bCs/>
          <w:snapToGrid w:val="0"/>
          <w:color w:val="auto"/>
          <w:kern w:val="2"/>
          <w:sz w:val="28"/>
          <w:szCs w:val="32"/>
          <w:lang w:val="en-US" w:eastAsia="zh-CN" w:bidi="ar-SA"/>
        </w:rPr>
        <w:t>现状</w:t>
      </w:r>
    </w:p>
    <w:p w14:paraId="6AC49D48">
      <w:pPr>
        <w:keepNext w:val="0"/>
        <w:keepLines w:val="0"/>
        <w:pageBreakBefore w:val="0"/>
        <w:widowControl/>
        <w:suppressLineNumbers w:val="0"/>
        <w:kinsoku/>
        <w:wordWrap/>
        <w:overflowPunct/>
        <w:topLinePunct w:val="0"/>
        <w:autoSpaceDE/>
        <w:autoSpaceDN/>
        <w:bidi w:val="0"/>
        <w:adjustRightInd/>
        <w:snapToGrid/>
        <w:spacing w:line="500" w:lineRule="exact"/>
        <w:ind w:firstLine="560" w:firstLineChars="200"/>
        <w:jc w:val="left"/>
        <w:textAlignment w:val="auto"/>
        <w:rPr>
          <w:rFonts w:hint="eastAsia" w:ascii="Times New Roman" w:hAnsi="Times New Roman" w:eastAsia="方正仿宋_GBK" w:cs="方正仿宋_GBK"/>
          <w:b w:val="0"/>
          <w:bCs w:val="0"/>
          <w:color w:val="auto"/>
          <w:sz w:val="28"/>
          <w:szCs w:val="28"/>
          <w:lang w:val="en-US" w:eastAsia="zh-CN"/>
        </w:rPr>
      </w:pPr>
      <w:r>
        <w:rPr>
          <w:rFonts w:hint="eastAsia" w:ascii="Times New Roman" w:hAnsi="Times New Roman" w:eastAsia="方正仿宋_GBK" w:cs="方正仿宋_GBK"/>
          <w:b w:val="0"/>
          <w:bCs w:val="0"/>
          <w:color w:val="auto"/>
          <w:sz w:val="28"/>
          <w:szCs w:val="28"/>
          <w:lang w:val="en-US" w:eastAsia="zh-CN"/>
        </w:rPr>
        <w:t>新平县境内现有5个自然保护地：云南省哀牢山国家级自然保护区（新平段）、玉白顶林场市级自然保护区、哀牢山县级自然保护区、磨盘山县级自然保护区和磨盘山国家级森林公园，自然保护地批复面积累计59413.03hm</w:t>
      </w:r>
      <w:r>
        <w:rPr>
          <w:rFonts w:hint="eastAsia" w:ascii="Times New Roman" w:hAnsi="Times New Roman" w:eastAsia="方正仿宋_GBK" w:cs="方正仿宋_GBK"/>
          <w:b w:val="0"/>
          <w:bCs w:val="0"/>
          <w:color w:val="auto"/>
          <w:sz w:val="28"/>
          <w:szCs w:val="28"/>
          <w:vertAlign w:val="superscript"/>
          <w:lang w:val="en-US" w:eastAsia="zh-CN"/>
        </w:rPr>
        <w:t>2</w:t>
      </w:r>
      <w:r>
        <w:rPr>
          <w:rFonts w:hint="eastAsia" w:ascii="Times New Roman" w:hAnsi="Times New Roman" w:eastAsia="方正仿宋_GBK" w:cs="方正仿宋_GBK"/>
          <w:b w:val="0"/>
          <w:bCs w:val="0"/>
          <w:color w:val="auto"/>
          <w:sz w:val="28"/>
          <w:szCs w:val="28"/>
          <w:lang w:val="en-US" w:eastAsia="zh-CN"/>
        </w:rPr>
        <w:t>（含交叉重叠），占全县国土总面积426703.33hm</w:t>
      </w:r>
      <w:r>
        <w:rPr>
          <w:rFonts w:hint="eastAsia" w:ascii="Times New Roman" w:hAnsi="Times New Roman" w:eastAsia="方正仿宋_GBK" w:cs="方正仿宋_GBK"/>
          <w:b w:val="0"/>
          <w:bCs w:val="0"/>
          <w:color w:val="auto"/>
          <w:sz w:val="28"/>
          <w:szCs w:val="28"/>
          <w:vertAlign w:val="superscript"/>
          <w:lang w:val="en-US" w:eastAsia="zh-CN"/>
        </w:rPr>
        <w:t>2</w:t>
      </w:r>
      <w:r>
        <w:rPr>
          <w:rFonts w:hint="eastAsia" w:ascii="Times New Roman" w:hAnsi="Times New Roman" w:eastAsia="方正仿宋_GBK" w:cs="方正仿宋_GBK"/>
          <w:b w:val="0"/>
          <w:bCs w:val="0"/>
          <w:color w:val="auto"/>
          <w:sz w:val="28"/>
          <w:szCs w:val="28"/>
          <w:lang w:val="en-US" w:eastAsia="zh-CN"/>
        </w:rPr>
        <w:t>的13.92%。详见表2.1.5.7-1。</w:t>
      </w:r>
    </w:p>
    <w:p w14:paraId="57349563">
      <w:pPr>
        <w:pageBreakBefore w:val="0"/>
        <w:widowControl/>
        <w:kinsoku/>
        <w:wordWrap/>
        <w:overflowPunct/>
        <w:topLinePunct w:val="0"/>
        <w:autoSpaceDE/>
        <w:autoSpaceDN/>
        <w:bidi w:val="0"/>
        <w:spacing w:line="500" w:lineRule="exact"/>
        <w:jc w:val="center"/>
        <w:textAlignment w:val="auto"/>
        <w:rPr>
          <w:rFonts w:ascii="Times New Roman" w:hAnsi="Times New Roman" w:eastAsia="仿宋" w:cs="Times New Roman"/>
          <w:b/>
          <w:bCs/>
          <w:color w:val="auto"/>
          <w:sz w:val="24"/>
        </w:rPr>
      </w:pPr>
      <w:r>
        <w:rPr>
          <w:rFonts w:ascii="Times New Roman" w:hAnsi="Times New Roman" w:eastAsia="仿宋" w:cs="Times New Roman"/>
          <w:b/>
          <w:bCs/>
          <w:color w:val="auto"/>
          <w:sz w:val="24"/>
        </w:rPr>
        <w:t>表</w:t>
      </w:r>
      <w:r>
        <w:rPr>
          <w:rFonts w:hint="eastAsia" w:ascii="Times New Roman" w:hAnsi="Times New Roman" w:eastAsia="仿宋" w:cs="Times New Roman"/>
          <w:b/>
          <w:bCs/>
          <w:color w:val="auto"/>
          <w:sz w:val="24"/>
        </w:rPr>
        <w:t>2.1.5.7-1</w:t>
      </w:r>
      <w:r>
        <w:rPr>
          <w:rFonts w:hint="eastAsia" w:ascii="Times New Roman" w:hAnsi="Times New Roman" w:eastAsia="仿宋" w:cs="Times New Roman"/>
          <w:b/>
          <w:bCs/>
          <w:color w:val="auto"/>
          <w:sz w:val="24"/>
          <w:lang w:val="en-US" w:eastAsia="zh-CN"/>
        </w:rPr>
        <w:t>新平县</w:t>
      </w:r>
      <w:r>
        <w:rPr>
          <w:rFonts w:ascii="Times New Roman" w:hAnsi="Times New Roman" w:eastAsia="仿宋" w:cs="Times New Roman"/>
          <w:b/>
          <w:bCs/>
          <w:color w:val="auto"/>
          <w:sz w:val="24"/>
        </w:rPr>
        <w:t>自然保护地统计表</w:t>
      </w:r>
    </w:p>
    <w:tbl>
      <w:tblPr>
        <w:tblStyle w:val="25"/>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0"/>
        <w:gridCol w:w="1650"/>
        <w:gridCol w:w="994"/>
        <w:gridCol w:w="1252"/>
        <w:gridCol w:w="977"/>
        <w:gridCol w:w="942"/>
        <w:gridCol w:w="2014"/>
      </w:tblGrid>
      <w:tr w14:paraId="5528C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404" w:type="pct"/>
            <w:noWrap w:val="0"/>
            <w:vAlign w:val="center"/>
          </w:tcPr>
          <w:p w14:paraId="0BABEDBA">
            <w:pPr>
              <w:spacing w:line="400" w:lineRule="exact"/>
              <w:jc w:val="center"/>
              <w:outlineLvl w:val="3"/>
              <w:rPr>
                <w:rFonts w:hint="default" w:ascii="Times New Roman" w:hAnsi="Times New Roman" w:eastAsia="仿宋" w:cs="Times New Roman"/>
                <w:b/>
                <w:bCs/>
                <w:color w:val="auto"/>
                <w:sz w:val="21"/>
                <w:szCs w:val="21"/>
                <w:lang w:val="en-US" w:eastAsia="zh-CN"/>
              </w:rPr>
            </w:pPr>
            <w:r>
              <w:rPr>
                <w:rFonts w:hint="eastAsia" w:ascii="Times New Roman" w:hAnsi="Times New Roman" w:eastAsia="仿宋" w:cs="Times New Roman"/>
                <w:b/>
                <w:bCs/>
                <w:color w:val="auto"/>
                <w:sz w:val="21"/>
                <w:szCs w:val="21"/>
                <w:lang w:val="en-US" w:eastAsia="zh-CN"/>
              </w:rPr>
              <w:t>序号</w:t>
            </w:r>
          </w:p>
        </w:tc>
        <w:tc>
          <w:tcPr>
            <w:tcW w:w="968" w:type="pct"/>
            <w:noWrap w:val="0"/>
            <w:vAlign w:val="center"/>
          </w:tcPr>
          <w:p w14:paraId="282611DF">
            <w:pPr>
              <w:spacing w:line="400" w:lineRule="exact"/>
              <w:jc w:val="center"/>
              <w:outlineLvl w:val="3"/>
              <w:rPr>
                <w:rFonts w:hint="default" w:ascii="Times New Roman" w:hAnsi="Times New Roman" w:eastAsia="仿宋" w:cs="Times New Roman"/>
                <w:b/>
                <w:bCs/>
                <w:color w:val="auto"/>
                <w:sz w:val="21"/>
                <w:szCs w:val="21"/>
                <w:lang w:val="en-US" w:eastAsia="zh-CN"/>
              </w:rPr>
            </w:pPr>
            <w:r>
              <w:rPr>
                <w:rFonts w:hint="default" w:ascii="Times New Roman" w:hAnsi="Times New Roman" w:eastAsia="仿宋" w:cs="Times New Roman"/>
                <w:b/>
                <w:bCs/>
                <w:color w:val="auto"/>
                <w:sz w:val="21"/>
                <w:szCs w:val="21"/>
                <w:lang w:val="en-US" w:eastAsia="zh-CN"/>
              </w:rPr>
              <w:t>自然保护地</w:t>
            </w:r>
          </w:p>
          <w:p w14:paraId="1D966351">
            <w:pPr>
              <w:spacing w:line="400" w:lineRule="exact"/>
              <w:jc w:val="center"/>
              <w:outlineLvl w:val="3"/>
              <w:rPr>
                <w:rFonts w:hint="default" w:ascii="Times New Roman" w:hAnsi="Times New Roman" w:eastAsia="仿宋" w:cs="Times New Roman"/>
                <w:b/>
                <w:bCs/>
                <w:color w:val="auto"/>
                <w:sz w:val="21"/>
                <w:szCs w:val="21"/>
                <w:lang w:val="en-US" w:eastAsia="zh-CN"/>
              </w:rPr>
            </w:pPr>
            <w:r>
              <w:rPr>
                <w:rFonts w:hint="default" w:ascii="Times New Roman" w:hAnsi="Times New Roman" w:eastAsia="仿宋" w:cs="Times New Roman"/>
                <w:b/>
                <w:bCs/>
                <w:color w:val="auto"/>
                <w:sz w:val="21"/>
                <w:szCs w:val="21"/>
                <w:lang w:val="en-US" w:eastAsia="zh-CN"/>
              </w:rPr>
              <w:t>名称</w:t>
            </w:r>
          </w:p>
        </w:tc>
        <w:tc>
          <w:tcPr>
            <w:tcW w:w="583" w:type="pct"/>
            <w:noWrap w:val="0"/>
            <w:vAlign w:val="center"/>
          </w:tcPr>
          <w:p w14:paraId="55836DC3">
            <w:pPr>
              <w:spacing w:line="400" w:lineRule="exact"/>
              <w:jc w:val="center"/>
              <w:outlineLvl w:val="3"/>
              <w:rPr>
                <w:rFonts w:hint="default" w:ascii="Times New Roman" w:hAnsi="Times New Roman" w:eastAsia="仿宋" w:cs="Times New Roman"/>
                <w:b/>
                <w:bCs/>
                <w:color w:val="auto"/>
                <w:sz w:val="21"/>
                <w:szCs w:val="21"/>
                <w:lang w:val="en-US" w:eastAsia="zh-CN"/>
              </w:rPr>
            </w:pPr>
            <w:r>
              <w:rPr>
                <w:rFonts w:hint="default" w:ascii="Times New Roman" w:hAnsi="Times New Roman" w:eastAsia="仿宋" w:cs="Times New Roman"/>
                <w:b/>
                <w:bCs/>
                <w:color w:val="auto"/>
                <w:sz w:val="21"/>
                <w:szCs w:val="21"/>
                <w:lang w:val="en-US" w:eastAsia="zh-CN"/>
              </w:rPr>
              <w:t>建立时间</w:t>
            </w:r>
          </w:p>
        </w:tc>
        <w:tc>
          <w:tcPr>
            <w:tcW w:w="734" w:type="pct"/>
            <w:noWrap w:val="0"/>
            <w:vAlign w:val="center"/>
          </w:tcPr>
          <w:p w14:paraId="4C6B3615">
            <w:pPr>
              <w:spacing w:line="400" w:lineRule="exact"/>
              <w:jc w:val="center"/>
              <w:outlineLvl w:val="3"/>
              <w:rPr>
                <w:rFonts w:hint="eastAsia" w:ascii="Times New Roman" w:hAnsi="Times New Roman" w:eastAsia="仿宋" w:cs="Times New Roman"/>
                <w:b/>
                <w:bCs/>
                <w:color w:val="auto"/>
                <w:sz w:val="21"/>
                <w:szCs w:val="21"/>
                <w:lang w:val="en-US" w:eastAsia="zh-CN"/>
              </w:rPr>
            </w:pPr>
            <w:r>
              <w:rPr>
                <w:rFonts w:hint="eastAsia" w:ascii="Times New Roman" w:hAnsi="Times New Roman" w:eastAsia="仿宋" w:cs="Times New Roman"/>
                <w:b/>
                <w:bCs/>
                <w:color w:val="auto"/>
                <w:sz w:val="21"/>
                <w:szCs w:val="21"/>
                <w:lang w:val="en-US" w:eastAsia="zh-CN"/>
              </w:rPr>
              <w:t>批准设立部门</w:t>
            </w:r>
          </w:p>
        </w:tc>
        <w:tc>
          <w:tcPr>
            <w:tcW w:w="573" w:type="pct"/>
            <w:noWrap w:val="0"/>
            <w:vAlign w:val="center"/>
          </w:tcPr>
          <w:p w14:paraId="29BDE741">
            <w:pPr>
              <w:spacing w:line="400" w:lineRule="exact"/>
              <w:jc w:val="center"/>
              <w:outlineLvl w:val="3"/>
              <w:rPr>
                <w:rFonts w:hint="default" w:ascii="Times New Roman" w:hAnsi="Times New Roman" w:eastAsia="仿宋" w:cs="Times New Roman"/>
                <w:b/>
                <w:bCs/>
                <w:color w:val="auto"/>
                <w:sz w:val="21"/>
                <w:szCs w:val="21"/>
                <w:lang w:val="en-US" w:eastAsia="zh-CN"/>
              </w:rPr>
            </w:pPr>
            <w:r>
              <w:rPr>
                <w:rFonts w:hint="default" w:ascii="Times New Roman" w:hAnsi="Times New Roman" w:eastAsia="仿宋" w:cs="Times New Roman"/>
                <w:b/>
                <w:bCs/>
                <w:color w:val="auto"/>
                <w:sz w:val="21"/>
                <w:szCs w:val="21"/>
                <w:lang w:val="en-US" w:eastAsia="zh-CN"/>
              </w:rPr>
              <w:t>自然保护地</w:t>
            </w:r>
            <w:r>
              <w:rPr>
                <w:rFonts w:hint="eastAsia" w:ascii="Times New Roman" w:hAnsi="Times New Roman" w:eastAsia="仿宋" w:cs="Times New Roman"/>
                <w:b/>
                <w:bCs/>
                <w:color w:val="auto"/>
                <w:sz w:val="21"/>
                <w:szCs w:val="21"/>
                <w:lang w:val="en-US" w:eastAsia="zh-CN"/>
              </w:rPr>
              <w:t>现</w:t>
            </w:r>
            <w:r>
              <w:rPr>
                <w:rFonts w:hint="default" w:ascii="Times New Roman" w:hAnsi="Times New Roman" w:eastAsia="仿宋" w:cs="Times New Roman"/>
                <w:b/>
                <w:bCs/>
                <w:color w:val="auto"/>
                <w:sz w:val="21"/>
                <w:szCs w:val="21"/>
                <w:lang w:val="en-US" w:eastAsia="zh-CN"/>
              </w:rPr>
              <w:t>级别</w:t>
            </w:r>
          </w:p>
        </w:tc>
        <w:tc>
          <w:tcPr>
            <w:tcW w:w="552" w:type="pct"/>
            <w:noWrap w:val="0"/>
            <w:vAlign w:val="center"/>
          </w:tcPr>
          <w:p w14:paraId="6340A092">
            <w:pPr>
              <w:spacing w:line="400" w:lineRule="exact"/>
              <w:jc w:val="center"/>
              <w:outlineLvl w:val="3"/>
              <w:rPr>
                <w:rFonts w:hint="eastAsia" w:ascii="Times New Roman" w:hAnsi="Times New Roman" w:eastAsia="仿宋" w:cs="Times New Roman"/>
                <w:b/>
                <w:bCs/>
                <w:color w:val="auto"/>
                <w:sz w:val="21"/>
                <w:szCs w:val="21"/>
                <w:lang w:val="en-US" w:eastAsia="zh-CN"/>
              </w:rPr>
            </w:pPr>
            <w:r>
              <w:rPr>
                <w:rFonts w:hint="eastAsia" w:ascii="Times New Roman" w:hAnsi="Times New Roman" w:eastAsia="仿宋" w:cs="Times New Roman"/>
                <w:b/>
                <w:bCs/>
                <w:color w:val="auto"/>
                <w:sz w:val="21"/>
                <w:szCs w:val="21"/>
                <w:lang w:val="en-US" w:eastAsia="zh-CN"/>
              </w:rPr>
              <w:t>面积（hm</w:t>
            </w:r>
            <w:r>
              <w:rPr>
                <w:rFonts w:hint="eastAsia" w:ascii="Times New Roman" w:hAnsi="Times New Roman" w:eastAsia="仿宋" w:cs="Times New Roman"/>
                <w:b/>
                <w:bCs/>
                <w:color w:val="auto"/>
                <w:sz w:val="21"/>
                <w:szCs w:val="21"/>
                <w:vertAlign w:val="superscript"/>
                <w:lang w:val="en-US" w:eastAsia="zh-CN"/>
              </w:rPr>
              <w:t>2</w:t>
            </w:r>
            <w:r>
              <w:rPr>
                <w:rFonts w:hint="eastAsia" w:ascii="Times New Roman" w:hAnsi="Times New Roman" w:eastAsia="仿宋" w:cs="Times New Roman"/>
                <w:b/>
                <w:bCs/>
                <w:color w:val="auto"/>
                <w:sz w:val="21"/>
                <w:szCs w:val="21"/>
                <w:lang w:val="en-US" w:eastAsia="zh-CN"/>
              </w:rPr>
              <w:t>）</w:t>
            </w:r>
          </w:p>
        </w:tc>
        <w:tc>
          <w:tcPr>
            <w:tcW w:w="1182" w:type="pct"/>
            <w:noWrap w:val="0"/>
            <w:vAlign w:val="center"/>
          </w:tcPr>
          <w:p w14:paraId="31CA25F9">
            <w:pPr>
              <w:spacing w:line="400" w:lineRule="exact"/>
              <w:jc w:val="center"/>
              <w:outlineLvl w:val="3"/>
              <w:rPr>
                <w:rFonts w:hint="eastAsia" w:ascii="Times New Roman" w:hAnsi="Times New Roman" w:eastAsia="仿宋" w:cs="Times New Roman"/>
                <w:b/>
                <w:bCs/>
                <w:color w:val="auto"/>
                <w:sz w:val="21"/>
                <w:szCs w:val="21"/>
                <w:lang w:val="en-US" w:eastAsia="zh-CN"/>
              </w:rPr>
            </w:pPr>
            <w:r>
              <w:rPr>
                <w:rFonts w:hint="eastAsia" w:ascii="Times New Roman" w:hAnsi="Times New Roman" w:eastAsia="仿宋" w:cs="Times New Roman"/>
                <w:b/>
                <w:bCs/>
                <w:color w:val="auto"/>
                <w:sz w:val="21"/>
                <w:szCs w:val="21"/>
                <w:lang w:val="en-US" w:eastAsia="zh-CN"/>
              </w:rPr>
              <w:t>主要保护对象</w:t>
            </w:r>
          </w:p>
        </w:tc>
      </w:tr>
      <w:tr w14:paraId="5BF50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4" w:type="pct"/>
            <w:noWrap w:val="0"/>
            <w:vAlign w:val="center"/>
          </w:tcPr>
          <w:p w14:paraId="53226F1E">
            <w:pPr>
              <w:spacing w:line="400" w:lineRule="exact"/>
              <w:jc w:val="center"/>
              <w:outlineLvl w:val="3"/>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1</w:t>
            </w:r>
          </w:p>
        </w:tc>
        <w:tc>
          <w:tcPr>
            <w:tcW w:w="968" w:type="pct"/>
            <w:noWrap w:val="0"/>
            <w:vAlign w:val="center"/>
          </w:tcPr>
          <w:p w14:paraId="09FCCD67">
            <w:pPr>
              <w:spacing w:line="400" w:lineRule="exact"/>
              <w:jc w:val="center"/>
              <w:outlineLvl w:val="3"/>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云南哀牢山国家级自然保护区</w:t>
            </w:r>
          </w:p>
        </w:tc>
        <w:tc>
          <w:tcPr>
            <w:tcW w:w="583" w:type="pct"/>
            <w:noWrap w:val="0"/>
            <w:vAlign w:val="center"/>
          </w:tcPr>
          <w:p w14:paraId="11C7050D">
            <w:pPr>
              <w:spacing w:line="400" w:lineRule="exact"/>
              <w:jc w:val="center"/>
              <w:outlineLvl w:val="3"/>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1986年</w:t>
            </w:r>
          </w:p>
        </w:tc>
        <w:tc>
          <w:tcPr>
            <w:tcW w:w="734" w:type="pct"/>
            <w:noWrap w:val="0"/>
            <w:vAlign w:val="center"/>
          </w:tcPr>
          <w:p w14:paraId="7DA035DF">
            <w:pPr>
              <w:spacing w:line="400" w:lineRule="exact"/>
              <w:jc w:val="center"/>
              <w:outlineLvl w:val="3"/>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云南省人民政府</w:t>
            </w:r>
          </w:p>
        </w:tc>
        <w:tc>
          <w:tcPr>
            <w:tcW w:w="573" w:type="pct"/>
            <w:noWrap w:val="0"/>
            <w:vAlign w:val="center"/>
          </w:tcPr>
          <w:p w14:paraId="1A0E1272">
            <w:pPr>
              <w:spacing w:line="400" w:lineRule="exact"/>
              <w:jc w:val="center"/>
              <w:outlineLvl w:val="3"/>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国家级</w:t>
            </w:r>
          </w:p>
        </w:tc>
        <w:tc>
          <w:tcPr>
            <w:tcW w:w="552" w:type="pct"/>
            <w:noWrap w:val="0"/>
            <w:vAlign w:val="center"/>
          </w:tcPr>
          <w:p w14:paraId="668E0E76">
            <w:pPr>
              <w:spacing w:line="400" w:lineRule="exact"/>
              <w:jc w:val="center"/>
              <w:outlineLvl w:val="3"/>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14275</w:t>
            </w:r>
          </w:p>
        </w:tc>
        <w:tc>
          <w:tcPr>
            <w:tcW w:w="1182" w:type="pct"/>
            <w:noWrap w:val="0"/>
            <w:vAlign w:val="center"/>
          </w:tcPr>
          <w:p w14:paraId="1A6E1430">
            <w:pPr>
              <w:spacing w:line="400" w:lineRule="exact"/>
              <w:jc w:val="center"/>
              <w:outlineLvl w:val="3"/>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以云南特有树种为优势的中山湿性常绿阔叶林生态系统和黑冠长臂猿等珍稀野生动植物</w:t>
            </w:r>
          </w:p>
        </w:tc>
      </w:tr>
      <w:tr w14:paraId="423E0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4" w:type="pct"/>
            <w:noWrap w:val="0"/>
            <w:vAlign w:val="center"/>
          </w:tcPr>
          <w:p w14:paraId="3A6FF8A3">
            <w:pPr>
              <w:spacing w:line="400" w:lineRule="exact"/>
              <w:jc w:val="center"/>
              <w:outlineLvl w:val="3"/>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2</w:t>
            </w:r>
          </w:p>
        </w:tc>
        <w:tc>
          <w:tcPr>
            <w:tcW w:w="968" w:type="pct"/>
            <w:noWrap w:val="0"/>
            <w:vAlign w:val="center"/>
          </w:tcPr>
          <w:p w14:paraId="5C6DAA7C">
            <w:pPr>
              <w:spacing w:line="400" w:lineRule="exact"/>
              <w:jc w:val="center"/>
              <w:outlineLvl w:val="3"/>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玉溪玉白顶市级自然保护区</w:t>
            </w:r>
          </w:p>
        </w:tc>
        <w:tc>
          <w:tcPr>
            <w:tcW w:w="583" w:type="pct"/>
            <w:noWrap w:val="0"/>
            <w:vAlign w:val="center"/>
          </w:tcPr>
          <w:p w14:paraId="6EB078FD">
            <w:pPr>
              <w:spacing w:line="400" w:lineRule="exact"/>
              <w:jc w:val="center"/>
              <w:outlineLvl w:val="3"/>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2003年</w:t>
            </w:r>
          </w:p>
        </w:tc>
        <w:tc>
          <w:tcPr>
            <w:tcW w:w="734" w:type="pct"/>
            <w:noWrap w:val="0"/>
            <w:vAlign w:val="center"/>
          </w:tcPr>
          <w:p w14:paraId="7C5D8A9C">
            <w:pPr>
              <w:spacing w:line="400" w:lineRule="exact"/>
              <w:jc w:val="center"/>
              <w:outlineLvl w:val="3"/>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玉溪市人民政府</w:t>
            </w:r>
          </w:p>
        </w:tc>
        <w:tc>
          <w:tcPr>
            <w:tcW w:w="573" w:type="pct"/>
            <w:noWrap w:val="0"/>
            <w:vAlign w:val="center"/>
          </w:tcPr>
          <w:p w14:paraId="5E50F4D0">
            <w:pPr>
              <w:spacing w:line="400" w:lineRule="exact"/>
              <w:jc w:val="center"/>
              <w:outlineLvl w:val="3"/>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市级</w:t>
            </w:r>
          </w:p>
        </w:tc>
        <w:tc>
          <w:tcPr>
            <w:tcW w:w="552" w:type="pct"/>
            <w:noWrap w:val="0"/>
            <w:vAlign w:val="center"/>
          </w:tcPr>
          <w:p w14:paraId="55D686CE">
            <w:pPr>
              <w:spacing w:line="400" w:lineRule="exact"/>
              <w:jc w:val="center"/>
              <w:outlineLvl w:val="3"/>
              <w:rPr>
                <w:rFonts w:hint="eastAsia" w:ascii="Times New Roman" w:hAnsi="Times New Roman" w:eastAsia="仿宋" w:cs="Times New Roman"/>
                <w:b w:val="0"/>
                <w:bCs w:val="0"/>
                <w:color w:val="auto"/>
                <w:sz w:val="21"/>
                <w:szCs w:val="21"/>
                <w:lang w:val="en-US" w:eastAsia="zh-CN"/>
              </w:rPr>
            </w:pPr>
            <w:r>
              <w:rPr>
                <w:rFonts w:hint="default" w:ascii="Times New Roman" w:hAnsi="Times New Roman" w:eastAsia="仿宋" w:cs="Times New Roman"/>
                <w:b w:val="0"/>
                <w:bCs w:val="0"/>
                <w:color w:val="auto"/>
                <w:sz w:val="21"/>
                <w:szCs w:val="21"/>
                <w:lang w:val="en-US" w:eastAsia="zh-CN"/>
              </w:rPr>
              <w:t>4865.3</w:t>
            </w:r>
          </w:p>
        </w:tc>
        <w:tc>
          <w:tcPr>
            <w:tcW w:w="1182" w:type="pct"/>
            <w:noWrap w:val="0"/>
            <w:vAlign w:val="center"/>
          </w:tcPr>
          <w:p w14:paraId="46F5D9BE">
            <w:pPr>
              <w:spacing w:line="400" w:lineRule="exact"/>
              <w:jc w:val="center"/>
              <w:outlineLvl w:val="3"/>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森林生态系统、自然景观和水源林</w:t>
            </w:r>
          </w:p>
        </w:tc>
      </w:tr>
      <w:tr w14:paraId="66E48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4" w:type="pct"/>
            <w:noWrap w:val="0"/>
            <w:vAlign w:val="center"/>
          </w:tcPr>
          <w:p w14:paraId="5C335F55">
            <w:pPr>
              <w:spacing w:line="400" w:lineRule="exact"/>
              <w:jc w:val="center"/>
              <w:outlineLvl w:val="3"/>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3</w:t>
            </w:r>
          </w:p>
        </w:tc>
        <w:tc>
          <w:tcPr>
            <w:tcW w:w="968" w:type="pct"/>
            <w:noWrap w:val="0"/>
            <w:vAlign w:val="center"/>
          </w:tcPr>
          <w:p w14:paraId="1363B6BB">
            <w:pPr>
              <w:spacing w:line="400" w:lineRule="exact"/>
              <w:jc w:val="center"/>
              <w:outlineLvl w:val="3"/>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云南磨盘山国家级森林公园</w:t>
            </w:r>
          </w:p>
        </w:tc>
        <w:tc>
          <w:tcPr>
            <w:tcW w:w="583" w:type="pct"/>
            <w:noWrap w:val="0"/>
            <w:vAlign w:val="center"/>
          </w:tcPr>
          <w:p w14:paraId="332B1854">
            <w:pPr>
              <w:spacing w:line="400" w:lineRule="exact"/>
              <w:jc w:val="center"/>
              <w:outlineLvl w:val="3"/>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1992年</w:t>
            </w:r>
          </w:p>
        </w:tc>
        <w:tc>
          <w:tcPr>
            <w:tcW w:w="734" w:type="pct"/>
            <w:noWrap w:val="0"/>
            <w:vAlign w:val="center"/>
          </w:tcPr>
          <w:p w14:paraId="3FE8A620">
            <w:pPr>
              <w:spacing w:line="400" w:lineRule="exact"/>
              <w:jc w:val="center"/>
              <w:outlineLvl w:val="3"/>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原林业部</w:t>
            </w:r>
          </w:p>
        </w:tc>
        <w:tc>
          <w:tcPr>
            <w:tcW w:w="573" w:type="pct"/>
            <w:noWrap w:val="0"/>
            <w:vAlign w:val="center"/>
          </w:tcPr>
          <w:p w14:paraId="40180280">
            <w:pPr>
              <w:spacing w:line="400" w:lineRule="exact"/>
              <w:jc w:val="center"/>
              <w:outlineLvl w:val="3"/>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国家级</w:t>
            </w:r>
          </w:p>
        </w:tc>
        <w:tc>
          <w:tcPr>
            <w:tcW w:w="552" w:type="pct"/>
            <w:noWrap w:val="0"/>
            <w:vAlign w:val="center"/>
          </w:tcPr>
          <w:p w14:paraId="48BD552A">
            <w:pPr>
              <w:spacing w:line="400" w:lineRule="exact"/>
              <w:jc w:val="center"/>
              <w:outlineLvl w:val="3"/>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24200</w:t>
            </w:r>
          </w:p>
        </w:tc>
        <w:tc>
          <w:tcPr>
            <w:tcW w:w="1182" w:type="pct"/>
            <w:noWrap w:val="0"/>
            <w:vAlign w:val="center"/>
          </w:tcPr>
          <w:p w14:paraId="7ABC8569">
            <w:pPr>
              <w:spacing w:line="400" w:lineRule="exact"/>
              <w:jc w:val="center"/>
              <w:outlineLvl w:val="3"/>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中山湿性常绿阔叶林</w:t>
            </w:r>
          </w:p>
        </w:tc>
      </w:tr>
      <w:tr w14:paraId="7086A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4" w:type="pct"/>
            <w:noWrap w:val="0"/>
            <w:vAlign w:val="center"/>
          </w:tcPr>
          <w:p w14:paraId="0543D200">
            <w:pPr>
              <w:spacing w:line="400" w:lineRule="exact"/>
              <w:jc w:val="center"/>
              <w:outlineLvl w:val="3"/>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4</w:t>
            </w:r>
          </w:p>
        </w:tc>
        <w:tc>
          <w:tcPr>
            <w:tcW w:w="968" w:type="pct"/>
            <w:noWrap w:val="0"/>
            <w:vAlign w:val="center"/>
          </w:tcPr>
          <w:p w14:paraId="0B7B5A6D">
            <w:pPr>
              <w:spacing w:line="400" w:lineRule="exact"/>
              <w:jc w:val="center"/>
              <w:outlineLvl w:val="3"/>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新平哀牢山县级自然保护区</w:t>
            </w:r>
          </w:p>
        </w:tc>
        <w:tc>
          <w:tcPr>
            <w:tcW w:w="583" w:type="pct"/>
            <w:noWrap w:val="0"/>
            <w:vAlign w:val="center"/>
          </w:tcPr>
          <w:p w14:paraId="5C57E287">
            <w:pPr>
              <w:spacing w:line="400" w:lineRule="exact"/>
              <w:jc w:val="center"/>
              <w:outlineLvl w:val="3"/>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1983年</w:t>
            </w:r>
          </w:p>
        </w:tc>
        <w:tc>
          <w:tcPr>
            <w:tcW w:w="734" w:type="pct"/>
            <w:noWrap w:val="0"/>
            <w:vAlign w:val="center"/>
          </w:tcPr>
          <w:p w14:paraId="0A555C4F">
            <w:pPr>
              <w:spacing w:line="400" w:lineRule="exact"/>
              <w:jc w:val="center"/>
              <w:outlineLvl w:val="3"/>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新平县人民政府</w:t>
            </w:r>
          </w:p>
        </w:tc>
        <w:tc>
          <w:tcPr>
            <w:tcW w:w="573" w:type="pct"/>
            <w:noWrap w:val="0"/>
            <w:vAlign w:val="center"/>
          </w:tcPr>
          <w:p w14:paraId="012B0A37">
            <w:pPr>
              <w:spacing w:line="400" w:lineRule="exact"/>
              <w:jc w:val="center"/>
              <w:outlineLvl w:val="3"/>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县级</w:t>
            </w:r>
          </w:p>
        </w:tc>
        <w:tc>
          <w:tcPr>
            <w:tcW w:w="552" w:type="pct"/>
            <w:noWrap w:val="0"/>
            <w:vAlign w:val="center"/>
          </w:tcPr>
          <w:p w14:paraId="2884C3CD">
            <w:pPr>
              <w:spacing w:line="400" w:lineRule="exact"/>
              <w:jc w:val="center"/>
              <w:outlineLvl w:val="3"/>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10236</w:t>
            </w:r>
          </w:p>
        </w:tc>
        <w:tc>
          <w:tcPr>
            <w:tcW w:w="1182" w:type="pct"/>
            <w:noWrap w:val="0"/>
            <w:vAlign w:val="center"/>
          </w:tcPr>
          <w:p w14:paraId="57072C62">
            <w:pPr>
              <w:spacing w:line="400" w:lineRule="exact"/>
              <w:jc w:val="center"/>
              <w:outlineLvl w:val="3"/>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以云南特有树种为优势的中山湿性常绿阔叶林生态系统和黑冠长臂猿等珍稀野生动植物</w:t>
            </w:r>
          </w:p>
        </w:tc>
      </w:tr>
      <w:tr w14:paraId="007D6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4" w:type="pct"/>
            <w:noWrap w:val="0"/>
            <w:vAlign w:val="center"/>
          </w:tcPr>
          <w:p w14:paraId="2B8FF94D">
            <w:pPr>
              <w:spacing w:line="400" w:lineRule="exact"/>
              <w:jc w:val="center"/>
              <w:outlineLvl w:val="3"/>
              <w:rPr>
                <w:rFonts w:hint="default"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5</w:t>
            </w:r>
          </w:p>
        </w:tc>
        <w:tc>
          <w:tcPr>
            <w:tcW w:w="968" w:type="pct"/>
            <w:noWrap w:val="0"/>
            <w:vAlign w:val="center"/>
          </w:tcPr>
          <w:p w14:paraId="38A77FAD">
            <w:pPr>
              <w:spacing w:line="400" w:lineRule="exact"/>
              <w:jc w:val="center"/>
              <w:outlineLvl w:val="3"/>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新平磨盘山县级自然保护区</w:t>
            </w:r>
          </w:p>
        </w:tc>
        <w:tc>
          <w:tcPr>
            <w:tcW w:w="583" w:type="pct"/>
            <w:noWrap w:val="0"/>
            <w:vAlign w:val="center"/>
          </w:tcPr>
          <w:p w14:paraId="595E17F2">
            <w:pPr>
              <w:spacing w:line="400" w:lineRule="exact"/>
              <w:jc w:val="center"/>
              <w:outlineLvl w:val="3"/>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1989年</w:t>
            </w:r>
          </w:p>
        </w:tc>
        <w:tc>
          <w:tcPr>
            <w:tcW w:w="734" w:type="pct"/>
            <w:noWrap w:val="0"/>
            <w:vAlign w:val="center"/>
          </w:tcPr>
          <w:p w14:paraId="4484FA5B">
            <w:pPr>
              <w:spacing w:line="400" w:lineRule="exact"/>
              <w:jc w:val="center"/>
              <w:outlineLvl w:val="3"/>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新平县人民政府</w:t>
            </w:r>
          </w:p>
        </w:tc>
        <w:tc>
          <w:tcPr>
            <w:tcW w:w="573" w:type="pct"/>
            <w:noWrap w:val="0"/>
            <w:vAlign w:val="center"/>
          </w:tcPr>
          <w:p w14:paraId="2B6C4B0A">
            <w:pPr>
              <w:spacing w:line="400" w:lineRule="exact"/>
              <w:jc w:val="center"/>
              <w:outlineLvl w:val="3"/>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县级</w:t>
            </w:r>
          </w:p>
        </w:tc>
        <w:tc>
          <w:tcPr>
            <w:tcW w:w="552" w:type="pct"/>
            <w:noWrap w:val="0"/>
            <w:vAlign w:val="center"/>
          </w:tcPr>
          <w:p w14:paraId="15BFE6DF">
            <w:pPr>
              <w:spacing w:line="400" w:lineRule="exact"/>
              <w:jc w:val="center"/>
              <w:outlineLvl w:val="3"/>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5836.73</w:t>
            </w:r>
          </w:p>
        </w:tc>
        <w:tc>
          <w:tcPr>
            <w:tcW w:w="1182" w:type="pct"/>
            <w:noWrap w:val="0"/>
            <w:vAlign w:val="center"/>
          </w:tcPr>
          <w:p w14:paraId="1A43DC0A">
            <w:pPr>
              <w:spacing w:line="400" w:lineRule="exact"/>
              <w:jc w:val="center"/>
              <w:outlineLvl w:val="3"/>
              <w:rPr>
                <w:rFonts w:hint="eastAsia" w:ascii="Times New Roman" w:hAnsi="Times New Roman" w:eastAsia="仿宋" w:cs="Times New Roman"/>
                <w:b w:val="0"/>
                <w:bCs w:val="0"/>
                <w:color w:val="auto"/>
                <w:sz w:val="21"/>
                <w:szCs w:val="21"/>
                <w:lang w:val="en-US" w:eastAsia="zh-CN"/>
              </w:rPr>
            </w:pPr>
            <w:r>
              <w:rPr>
                <w:rFonts w:hint="eastAsia" w:ascii="Times New Roman" w:hAnsi="Times New Roman" w:eastAsia="仿宋" w:cs="Times New Roman"/>
                <w:b w:val="0"/>
                <w:bCs w:val="0"/>
                <w:color w:val="auto"/>
                <w:sz w:val="21"/>
                <w:szCs w:val="21"/>
                <w:lang w:val="en-US" w:eastAsia="zh-CN"/>
              </w:rPr>
              <w:t>中山湿性常绿阔叶林</w:t>
            </w:r>
          </w:p>
        </w:tc>
      </w:tr>
    </w:tbl>
    <w:p w14:paraId="53A114FD">
      <w:pPr>
        <w:pStyle w:val="6"/>
        <w:pageBreakBefore w:val="0"/>
        <w:kinsoku/>
        <w:wordWrap/>
        <w:overflowPunct/>
        <w:topLinePunct w:val="0"/>
        <w:autoSpaceDE/>
        <w:autoSpaceDN/>
        <w:bidi w:val="0"/>
        <w:spacing w:line="500" w:lineRule="exact"/>
        <w:textAlignment w:val="auto"/>
        <w:rPr>
          <w:rFonts w:hint="eastAsia" w:ascii="Times New Roman" w:hAnsi="Times New Roman" w:eastAsia="仿宋" w:cs="Times New Roman"/>
          <w:b/>
          <w:bCs/>
          <w:snapToGrid w:val="0"/>
          <w:color w:val="auto"/>
          <w:kern w:val="2"/>
          <w:sz w:val="28"/>
          <w:szCs w:val="32"/>
          <w:lang w:val="en-US" w:eastAsia="zh-CN" w:bidi="ar-SA"/>
        </w:rPr>
      </w:pPr>
      <w:r>
        <w:rPr>
          <w:rFonts w:ascii="Times New Roman" w:hAnsi="Times New Roman" w:eastAsia="仿宋" w:cs="Times New Roman"/>
          <w:b/>
          <w:bCs/>
          <w:snapToGrid w:val="0"/>
          <w:color w:val="auto"/>
          <w:kern w:val="2"/>
          <w:sz w:val="28"/>
          <w:szCs w:val="32"/>
          <w:lang w:val="en-US" w:eastAsia="zh-CN" w:bidi="ar-SA"/>
        </w:rPr>
        <w:t>2.1.5.8生物多样性</w:t>
      </w:r>
      <w:r>
        <w:rPr>
          <w:rFonts w:hint="eastAsia" w:ascii="Times New Roman" w:hAnsi="Times New Roman" w:eastAsia="仿宋" w:cs="Times New Roman"/>
          <w:b/>
          <w:bCs/>
          <w:snapToGrid w:val="0"/>
          <w:color w:val="auto"/>
          <w:kern w:val="2"/>
          <w:sz w:val="28"/>
          <w:szCs w:val="32"/>
          <w:lang w:val="en-US" w:eastAsia="zh-CN" w:bidi="ar-SA"/>
        </w:rPr>
        <w:t>现状</w:t>
      </w:r>
    </w:p>
    <w:p w14:paraId="4885F709">
      <w:pPr>
        <w:keepNext w:val="0"/>
        <w:keepLines w:val="0"/>
        <w:pageBreakBefore w:val="0"/>
        <w:widowControl/>
        <w:suppressLineNumbers w:val="0"/>
        <w:kinsoku/>
        <w:wordWrap/>
        <w:overflowPunct/>
        <w:topLinePunct w:val="0"/>
        <w:autoSpaceDE/>
        <w:autoSpaceDN/>
        <w:bidi w:val="0"/>
        <w:adjustRightInd/>
        <w:snapToGrid/>
        <w:spacing w:line="500" w:lineRule="exact"/>
        <w:ind w:firstLine="560" w:firstLineChars="200"/>
        <w:jc w:val="left"/>
        <w:textAlignment w:val="auto"/>
        <w:rPr>
          <w:rFonts w:hint="eastAsia" w:ascii="Times New Roman" w:hAnsi="Times New Roman" w:eastAsia="方正仿宋_GBK" w:cs="方正仿宋_GBK"/>
          <w:b w:val="0"/>
          <w:bCs w:val="0"/>
          <w:color w:val="auto"/>
          <w:sz w:val="28"/>
          <w:szCs w:val="28"/>
          <w:lang w:val="en-US" w:eastAsia="zh-CN"/>
        </w:rPr>
      </w:pPr>
      <w:r>
        <w:rPr>
          <w:rFonts w:hint="eastAsia" w:ascii="Times New Roman" w:hAnsi="Times New Roman" w:eastAsia="方正仿宋_GBK" w:cs="方正仿宋_GBK"/>
          <w:b w:val="0"/>
          <w:bCs w:val="0"/>
          <w:color w:val="auto"/>
          <w:sz w:val="28"/>
          <w:szCs w:val="28"/>
          <w:lang w:val="en-US" w:eastAsia="zh-CN"/>
        </w:rPr>
        <w:t>根据《新平县分布国家重点保护野生动植物目录（2021年）》，新平县境内国家一级保护植物有4种，分别是滇南苏铁、陈氏苏铁、文山兜兰、南方红豆杉；国家二级保护植物有桧叶白发藓、苔藓林石杉、福建莲座蕨、中华桫椤、桫椤、翠柏、西康天女花（西康玉兰）、合果木、润楠、狭叶重楼、白及、杜鹃兰、建兰、长叶兰、多花兰、春兰、硬叶兰、莲瓣兰、西藏虎头兰、滇金石斛、玫瑰石斛、晶帽石斛、流苏石斛、小黄花石斛、美花石斛、细茎石斛、石斛、球花石斛、原天麻、华西蝴蝶兰、独蒜兰、大花独蒜兰、毛唇独蒜兰、云南独蒜兰、云南火焰兰、红河火焰兰、钻喙兰、龙棕、疣粒野生稻、箭叶大油芒、八角莲、水青树、云南红景天、野大豆、花榈木、大花香水月季等共71种。</w:t>
      </w:r>
    </w:p>
    <w:p w14:paraId="06AB74B9">
      <w:pPr>
        <w:keepNext w:val="0"/>
        <w:keepLines w:val="0"/>
        <w:pageBreakBefore w:val="0"/>
        <w:widowControl/>
        <w:suppressLineNumbers w:val="0"/>
        <w:kinsoku/>
        <w:wordWrap/>
        <w:overflowPunct/>
        <w:topLinePunct w:val="0"/>
        <w:autoSpaceDE/>
        <w:autoSpaceDN/>
        <w:bidi w:val="0"/>
        <w:adjustRightInd/>
        <w:snapToGrid/>
        <w:spacing w:line="500" w:lineRule="exact"/>
        <w:ind w:firstLine="560" w:firstLineChars="200"/>
        <w:jc w:val="left"/>
        <w:textAlignment w:val="auto"/>
        <w:rPr>
          <w:rFonts w:hint="eastAsia" w:ascii="Times New Roman" w:hAnsi="Times New Roman" w:eastAsia="方正仿宋_GBK" w:cs="方正仿宋_GBK"/>
          <w:b w:val="0"/>
          <w:bCs w:val="0"/>
          <w:color w:val="auto"/>
          <w:sz w:val="28"/>
          <w:szCs w:val="28"/>
          <w:lang w:val="en-US" w:eastAsia="zh-CN"/>
        </w:rPr>
      </w:pPr>
      <w:r>
        <w:rPr>
          <w:rFonts w:hint="eastAsia" w:ascii="Times New Roman" w:hAnsi="Times New Roman" w:eastAsia="方正仿宋_GBK" w:cs="方正仿宋_GBK"/>
          <w:b w:val="0"/>
          <w:bCs w:val="0"/>
          <w:color w:val="auto"/>
          <w:sz w:val="28"/>
          <w:szCs w:val="28"/>
          <w:lang w:val="en-US" w:eastAsia="zh-CN"/>
        </w:rPr>
        <w:t>新平县境内国家一级保护动物共21种，分别是印支灰叶猴、西黑冠长臂猿、穿山甲、豺、大灵猫、小灵猫、缟灵猫、丛林猫、金猫、云豹、林麝、黑颈长尾雉、绿孔雀、黑鹳、海南鳽、黑兀鹫、冠斑犀鸟、棕头歌鸲、黄胸鹀、圆鼻巨蜥；国家二级保护动物有短尾猴、熊猴、猕猴、貉、赤狐、黑熊、黄喉貂、斑林狸、云猫、豹猫、水鹿、毛冠鹿、缅甸斑羚、中华斑羚、中华鬛羚、巨松鼠、环颈山鹧鸪、红喉山鹧鸪、绿脚树鹧鸪、红腹角雉、白鹇、红原鸡、白腹锦鸡、鸳鸯、斑尾鹃鸠、灰头绿鸠、厚嘴绿鸠、针尾绿鸠、楔尾绿鸠、褐翅鸦鹃、小鸦鹃、棕背田鸡、花田鸡、凤头蜂鹰、蛇雕、林雕、白腹隼雕、凤头鹰、褐耳鹰、松雀鹰、雀鹰、白尾鹞、黑翅鸢、无棘溪蟾蜍等102种。</w:t>
      </w:r>
    </w:p>
    <w:p w14:paraId="5AACEAA5">
      <w:pPr>
        <w:keepNext w:val="0"/>
        <w:keepLines w:val="0"/>
        <w:pageBreakBefore w:val="0"/>
        <w:widowControl/>
        <w:suppressLineNumbers w:val="0"/>
        <w:kinsoku/>
        <w:wordWrap/>
        <w:overflowPunct/>
        <w:topLinePunct w:val="0"/>
        <w:autoSpaceDE/>
        <w:autoSpaceDN/>
        <w:bidi w:val="0"/>
        <w:adjustRightInd/>
        <w:snapToGrid/>
        <w:spacing w:line="500" w:lineRule="exact"/>
        <w:ind w:firstLine="560" w:firstLineChars="200"/>
        <w:jc w:val="left"/>
        <w:textAlignment w:val="auto"/>
        <w:rPr>
          <w:rFonts w:hint="eastAsia" w:ascii="Times New Roman" w:hAnsi="Times New Roman" w:eastAsia="方正仿宋_GBK" w:cs="方正仿宋_GBK"/>
          <w:b w:val="0"/>
          <w:bCs w:val="0"/>
          <w:color w:val="auto"/>
          <w:sz w:val="28"/>
          <w:szCs w:val="28"/>
          <w:lang w:val="en-US" w:eastAsia="zh-CN"/>
        </w:rPr>
      </w:pPr>
      <w:r>
        <w:rPr>
          <w:rFonts w:hint="eastAsia" w:ascii="Times New Roman" w:hAnsi="Times New Roman" w:eastAsia="方正仿宋_GBK" w:cs="方正仿宋_GBK"/>
          <w:b w:val="0"/>
          <w:bCs w:val="0"/>
          <w:color w:val="auto"/>
          <w:sz w:val="28"/>
          <w:szCs w:val="28"/>
          <w:lang w:val="en-US" w:eastAsia="zh-CN"/>
        </w:rPr>
        <w:t>综上，新平县生物多样性富集，生物资源丰富。长期以来，新平县切实加强生物多样性保护和生态修复，不断完善生物多样性保护规划及管理体系，加大监管和执法力度，生物多样性保护工作取得显著成效。</w:t>
      </w:r>
    </w:p>
    <w:p w14:paraId="6E51B1CB">
      <w:pPr>
        <w:pStyle w:val="6"/>
        <w:pageBreakBefore w:val="0"/>
        <w:kinsoku/>
        <w:wordWrap/>
        <w:overflowPunct/>
        <w:topLinePunct w:val="0"/>
        <w:autoSpaceDE/>
        <w:autoSpaceDN/>
        <w:bidi w:val="0"/>
        <w:spacing w:line="500" w:lineRule="exact"/>
        <w:textAlignment w:val="auto"/>
        <w:rPr>
          <w:rFonts w:hint="default" w:ascii="Times New Roman" w:hAnsi="Times New Roman" w:eastAsia="仿宋" w:cs="Times New Roman"/>
          <w:b/>
          <w:bCs/>
          <w:snapToGrid w:val="0"/>
          <w:color w:val="auto"/>
          <w:kern w:val="2"/>
          <w:sz w:val="28"/>
          <w:szCs w:val="32"/>
          <w:lang w:val="en-US" w:eastAsia="zh-CN" w:bidi="ar-SA"/>
        </w:rPr>
      </w:pPr>
      <w:r>
        <w:rPr>
          <w:rFonts w:ascii="Times New Roman" w:hAnsi="Times New Roman" w:eastAsia="仿宋" w:cs="Times New Roman"/>
          <w:b/>
          <w:bCs/>
          <w:snapToGrid w:val="0"/>
          <w:color w:val="auto"/>
          <w:kern w:val="2"/>
          <w:sz w:val="28"/>
          <w:szCs w:val="32"/>
          <w:lang w:val="en-US" w:eastAsia="zh-CN" w:bidi="ar-SA"/>
        </w:rPr>
        <w:t>2.1.5.9</w:t>
      </w:r>
      <w:r>
        <w:rPr>
          <w:rFonts w:hint="eastAsia" w:ascii="Times New Roman" w:hAnsi="Times New Roman" w:eastAsia="仿宋" w:cs="Times New Roman"/>
          <w:b/>
          <w:bCs/>
          <w:snapToGrid w:val="0"/>
          <w:color w:val="auto"/>
          <w:kern w:val="2"/>
          <w:sz w:val="28"/>
          <w:szCs w:val="32"/>
          <w:lang w:val="en-US" w:eastAsia="zh-CN" w:bidi="ar-SA"/>
        </w:rPr>
        <w:t>干热河谷生态修复现状</w:t>
      </w:r>
    </w:p>
    <w:p w14:paraId="7403E129">
      <w:pPr>
        <w:keepNext w:val="0"/>
        <w:keepLines w:val="0"/>
        <w:pageBreakBefore w:val="0"/>
        <w:widowControl/>
        <w:suppressLineNumbers w:val="0"/>
        <w:kinsoku/>
        <w:wordWrap/>
        <w:overflowPunct/>
        <w:topLinePunct w:val="0"/>
        <w:autoSpaceDE/>
        <w:autoSpaceDN/>
        <w:bidi w:val="0"/>
        <w:adjustRightInd/>
        <w:snapToGrid/>
        <w:spacing w:line="500" w:lineRule="exact"/>
        <w:ind w:firstLine="560" w:firstLineChars="200"/>
        <w:jc w:val="left"/>
        <w:textAlignment w:val="auto"/>
        <w:rPr>
          <w:rFonts w:hint="eastAsia" w:ascii="Times New Roman" w:hAnsi="Times New Roman" w:eastAsia="方正仿宋_GBK" w:cs="方正仿宋_GBK"/>
          <w:b w:val="0"/>
          <w:bCs w:val="0"/>
          <w:color w:val="auto"/>
          <w:sz w:val="28"/>
          <w:szCs w:val="28"/>
          <w:lang w:val="en-US" w:eastAsia="zh-CN"/>
        </w:rPr>
      </w:pPr>
      <w:r>
        <w:rPr>
          <w:rFonts w:hint="eastAsia" w:ascii="Times New Roman" w:hAnsi="Times New Roman" w:eastAsia="方正仿宋_GBK" w:cs="方正仿宋_GBK"/>
          <w:b w:val="0"/>
          <w:bCs w:val="0"/>
          <w:color w:val="auto"/>
          <w:sz w:val="28"/>
          <w:szCs w:val="28"/>
          <w:lang w:val="en-US" w:eastAsia="zh-CN"/>
        </w:rPr>
        <w:t>新平县干热河谷地区气候炎热，山高坡陡，常年缺水干旱，土地多以荒山荒坡为主。2008年开始新平县通过引进企业、流转土地，全县土地经营权流转总面积达19.3万亩。新平县通过土地流转，推动柑橘规模化种植基地发展，形成了“公司+基地+农户”的利益联结机制。规模化发展为全面修复干热河谷奠定基础。干热河谷地区森林覆盖率由2015年的61.56%上升到2021年的73.66%。</w:t>
      </w:r>
    </w:p>
    <w:p w14:paraId="13CA9BD6">
      <w:pPr>
        <w:pStyle w:val="6"/>
        <w:pageBreakBefore w:val="0"/>
        <w:kinsoku/>
        <w:wordWrap/>
        <w:overflowPunct/>
        <w:topLinePunct w:val="0"/>
        <w:autoSpaceDE/>
        <w:autoSpaceDN/>
        <w:bidi w:val="0"/>
        <w:spacing w:line="500" w:lineRule="exact"/>
        <w:textAlignment w:val="auto"/>
        <w:rPr>
          <w:rFonts w:ascii="Times New Roman" w:hAnsi="Times New Roman" w:eastAsia="仿宋" w:cs="Times New Roman"/>
          <w:b/>
          <w:bCs/>
          <w:snapToGrid w:val="0"/>
          <w:color w:val="auto"/>
          <w:kern w:val="2"/>
          <w:sz w:val="28"/>
          <w:szCs w:val="32"/>
          <w:lang w:val="en-US" w:eastAsia="zh-CN" w:bidi="ar-SA"/>
        </w:rPr>
      </w:pPr>
      <w:r>
        <w:rPr>
          <w:rFonts w:ascii="Times New Roman" w:hAnsi="Times New Roman" w:eastAsia="仿宋" w:cs="Times New Roman"/>
          <w:b/>
          <w:bCs/>
          <w:snapToGrid w:val="0"/>
          <w:color w:val="auto"/>
          <w:kern w:val="2"/>
          <w:sz w:val="28"/>
          <w:szCs w:val="32"/>
          <w:lang w:val="en-US" w:eastAsia="zh-CN" w:bidi="ar-SA"/>
        </w:rPr>
        <w:t>2.1.5.10环境基础设施建设</w:t>
      </w:r>
    </w:p>
    <w:p w14:paraId="6802F897">
      <w:pPr>
        <w:keepNext w:val="0"/>
        <w:keepLines w:val="0"/>
        <w:pageBreakBefore w:val="0"/>
        <w:widowControl/>
        <w:suppressLineNumbers w:val="0"/>
        <w:kinsoku/>
        <w:wordWrap/>
        <w:overflowPunct/>
        <w:topLinePunct w:val="0"/>
        <w:autoSpaceDE/>
        <w:autoSpaceDN/>
        <w:bidi w:val="0"/>
        <w:adjustRightInd/>
        <w:snapToGrid/>
        <w:spacing w:line="500" w:lineRule="exact"/>
        <w:ind w:firstLine="560" w:firstLineChars="200"/>
        <w:jc w:val="left"/>
        <w:textAlignment w:val="auto"/>
        <w:rPr>
          <w:rFonts w:hint="eastAsia" w:ascii="Times New Roman" w:hAnsi="Times New Roman" w:eastAsia="方正仿宋_GBK" w:cs="方正仿宋_GBK"/>
          <w:b w:val="0"/>
          <w:bCs w:val="0"/>
          <w:color w:val="auto"/>
          <w:sz w:val="28"/>
          <w:szCs w:val="28"/>
          <w:lang w:val="en-US" w:eastAsia="zh-CN"/>
        </w:rPr>
      </w:pPr>
      <w:bookmarkStart w:id="58" w:name="_Toc31710"/>
      <w:bookmarkStart w:id="59" w:name="_Toc21117"/>
      <w:r>
        <w:rPr>
          <w:rFonts w:hint="eastAsia" w:ascii="Times New Roman" w:hAnsi="Times New Roman" w:eastAsia="方正仿宋_GBK" w:cs="方正仿宋_GBK"/>
          <w:b w:val="0"/>
          <w:bCs w:val="0"/>
          <w:color w:val="auto"/>
          <w:sz w:val="28"/>
          <w:szCs w:val="28"/>
          <w:lang w:val="en-US" w:eastAsia="zh-CN"/>
        </w:rPr>
        <w:t>（1）生活污水处理</w:t>
      </w:r>
    </w:p>
    <w:p w14:paraId="22861339">
      <w:pPr>
        <w:keepNext w:val="0"/>
        <w:keepLines w:val="0"/>
        <w:pageBreakBefore w:val="0"/>
        <w:widowControl/>
        <w:suppressLineNumbers w:val="0"/>
        <w:kinsoku/>
        <w:wordWrap/>
        <w:overflowPunct/>
        <w:topLinePunct w:val="0"/>
        <w:autoSpaceDE/>
        <w:autoSpaceDN/>
        <w:bidi w:val="0"/>
        <w:adjustRightInd/>
        <w:snapToGrid/>
        <w:spacing w:line="500" w:lineRule="exact"/>
        <w:ind w:firstLine="560" w:firstLineChars="200"/>
        <w:jc w:val="left"/>
        <w:textAlignment w:val="auto"/>
        <w:rPr>
          <w:rFonts w:hint="eastAsia" w:ascii="Times New Roman" w:hAnsi="Times New Roman" w:eastAsia="方正仿宋_GBK" w:cs="方正仿宋_GBK"/>
          <w:b w:val="0"/>
          <w:bCs w:val="0"/>
          <w:color w:val="auto"/>
          <w:sz w:val="28"/>
          <w:szCs w:val="28"/>
          <w:lang w:val="en-US" w:eastAsia="zh-CN"/>
        </w:rPr>
      </w:pPr>
      <w:r>
        <w:rPr>
          <w:rFonts w:hint="default" w:ascii="Times New Roman" w:hAnsi="Times New Roman" w:eastAsia="方正仿宋_GBK" w:cs="方正仿宋_GBK"/>
          <w:b w:val="0"/>
          <w:bCs w:val="0"/>
          <w:color w:val="auto"/>
          <w:sz w:val="28"/>
          <w:szCs w:val="28"/>
          <w:lang w:val="en-US" w:eastAsia="zh-CN"/>
        </w:rPr>
        <w:t>新平污水处理厂位于县城东北方向，占地面积14亩，始建于2003年9月，2005年6月投入使用，2010年实施二期工程，2011年11月投入使用，处理规模为1万吨/日。2013年9月与北控水务集团签订《新平污水处理厂TOT特许经营权协议》，协议期为30年；2015年5月完成对新平污水处理厂的提标改造，由GB18918－2002《城镇污水处理厂污染物排放标准》一级（B）标提高至一级（A）标</w:t>
      </w:r>
      <w:r>
        <w:rPr>
          <w:rFonts w:hint="eastAsia" w:ascii="Times New Roman" w:hAnsi="Times New Roman" w:eastAsia="方正仿宋_GBK" w:cs="方正仿宋_GBK"/>
          <w:b w:val="0"/>
          <w:bCs w:val="0"/>
          <w:color w:val="auto"/>
          <w:sz w:val="28"/>
          <w:szCs w:val="28"/>
          <w:lang w:val="en-US" w:eastAsia="zh-CN"/>
        </w:rPr>
        <w:t>，</w:t>
      </w:r>
      <w:r>
        <w:rPr>
          <w:rFonts w:hint="default" w:ascii="Times New Roman" w:hAnsi="Times New Roman" w:eastAsia="方正仿宋_GBK" w:cs="方正仿宋_GBK"/>
          <w:b w:val="0"/>
          <w:bCs w:val="0"/>
          <w:color w:val="auto"/>
          <w:sz w:val="28"/>
          <w:szCs w:val="28"/>
          <w:lang w:val="en-US" w:eastAsia="zh-CN"/>
        </w:rPr>
        <w:t>工艺采用改良型A</w:t>
      </w:r>
      <w:r>
        <w:rPr>
          <w:rFonts w:hint="default" w:ascii="Times New Roman" w:hAnsi="Times New Roman" w:eastAsia="方正仿宋_GBK" w:cs="方正仿宋_GBK"/>
          <w:b w:val="0"/>
          <w:bCs w:val="0"/>
          <w:color w:val="auto"/>
          <w:sz w:val="28"/>
          <w:szCs w:val="28"/>
          <w:vertAlign w:val="superscript"/>
          <w:lang w:val="en-US" w:eastAsia="zh-CN"/>
        </w:rPr>
        <w:t>2</w:t>
      </w:r>
      <w:r>
        <w:rPr>
          <w:rFonts w:hint="default" w:ascii="Times New Roman" w:hAnsi="Times New Roman" w:eastAsia="方正仿宋_GBK" w:cs="方正仿宋_GBK"/>
          <w:b w:val="0"/>
          <w:bCs w:val="0"/>
          <w:color w:val="auto"/>
          <w:sz w:val="28"/>
          <w:szCs w:val="28"/>
          <w:lang w:val="en-US" w:eastAsia="zh-CN"/>
        </w:rPr>
        <w:t>/O工艺</w:t>
      </w:r>
      <w:r>
        <w:rPr>
          <w:rFonts w:hint="eastAsia" w:ascii="Times New Roman" w:hAnsi="Times New Roman" w:eastAsia="方正仿宋_GBK" w:cs="方正仿宋_GBK"/>
          <w:b w:val="0"/>
          <w:bCs w:val="0"/>
          <w:color w:val="auto"/>
          <w:sz w:val="28"/>
          <w:szCs w:val="28"/>
          <w:lang w:val="en-US" w:eastAsia="zh-CN"/>
        </w:rPr>
        <w:t>。目前新平污水处理厂服务区域为新平县城建成区，共建了</w:t>
      </w:r>
      <w:r>
        <w:rPr>
          <w:rFonts w:hint="default" w:ascii="Times New Roman" w:hAnsi="Times New Roman" w:eastAsia="方正仿宋_GBK" w:cs="方正仿宋_GBK"/>
          <w:b w:val="0"/>
          <w:bCs w:val="0"/>
          <w:color w:val="auto"/>
          <w:sz w:val="28"/>
          <w:szCs w:val="28"/>
          <w:lang w:val="en-US" w:eastAsia="zh-CN"/>
        </w:rPr>
        <w:t>配套管网30.42千米</w:t>
      </w:r>
      <w:r>
        <w:rPr>
          <w:rFonts w:hint="eastAsia" w:ascii="Times New Roman" w:hAnsi="Times New Roman" w:eastAsia="方正仿宋_GBK" w:cs="方正仿宋_GBK"/>
          <w:b w:val="0"/>
          <w:bCs w:val="0"/>
          <w:color w:val="auto"/>
          <w:sz w:val="28"/>
          <w:szCs w:val="28"/>
          <w:lang w:val="en-US" w:eastAsia="zh-CN"/>
        </w:rPr>
        <w:t>，新平县污水处理厂的脱水污泥委托新平县垃圾填埋场进行卫生填埋</w:t>
      </w:r>
      <w:r>
        <w:rPr>
          <w:rFonts w:hint="default" w:ascii="Times New Roman" w:hAnsi="Times New Roman" w:eastAsia="方正仿宋_GBK" w:cs="方正仿宋_GBK"/>
          <w:b w:val="0"/>
          <w:bCs w:val="0"/>
          <w:color w:val="auto"/>
          <w:sz w:val="28"/>
          <w:szCs w:val="28"/>
          <w:lang w:val="en-US" w:eastAsia="zh-CN"/>
        </w:rPr>
        <w:t>。</w:t>
      </w:r>
      <w:r>
        <w:rPr>
          <w:rFonts w:hint="eastAsia" w:ascii="Times New Roman" w:hAnsi="Times New Roman" w:eastAsia="方正仿宋_GBK" w:cs="方正仿宋_GBK"/>
          <w:b w:val="0"/>
          <w:bCs w:val="0"/>
          <w:color w:val="auto"/>
          <w:sz w:val="28"/>
          <w:szCs w:val="28"/>
          <w:lang w:val="en-US" w:eastAsia="zh-CN"/>
        </w:rPr>
        <w:t>2021年采用在线监测COD进口平均进水浓度179.36mg/L，出口浓度19.33mg/L，氨氮进口平均进水浓度22.6mg/L，出口浓度0.78mg/L。</w:t>
      </w:r>
    </w:p>
    <w:p w14:paraId="7D543AF5">
      <w:pPr>
        <w:keepNext w:val="0"/>
        <w:keepLines w:val="0"/>
        <w:pageBreakBefore w:val="0"/>
        <w:widowControl/>
        <w:suppressLineNumbers w:val="0"/>
        <w:kinsoku/>
        <w:wordWrap/>
        <w:overflowPunct/>
        <w:topLinePunct w:val="0"/>
        <w:autoSpaceDE/>
        <w:autoSpaceDN/>
        <w:bidi w:val="0"/>
        <w:adjustRightInd/>
        <w:snapToGrid/>
        <w:spacing w:line="500" w:lineRule="exact"/>
        <w:ind w:firstLine="560" w:firstLineChars="200"/>
        <w:jc w:val="left"/>
        <w:textAlignment w:val="auto"/>
        <w:rPr>
          <w:rFonts w:hint="default" w:ascii="Times New Roman" w:hAnsi="Times New Roman" w:eastAsia="方正仿宋_GBK" w:cs="方正仿宋_GBK"/>
          <w:b w:val="0"/>
          <w:bCs w:val="0"/>
          <w:color w:val="auto"/>
          <w:sz w:val="28"/>
          <w:szCs w:val="28"/>
          <w:lang w:val="en-US" w:eastAsia="zh-CN"/>
        </w:rPr>
      </w:pPr>
      <w:r>
        <w:rPr>
          <w:rFonts w:hint="eastAsia" w:ascii="Times New Roman" w:hAnsi="Times New Roman" w:eastAsia="方正仿宋_GBK" w:cs="方正仿宋_GBK"/>
          <w:b w:val="0"/>
          <w:bCs w:val="0"/>
          <w:color w:val="auto"/>
          <w:sz w:val="28"/>
          <w:szCs w:val="28"/>
          <w:lang w:val="en-US" w:eastAsia="zh-CN"/>
        </w:rPr>
        <w:t>近年来，新平县积极开展城镇生活污水处理工作，实施新平县农村人居环境治理项目，截至目前，全县12个乡镇（街道）镇区中桂山街道、古城街道的城镇生活污水统一纳入新平县污水处理厂处理；扬武镇污水处理厂、戛洒镇污水处理厂、漠沙镇污水处理厂已完成了设备安装，进入试运行阶段；水塘镇、新化乡污水处理厂已完成选址、征地等前期工作，待开工建设；其余5个乡镇污水处理厂正在开展选址等前期工作。</w:t>
      </w:r>
    </w:p>
    <w:p w14:paraId="3C9C01F4">
      <w:pPr>
        <w:keepNext w:val="0"/>
        <w:keepLines w:val="0"/>
        <w:pageBreakBefore w:val="0"/>
        <w:widowControl/>
        <w:suppressLineNumbers w:val="0"/>
        <w:kinsoku/>
        <w:wordWrap/>
        <w:overflowPunct/>
        <w:topLinePunct w:val="0"/>
        <w:autoSpaceDE/>
        <w:autoSpaceDN/>
        <w:bidi w:val="0"/>
        <w:adjustRightInd/>
        <w:snapToGrid/>
        <w:spacing w:line="500" w:lineRule="exact"/>
        <w:ind w:firstLine="560" w:firstLineChars="200"/>
        <w:jc w:val="left"/>
        <w:textAlignment w:val="auto"/>
        <w:rPr>
          <w:rFonts w:hint="default" w:ascii="Times New Roman" w:hAnsi="Times New Roman" w:eastAsia="方正仿宋_GBK" w:cs="方正仿宋_GBK"/>
          <w:b w:val="0"/>
          <w:bCs w:val="0"/>
          <w:color w:val="auto"/>
          <w:sz w:val="28"/>
          <w:szCs w:val="28"/>
          <w:lang w:val="en-US" w:eastAsia="zh-CN"/>
        </w:rPr>
      </w:pPr>
      <w:r>
        <w:rPr>
          <w:rFonts w:hint="default" w:ascii="Times New Roman" w:hAnsi="Times New Roman" w:eastAsia="方正仿宋_GBK" w:cs="方正仿宋_GBK"/>
          <w:b w:val="0"/>
          <w:bCs w:val="0"/>
          <w:color w:val="auto"/>
          <w:sz w:val="28"/>
          <w:szCs w:val="28"/>
          <w:lang w:val="en-US" w:eastAsia="zh-CN"/>
        </w:rPr>
        <w:t>截至2021年，全县分散式污水处理设施的有422个，正常运行437个，不正常运行17个，其中，土地处理法、化粪池（二格及以上）+尾水还田利用3个，人工湿地4个，人工湿地、氧化塘1个、人工湿地、化粪池（二格及以上）+尾水还田利用5个，氧化塘175个，氧化塘、化粪池（二格及以上）+尾水还田利用188个，小型一体化设施18个，小型一体化设施、化粪池8个，化粪池（二格及以上）+尾水还田利用5个。新平县分散式污水处理设施以氧化塘和化粪池居多，氧化塘运行成本低比较适用于资金缺少的自然村。集中式污水治理设施数23个，正常运行14个，不正常运行9个，其中日处理规模20至30吨的有13个，日处理规模30至40吨的有1个，日处理规模40至50吨的有9个。</w:t>
      </w:r>
      <w:r>
        <w:rPr>
          <w:rFonts w:hint="eastAsia" w:ascii="Times New Roman" w:hAnsi="Times New Roman" w:eastAsia="方正仿宋_GBK" w:cs="方正仿宋_GBK"/>
          <w:b w:val="0"/>
          <w:bCs w:val="0"/>
          <w:color w:val="auto"/>
          <w:sz w:val="28"/>
          <w:szCs w:val="28"/>
          <w:lang w:val="en-US" w:eastAsia="zh-CN"/>
        </w:rPr>
        <w:t>全县完成农村生活污水治理1342个自然村，治理率91.67%，其中，农村生活污水得到有效管控的自然村638个，有效管控率43.58%，收集处理率48.09%。</w:t>
      </w:r>
    </w:p>
    <w:p w14:paraId="2E312F5D">
      <w:pPr>
        <w:keepNext w:val="0"/>
        <w:keepLines w:val="0"/>
        <w:pageBreakBefore w:val="0"/>
        <w:widowControl/>
        <w:suppressLineNumbers w:val="0"/>
        <w:kinsoku/>
        <w:wordWrap/>
        <w:overflowPunct/>
        <w:topLinePunct w:val="0"/>
        <w:autoSpaceDE/>
        <w:autoSpaceDN/>
        <w:bidi w:val="0"/>
        <w:adjustRightInd/>
        <w:snapToGrid/>
        <w:spacing w:line="500" w:lineRule="exact"/>
        <w:ind w:firstLine="560" w:firstLineChars="200"/>
        <w:jc w:val="left"/>
        <w:textAlignment w:val="auto"/>
        <w:rPr>
          <w:rFonts w:hint="default" w:ascii="Times New Roman" w:hAnsi="Times New Roman" w:eastAsia="方正仿宋_GBK" w:cs="方正仿宋_GBK"/>
          <w:b w:val="0"/>
          <w:bCs w:val="0"/>
          <w:color w:val="auto"/>
          <w:sz w:val="28"/>
          <w:szCs w:val="28"/>
          <w:lang w:val="en-US" w:eastAsia="zh-CN"/>
        </w:rPr>
      </w:pPr>
      <w:r>
        <w:rPr>
          <w:rFonts w:hint="default" w:ascii="Times New Roman" w:hAnsi="Times New Roman" w:eastAsia="方正仿宋_GBK" w:cs="方正仿宋_GBK"/>
          <w:b w:val="0"/>
          <w:bCs w:val="0"/>
          <w:color w:val="auto"/>
          <w:sz w:val="28"/>
          <w:szCs w:val="28"/>
          <w:lang w:val="en-US" w:eastAsia="zh-CN"/>
        </w:rPr>
        <w:t>（2）生活垃圾处置</w:t>
      </w:r>
    </w:p>
    <w:p w14:paraId="57DA8351">
      <w:pPr>
        <w:keepNext w:val="0"/>
        <w:keepLines w:val="0"/>
        <w:pageBreakBefore w:val="0"/>
        <w:widowControl/>
        <w:suppressLineNumbers w:val="0"/>
        <w:kinsoku/>
        <w:wordWrap/>
        <w:overflowPunct/>
        <w:topLinePunct w:val="0"/>
        <w:autoSpaceDE/>
        <w:autoSpaceDN/>
        <w:bidi w:val="0"/>
        <w:adjustRightInd/>
        <w:snapToGrid/>
        <w:spacing w:line="500" w:lineRule="exact"/>
        <w:ind w:firstLine="560" w:firstLineChars="200"/>
        <w:jc w:val="left"/>
        <w:textAlignment w:val="auto"/>
        <w:rPr>
          <w:rFonts w:hint="eastAsia" w:ascii="Times New Roman" w:hAnsi="Times New Roman" w:eastAsia="方正仿宋_GBK" w:cs="方正仿宋_GBK"/>
          <w:b w:val="0"/>
          <w:bCs w:val="0"/>
          <w:color w:val="auto"/>
          <w:sz w:val="28"/>
          <w:szCs w:val="28"/>
          <w:lang w:val="en-US" w:eastAsia="zh-CN"/>
        </w:rPr>
      </w:pPr>
      <w:r>
        <w:rPr>
          <w:rFonts w:hint="eastAsia" w:ascii="Times New Roman" w:hAnsi="Times New Roman" w:eastAsia="方正仿宋_GBK" w:cs="方正仿宋_GBK"/>
          <w:b w:val="0"/>
          <w:bCs w:val="0"/>
          <w:color w:val="auto"/>
          <w:sz w:val="28"/>
          <w:szCs w:val="28"/>
          <w:lang w:val="en-US" w:eastAsia="zh-CN"/>
        </w:rPr>
        <w:t>新平县城市生活垃圾填埋场位于距县城中心城区10.5公里处的者甸村委会麦子冲箐，2010年8月9日开工建设，占地面积160亩，规划使用年限至2024年6月，设计日均处理生活垃圾80吨，生活垃圾填埋场自2012年7月19日建成投入使用，坚持按照《生活垃圾卫生填埋技术规范》和《生活垃圾填埋场无害化评价标准》的要求进行卫生填埋。</w:t>
      </w:r>
    </w:p>
    <w:p w14:paraId="2E97F68E">
      <w:pPr>
        <w:keepNext w:val="0"/>
        <w:keepLines w:val="0"/>
        <w:pageBreakBefore w:val="0"/>
        <w:widowControl/>
        <w:suppressLineNumbers w:val="0"/>
        <w:kinsoku/>
        <w:wordWrap/>
        <w:overflowPunct/>
        <w:topLinePunct w:val="0"/>
        <w:autoSpaceDE/>
        <w:autoSpaceDN/>
        <w:bidi w:val="0"/>
        <w:adjustRightInd/>
        <w:snapToGrid/>
        <w:spacing w:line="500" w:lineRule="exact"/>
        <w:ind w:firstLine="560" w:firstLineChars="200"/>
        <w:jc w:val="left"/>
        <w:textAlignment w:val="auto"/>
        <w:rPr>
          <w:rFonts w:hint="eastAsia" w:ascii="Times New Roman" w:hAnsi="Times New Roman" w:eastAsia="方正仿宋_GBK" w:cs="方正仿宋_GBK"/>
          <w:b w:val="0"/>
          <w:bCs w:val="0"/>
          <w:color w:val="auto"/>
          <w:sz w:val="28"/>
          <w:szCs w:val="28"/>
          <w:lang w:val="en-US" w:eastAsia="zh-CN"/>
        </w:rPr>
      </w:pPr>
      <w:r>
        <w:rPr>
          <w:rFonts w:hint="eastAsia" w:ascii="Times New Roman" w:hAnsi="Times New Roman" w:eastAsia="方正仿宋_GBK" w:cs="方正仿宋_GBK"/>
          <w:b w:val="0"/>
          <w:bCs w:val="0"/>
          <w:color w:val="auto"/>
          <w:sz w:val="28"/>
          <w:szCs w:val="28"/>
          <w:lang w:val="en-US" w:eastAsia="zh-CN"/>
        </w:rPr>
        <w:t>全县12个乡镇（街道）镇区均有垃圾收运体系，截至目前，建成镇区中转站2个，配置1吨以上垃圾收运车辆29辆，建成镇区垃圾处理场10个，建成镇区垃圾处理场规模为114.9吨/日，卫生填埋场数量（指铺有防渗膜的正规填埋场）2个，9个乡镇（街道）镇区无生活垃圾乱堆乱放情况。截止目前，戛洒镇集镇垃圾热解站已投入使用，漠沙集镇垃圾热解站、扬武集镇垃圾热解站已完成设备安装，投入试运行。</w:t>
      </w:r>
    </w:p>
    <w:p w14:paraId="51989F1A">
      <w:pPr>
        <w:keepNext w:val="0"/>
        <w:keepLines w:val="0"/>
        <w:pageBreakBefore w:val="0"/>
        <w:widowControl/>
        <w:suppressLineNumbers w:val="0"/>
        <w:kinsoku/>
        <w:wordWrap/>
        <w:overflowPunct/>
        <w:topLinePunct w:val="0"/>
        <w:autoSpaceDE/>
        <w:autoSpaceDN/>
        <w:bidi w:val="0"/>
        <w:adjustRightInd/>
        <w:snapToGrid/>
        <w:spacing w:line="500" w:lineRule="exact"/>
        <w:ind w:firstLine="560" w:firstLineChars="200"/>
        <w:jc w:val="left"/>
        <w:textAlignment w:val="auto"/>
        <w:rPr>
          <w:rFonts w:hint="eastAsia" w:ascii="Times New Roman" w:hAnsi="Times New Roman" w:eastAsia="方正仿宋_GBK" w:cs="方正仿宋_GBK"/>
          <w:b w:val="0"/>
          <w:bCs w:val="0"/>
          <w:color w:val="auto"/>
          <w:sz w:val="28"/>
          <w:szCs w:val="28"/>
          <w:lang w:val="en-US" w:eastAsia="zh-CN"/>
        </w:rPr>
      </w:pPr>
      <w:r>
        <w:rPr>
          <w:rFonts w:hint="eastAsia" w:ascii="Times New Roman" w:hAnsi="Times New Roman" w:eastAsia="方正仿宋_GBK" w:cs="方正仿宋_GBK"/>
          <w:b w:val="0"/>
          <w:bCs w:val="0"/>
          <w:color w:val="auto"/>
          <w:sz w:val="28"/>
          <w:szCs w:val="28"/>
          <w:lang w:val="en-US" w:eastAsia="zh-CN"/>
        </w:rPr>
        <w:t>村庄生活垃圾治理。截止目前，全县1464个自然村均配有必要的公共垃圾收运设施（垃圾箱、房、桶、池等），村庄生活垃圾得到有效收集，其中转运至城镇处理的自然村数量149个，卫生填埋的自然村5个，简易填埋、指定地点堆放等的自然村1229个，焚烧炉处理的自然村81个。生活垃圾得到及时处理，无生活垃圾乱堆乱放，且消除非指定生活垃圾点裸露垃圾，基本达到“组收集、村（镇）转运、镇（片区）处理”的治理要求。</w:t>
      </w:r>
    </w:p>
    <w:bookmarkEnd w:id="58"/>
    <w:bookmarkEnd w:id="59"/>
    <w:p w14:paraId="4A089278">
      <w:pPr>
        <w:pStyle w:val="4"/>
        <w:pageBreakBefore w:val="0"/>
        <w:kinsoku/>
        <w:wordWrap/>
        <w:overflowPunct/>
        <w:topLinePunct w:val="0"/>
        <w:autoSpaceDE/>
        <w:autoSpaceDN/>
        <w:bidi w:val="0"/>
        <w:spacing w:before="260" w:after="260" w:line="500" w:lineRule="exact"/>
        <w:ind w:firstLine="0"/>
        <w:textAlignment w:val="auto"/>
        <w:rPr>
          <w:rFonts w:ascii="Times New Roman" w:hAnsi="Times New Roman" w:eastAsia="仿宋" w:cs="Times New Roman"/>
          <w:color w:val="auto"/>
          <w:sz w:val="32"/>
          <w:lang w:val="en-US" w:eastAsia="zh-CN"/>
        </w:rPr>
      </w:pPr>
      <w:bookmarkStart w:id="60" w:name="_Toc27308"/>
      <w:r>
        <w:rPr>
          <w:rFonts w:ascii="Times New Roman" w:hAnsi="Times New Roman" w:eastAsia="仿宋" w:cs="Times New Roman"/>
          <w:color w:val="auto"/>
          <w:sz w:val="32"/>
          <w:lang w:val="en-US" w:eastAsia="zh-CN"/>
        </w:rPr>
        <w:t>2.2工作基础</w:t>
      </w:r>
      <w:bookmarkEnd w:id="60"/>
    </w:p>
    <w:p w14:paraId="197BB648">
      <w:pPr>
        <w:pStyle w:val="5"/>
        <w:pageBreakBefore w:val="0"/>
        <w:kinsoku/>
        <w:wordWrap/>
        <w:overflowPunct/>
        <w:topLinePunct w:val="0"/>
        <w:autoSpaceDE/>
        <w:autoSpaceDN/>
        <w:bidi w:val="0"/>
        <w:spacing w:before="120" w:after="120" w:line="500" w:lineRule="exact"/>
        <w:ind w:firstLine="0" w:firstLineChars="0"/>
        <w:textAlignment w:val="auto"/>
        <w:rPr>
          <w:rFonts w:hint="eastAsia" w:eastAsia="仿宋"/>
          <w:snapToGrid w:val="0"/>
          <w:color w:val="auto"/>
          <w:sz w:val="28"/>
          <w:szCs w:val="28"/>
          <w:lang w:val="en-US" w:eastAsia="zh-CN"/>
        </w:rPr>
      </w:pPr>
      <w:bookmarkStart w:id="61" w:name="_Toc1239"/>
      <w:r>
        <w:rPr>
          <w:rFonts w:eastAsia="仿宋"/>
          <w:snapToGrid w:val="0"/>
          <w:color w:val="auto"/>
          <w:sz w:val="28"/>
          <w:szCs w:val="28"/>
        </w:rPr>
        <w:t>2.2.1</w:t>
      </w:r>
      <w:r>
        <w:rPr>
          <w:rFonts w:hint="eastAsia" w:eastAsia="仿宋"/>
          <w:snapToGrid w:val="0"/>
          <w:color w:val="auto"/>
          <w:sz w:val="28"/>
          <w:szCs w:val="28"/>
          <w:lang w:val="en-US" w:eastAsia="zh-CN"/>
        </w:rPr>
        <w:t>坚持</w:t>
      </w:r>
      <w:r>
        <w:rPr>
          <w:rFonts w:eastAsia="仿宋"/>
          <w:snapToGrid w:val="0"/>
          <w:color w:val="auto"/>
          <w:sz w:val="28"/>
          <w:szCs w:val="28"/>
        </w:rPr>
        <w:t>生态文明为引领，生态</w:t>
      </w:r>
      <w:r>
        <w:rPr>
          <w:rFonts w:hint="eastAsia" w:eastAsia="仿宋"/>
          <w:snapToGrid w:val="0"/>
          <w:color w:val="auto"/>
          <w:sz w:val="28"/>
          <w:szCs w:val="28"/>
          <w:lang w:val="en-US" w:eastAsia="zh-CN"/>
        </w:rPr>
        <w:t>体制机制不断完善</w:t>
      </w:r>
      <w:bookmarkEnd w:id="61"/>
    </w:p>
    <w:p w14:paraId="151F03D6">
      <w:pPr>
        <w:pStyle w:val="8"/>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sz w:val="28"/>
          <w:szCs w:val="28"/>
          <w:lang w:val="en-US" w:eastAsia="zh-CN"/>
        </w:rPr>
        <w:t>新平县以习近平生态文明思想为引领，不断深化生态文明建设体制改革，建立健全以党政领导负责制为核心的责任体系，强化工作措施，协调各方力量，形成一级抓一级、层层抓落实的工作格局，</w:t>
      </w:r>
      <w:r>
        <w:rPr>
          <w:rFonts w:hint="eastAsia" w:ascii="Times New Roman" w:hAnsi="Times New Roman" w:eastAsia="方正仿宋_GBK" w:cs="方正仿宋_GBK"/>
          <w:b w:val="0"/>
          <w:bCs w:val="0"/>
          <w:color w:val="auto"/>
          <w:kern w:val="2"/>
          <w:sz w:val="28"/>
          <w:szCs w:val="28"/>
          <w:lang w:val="en-US" w:eastAsia="zh-CN" w:bidi="ar-SA"/>
        </w:rPr>
        <w:t>制定并实施《玉溪市新平哀牢山县级自然保护区条例》《云南省新平彝族傣族自治县水资源条例》《云南省新平彝族傣族自治县矿产资源开发利用和矿山地质环境保护条例》《云南省新平彝族傣族自治县城乡规划建设管理条例》《云南省新平彝族傣族自治县民族民间文化保护条例》，为守护新平县自然保护区、水资源、矿产资源、民间文化以及规范城市管理提供了法律依据。出台了《新平县生态环境损害赔偿制度改革实施方案》《新平县领导干部自然资源资产离任审计工作规划（2016—2020年）》《新平县县级有关部门和单位生态环境保护责任清单》等一系列文件，健全完善生态文明建设考核评价制度，将生态环境保护指标纳入各级党政领导班子和领导干部综合考核评价体系，生态文明建设考核评价体系逐步健全。县政府与各乡镇人民政府、街道办事处主要负责人签订生态环境保护工作目标责任书，进一步把“党政同责、一岗双责”落到实处，全面推动污染防治工作。开展领导干部自然资源资产离任审计工作，实施生态环境损害赔偿制度，建立生态环境资源保护司法与联合执法联动机制，生态领域政策体系逐步完善。</w:t>
      </w:r>
    </w:p>
    <w:p w14:paraId="694D0E9A">
      <w:pPr>
        <w:pStyle w:val="5"/>
        <w:pageBreakBefore w:val="0"/>
        <w:kinsoku/>
        <w:wordWrap/>
        <w:overflowPunct/>
        <w:topLinePunct w:val="0"/>
        <w:autoSpaceDE/>
        <w:autoSpaceDN/>
        <w:bidi w:val="0"/>
        <w:spacing w:before="120" w:after="120" w:line="500" w:lineRule="exact"/>
        <w:ind w:firstLine="0" w:firstLineChars="0"/>
        <w:textAlignment w:val="auto"/>
        <w:rPr>
          <w:rFonts w:hint="default" w:eastAsia="仿宋"/>
          <w:snapToGrid w:val="0"/>
          <w:color w:val="auto"/>
          <w:sz w:val="28"/>
          <w:szCs w:val="28"/>
          <w:lang w:val="en-US" w:eastAsia="zh-CN"/>
        </w:rPr>
      </w:pPr>
      <w:bookmarkStart w:id="62" w:name="_Toc1312"/>
      <w:r>
        <w:rPr>
          <w:rFonts w:eastAsia="仿宋"/>
          <w:snapToGrid w:val="0"/>
          <w:color w:val="auto"/>
          <w:sz w:val="28"/>
          <w:szCs w:val="28"/>
        </w:rPr>
        <w:t>2.2.</w:t>
      </w:r>
      <w:r>
        <w:rPr>
          <w:rFonts w:hint="eastAsia" w:eastAsia="仿宋"/>
          <w:snapToGrid w:val="0"/>
          <w:color w:val="auto"/>
          <w:sz w:val="28"/>
          <w:szCs w:val="28"/>
          <w:lang w:val="en-US" w:eastAsia="zh-CN"/>
        </w:rPr>
        <w:t>2坚持</w:t>
      </w:r>
      <w:r>
        <w:rPr>
          <w:rFonts w:eastAsia="仿宋"/>
          <w:snapToGrid w:val="0"/>
          <w:color w:val="auto"/>
          <w:sz w:val="28"/>
          <w:szCs w:val="28"/>
        </w:rPr>
        <w:t>系统保护为重点，</w:t>
      </w:r>
      <w:r>
        <w:rPr>
          <w:rFonts w:hint="eastAsia" w:eastAsia="仿宋"/>
          <w:snapToGrid w:val="0"/>
          <w:color w:val="auto"/>
          <w:sz w:val="28"/>
          <w:szCs w:val="28"/>
          <w:lang w:val="en-US" w:eastAsia="zh-CN"/>
        </w:rPr>
        <w:t>生态安全屏障更加牢固</w:t>
      </w:r>
      <w:bookmarkEnd w:id="62"/>
    </w:p>
    <w:p w14:paraId="1851E9C2">
      <w:pPr>
        <w:keepNext w:val="0"/>
        <w:keepLines w:val="0"/>
        <w:pageBreakBefore w:val="0"/>
        <w:widowControl/>
        <w:suppressLineNumbers w:val="0"/>
        <w:kinsoku/>
        <w:wordWrap/>
        <w:overflowPunct/>
        <w:topLinePunct w:val="0"/>
        <w:autoSpaceDE/>
        <w:autoSpaceDN/>
        <w:bidi w:val="0"/>
        <w:adjustRightInd/>
        <w:snapToGrid/>
        <w:spacing w:line="500" w:lineRule="exact"/>
        <w:ind w:firstLine="560" w:firstLineChars="200"/>
        <w:jc w:val="left"/>
        <w:textAlignment w:val="auto"/>
        <w:rPr>
          <w:rFonts w:hint="eastAsia" w:ascii="Times New Roman" w:hAnsi="Times New Roman" w:eastAsia="方正仿宋_GBK" w:cs="方正仿宋_GBK"/>
          <w:b w:val="0"/>
          <w:bCs w:val="0"/>
          <w:color w:val="auto"/>
          <w:sz w:val="28"/>
          <w:szCs w:val="28"/>
          <w:lang w:val="en-US" w:eastAsia="zh-CN"/>
        </w:rPr>
      </w:pPr>
      <w:r>
        <w:rPr>
          <w:rFonts w:hint="eastAsia" w:ascii="Times New Roman" w:hAnsi="Times New Roman" w:eastAsia="方正仿宋_GBK" w:cs="方正仿宋_GBK"/>
          <w:b w:val="0"/>
          <w:bCs w:val="0"/>
          <w:color w:val="auto"/>
          <w:sz w:val="28"/>
          <w:szCs w:val="28"/>
          <w:lang w:val="en-US" w:eastAsia="zh-CN"/>
        </w:rPr>
        <w:t>林草覆盖率稳步提高。近年来，新平县树牢“绿水青山就是金山银山”理念，统筹推进山水林田湖草沙系统治理，以林业生态工程建设为主体，以天保、生态公益林、退耕还林、山林长制等重大工程建设为契机，加强森林资源保护、森林培育和森林质量提升，加大造林绿化工作力度，生态环境日益改善。新平县是玉溪市森林面积最大且唯一实施天然林保护工程的县，为了加大森林管护力度，2020年全县共安排管护人员638人，通过明确责权利，严明奖惩，做到了山山有人护、箐箐有人管，实现了森林面积、蓄积持续增加，水土流失得到有效控制，林区就业和民生得到有效改善。2021年森林覆盖率比2016年提高9个百分点、达73.66%，先后被评为全国绿化模范县，2020年，新平县还被列为全省10个林长制示范县之一。2021与全国同步全面推行林长制制度。</w:t>
      </w:r>
    </w:p>
    <w:p w14:paraId="1DD9357D">
      <w:pPr>
        <w:keepNext w:val="0"/>
        <w:keepLines w:val="0"/>
        <w:pageBreakBefore w:val="0"/>
        <w:widowControl/>
        <w:suppressLineNumbers w:val="0"/>
        <w:kinsoku/>
        <w:wordWrap/>
        <w:overflowPunct/>
        <w:topLinePunct w:val="0"/>
        <w:autoSpaceDE/>
        <w:autoSpaceDN/>
        <w:bidi w:val="0"/>
        <w:adjustRightInd/>
        <w:snapToGrid/>
        <w:spacing w:line="500" w:lineRule="exact"/>
        <w:ind w:firstLine="560" w:firstLineChars="200"/>
        <w:jc w:val="left"/>
        <w:textAlignment w:val="auto"/>
        <w:rPr>
          <w:rFonts w:hint="eastAsia" w:ascii="Times New Roman" w:hAnsi="Times New Roman" w:eastAsia="方正仿宋_GBK" w:cs="方正仿宋_GBK"/>
          <w:b w:val="0"/>
          <w:bCs w:val="0"/>
          <w:color w:val="auto"/>
          <w:sz w:val="28"/>
          <w:szCs w:val="28"/>
          <w:lang w:val="en-US" w:eastAsia="zh-CN"/>
        </w:rPr>
      </w:pPr>
      <w:r>
        <w:rPr>
          <w:rFonts w:hint="eastAsia" w:ascii="Times New Roman" w:hAnsi="Times New Roman" w:eastAsia="方正仿宋_GBK" w:cs="方正仿宋_GBK"/>
          <w:b w:val="0"/>
          <w:bCs w:val="0"/>
          <w:color w:val="auto"/>
          <w:sz w:val="28"/>
          <w:szCs w:val="28"/>
          <w:lang w:val="en-US" w:eastAsia="zh-CN"/>
        </w:rPr>
        <w:t>区域内生态系统保存较为完整。云南哀牢山国家级自然保护区跨三州（市）6县，即玉溪市新平县，普洱市景东县、镇沅县，楚雄州楚雄市、双柏县、南华县，保护区总面积67700hm</w:t>
      </w:r>
      <w:r>
        <w:rPr>
          <w:rFonts w:hint="eastAsia" w:ascii="Times New Roman" w:hAnsi="Times New Roman" w:eastAsia="方正仿宋_GBK" w:cs="方正仿宋_GBK"/>
          <w:b w:val="0"/>
          <w:bCs w:val="0"/>
          <w:color w:val="auto"/>
          <w:sz w:val="28"/>
          <w:szCs w:val="28"/>
          <w:vertAlign w:val="superscript"/>
          <w:lang w:val="en-US" w:eastAsia="zh-CN"/>
        </w:rPr>
        <w:t>2</w:t>
      </w:r>
      <w:r>
        <w:rPr>
          <w:rFonts w:hint="eastAsia" w:ascii="Times New Roman" w:hAnsi="Times New Roman" w:eastAsia="方正仿宋_GBK" w:cs="方正仿宋_GBK"/>
          <w:b w:val="0"/>
          <w:bCs w:val="0"/>
          <w:color w:val="auto"/>
          <w:sz w:val="28"/>
          <w:szCs w:val="28"/>
          <w:lang w:val="en-US" w:eastAsia="zh-CN"/>
        </w:rPr>
        <w:t>，其中新平县境内的保护区面积为14291.19hm</w:t>
      </w:r>
      <w:r>
        <w:rPr>
          <w:rFonts w:hint="eastAsia" w:ascii="Times New Roman" w:hAnsi="Times New Roman" w:eastAsia="方正仿宋_GBK" w:cs="方正仿宋_GBK"/>
          <w:b w:val="0"/>
          <w:bCs w:val="0"/>
          <w:color w:val="auto"/>
          <w:sz w:val="28"/>
          <w:szCs w:val="28"/>
          <w:vertAlign w:val="superscript"/>
          <w:lang w:val="en-US" w:eastAsia="zh-CN"/>
        </w:rPr>
        <w:t>2</w:t>
      </w:r>
      <w:r>
        <w:rPr>
          <w:rFonts w:hint="eastAsia" w:ascii="Times New Roman" w:hAnsi="Times New Roman" w:eastAsia="方正仿宋_GBK" w:cs="方正仿宋_GBK"/>
          <w:b w:val="0"/>
          <w:bCs w:val="0"/>
          <w:color w:val="auto"/>
          <w:sz w:val="28"/>
          <w:szCs w:val="28"/>
          <w:lang w:val="en-US" w:eastAsia="zh-CN"/>
        </w:rPr>
        <w:t>。根据云南省林业厅《云南省自然保护区森林生态系统服务功能评估报告》的统计数据和测算指标估算，保护区生态效益的年产出总价值约18.78亿元。哀牢山国家级自然保护区内植被类型丰富，珍稀保护树种群落分布集中，生物多样性丰富，森林生态系统保存比较完整。</w:t>
      </w:r>
    </w:p>
    <w:p w14:paraId="714D0DEE">
      <w:pPr>
        <w:keepNext w:val="0"/>
        <w:keepLines w:val="0"/>
        <w:pageBreakBefore w:val="0"/>
        <w:widowControl/>
        <w:suppressLineNumbers w:val="0"/>
        <w:kinsoku/>
        <w:wordWrap/>
        <w:overflowPunct/>
        <w:topLinePunct w:val="0"/>
        <w:autoSpaceDE/>
        <w:autoSpaceDN/>
        <w:bidi w:val="0"/>
        <w:adjustRightInd/>
        <w:snapToGrid/>
        <w:spacing w:line="500" w:lineRule="exact"/>
        <w:ind w:firstLine="560" w:firstLineChars="200"/>
        <w:jc w:val="left"/>
        <w:textAlignment w:val="auto"/>
        <w:rPr>
          <w:rFonts w:hint="eastAsia" w:ascii="Times New Roman" w:hAnsi="Times New Roman" w:eastAsia="方正仿宋_GBK" w:cs="方正仿宋_GBK"/>
          <w:b w:val="0"/>
          <w:bCs w:val="0"/>
          <w:color w:val="auto"/>
          <w:sz w:val="28"/>
          <w:szCs w:val="28"/>
          <w:lang w:val="en-US" w:eastAsia="zh-CN"/>
        </w:rPr>
      </w:pPr>
      <w:r>
        <w:rPr>
          <w:rFonts w:hint="eastAsia" w:ascii="Times New Roman" w:hAnsi="Times New Roman" w:eastAsia="方正仿宋_GBK" w:cs="方正仿宋_GBK"/>
          <w:b w:val="0"/>
          <w:bCs w:val="0"/>
          <w:color w:val="auto"/>
          <w:sz w:val="28"/>
          <w:szCs w:val="28"/>
          <w:lang w:val="en-US" w:eastAsia="zh-CN"/>
        </w:rPr>
        <w:t>生物多样性得到有效保护。依托云南哀牢山国家级自然保护区保护区域生物多样性，成立西黑冠长臂猿生态行为研究站，坚持开展鸟类环志监测。在哀牢山国家级保护区外，新平县划定102平方公里林地作为县级保护区，颁布《玉溪市新平哀牢山县级自然保护区条例》，通过立法的方式加大对哀牢山生态环境的保护力度。新平县境内森林类型较多，其中的中山湿性常绿阔叶的原始森林，其森林类型罕见，被誉为镶嵌在植物王国皇冠上的“绿宝石”。境内有许多珍禽异兽，其中有国家级保护动物绿孔雀、西黑冠长臂猿、云豹等，大量珍稀鸟类白鹇、相思鸟、太阳鸟等，有国家级保护植物伯乐树、水青树、野银杏等。新平县建立了4个绿孔雀保护小区，保护好境内绿孔雀，截至2021年8月，新平境内野生绿孔雀种群约为35个种群189—223只，其中2021年新增雏鸟57只。对比2017年情况，增加了108—116只，种群增约18群。同时做好西黑冠长臂猿保护和鸟类监测环志工作，据调查结果显示，云南哀牢山国家级自然保护区新平片区的西黑冠长臂猿种群已从2010年的124群增长到2021年的154群以上。2021年7月北移亚洲象南归中途径新平县，新平县坚持疏堵结合，采取道路管制、隔离围挡、人员疏散、投食诱导等应急措施，引导象群尽可能安全通过预定路线，启动野生动物公众责任保险定损赔付工作，维护人民群众合法权益，圆满完成护航北移亚洲象南归任务。新平县境内有1个国家级鸟类环志监测站，即金山丫口鸟类监测环志站，每年9-11月在金山丫口开展鸟类监测环志工作，截至2021年，共环志鸟类54079只，14目32科，235种。其科研结果显示：与《哀牢山自然保护区综合考察报告集》相对比，新增鸟类记录种70余种，发现云南省新记录种1种﹙海南鳽﹚。</w:t>
      </w:r>
    </w:p>
    <w:p w14:paraId="43F48AB4">
      <w:pPr>
        <w:keepNext w:val="0"/>
        <w:keepLines w:val="0"/>
        <w:pageBreakBefore w:val="0"/>
        <w:widowControl/>
        <w:suppressLineNumbers w:val="0"/>
        <w:kinsoku/>
        <w:wordWrap/>
        <w:overflowPunct/>
        <w:topLinePunct w:val="0"/>
        <w:autoSpaceDE/>
        <w:autoSpaceDN/>
        <w:bidi w:val="0"/>
        <w:adjustRightInd/>
        <w:snapToGrid/>
        <w:spacing w:line="500" w:lineRule="exact"/>
        <w:ind w:firstLine="560" w:firstLineChars="200"/>
        <w:jc w:val="left"/>
        <w:textAlignment w:val="auto"/>
        <w:rPr>
          <w:rFonts w:hint="eastAsia" w:ascii="Times New Roman" w:hAnsi="Times New Roman" w:eastAsia="方正仿宋_GBK" w:cs="方正仿宋_GBK"/>
          <w:b w:val="0"/>
          <w:bCs w:val="0"/>
          <w:color w:val="auto"/>
          <w:sz w:val="28"/>
          <w:szCs w:val="28"/>
          <w:lang w:val="en-US" w:eastAsia="zh-CN"/>
        </w:rPr>
      </w:pPr>
      <w:r>
        <w:rPr>
          <w:rFonts w:hint="eastAsia" w:ascii="Times New Roman" w:hAnsi="Times New Roman" w:eastAsia="方正仿宋_GBK" w:cs="方正仿宋_GBK"/>
          <w:b w:val="0"/>
          <w:bCs w:val="0"/>
          <w:color w:val="auto"/>
          <w:sz w:val="28"/>
          <w:szCs w:val="28"/>
          <w:lang w:val="en-US" w:eastAsia="zh-CN"/>
        </w:rPr>
        <w:t>生态空间持续优化。新平县海拔从422米到3166米，哀牢山从山麓至山顶依次为南亚热带、中亚热带、北亚热带、暖温带、温带、寒温带气候；是世界同纬度生物多样化、同类型植物群落保留最完整的地区。县域内有云南省哀牢山国家级自然保护区（新平段）、玉白顶林场市级自然保护区、哀牢山县级自然保护区、磨盘山县级自然保护区和磨盘山国家级森林公园等自然保护地，自然保护地批复面积累计57320.70hm2（含交叉重叠），占全县国土总面积的13.41%。全县湿地资源总量达5044.04hm</w:t>
      </w:r>
      <w:r>
        <w:rPr>
          <w:rFonts w:hint="eastAsia" w:ascii="Times New Roman" w:hAnsi="Times New Roman" w:eastAsia="方正仿宋_GBK" w:cs="方正仿宋_GBK"/>
          <w:b w:val="0"/>
          <w:bCs w:val="0"/>
          <w:color w:val="auto"/>
          <w:sz w:val="28"/>
          <w:szCs w:val="28"/>
          <w:vertAlign w:val="superscript"/>
          <w:lang w:val="en-US" w:eastAsia="zh-CN"/>
        </w:rPr>
        <w:t>2</w:t>
      </w:r>
      <w:r>
        <w:rPr>
          <w:rFonts w:hint="eastAsia" w:ascii="Times New Roman" w:hAnsi="Times New Roman" w:eastAsia="方正仿宋_GBK" w:cs="方正仿宋_GBK"/>
          <w:b w:val="0"/>
          <w:bCs w:val="0"/>
          <w:color w:val="auto"/>
          <w:sz w:val="28"/>
          <w:szCs w:val="28"/>
          <w:lang w:val="en-US" w:eastAsia="zh-CN"/>
        </w:rPr>
        <w:t>。全县生态保护红线1203.31km</w:t>
      </w:r>
      <w:r>
        <w:rPr>
          <w:rFonts w:hint="eastAsia" w:ascii="Times New Roman" w:hAnsi="Times New Roman" w:eastAsia="方正仿宋_GBK" w:cs="方正仿宋_GBK"/>
          <w:b w:val="0"/>
          <w:bCs w:val="0"/>
          <w:color w:val="auto"/>
          <w:sz w:val="28"/>
          <w:szCs w:val="28"/>
          <w:vertAlign w:val="superscript"/>
          <w:lang w:val="en-US" w:eastAsia="zh-CN"/>
        </w:rPr>
        <w:t>2</w:t>
      </w:r>
      <w:r>
        <w:rPr>
          <w:rFonts w:hint="eastAsia" w:ascii="Times New Roman" w:hAnsi="Times New Roman" w:eastAsia="方正仿宋_GBK" w:cs="方正仿宋_GBK"/>
          <w:b w:val="0"/>
          <w:bCs w:val="0"/>
          <w:color w:val="auto"/>
          <w:sz w:val="28"/>
          <w:szCs w:val="28"/>
          <w:lang w:val="en-US" w:eastAsia="zh-CN"/>
        </w:rPr>
        <w:t>，占国土面积的28.21%。</w:t>
      </w:r>
    </w:p>
    <w:p w14:paraId="29CD5FE2">
      <w:pPr>
        <w:keepNext w:val="0"/>
        <w:keepLines w:val="0"/>
        <w:pageBreakBefore w:val="0"/>
        <w:widowControl/>
        <w:suppressLineNumbers w:val="0"/>
        <w:kinsoku/>
        <w:wordWrap/>
        <w:overflowPunct/>
        <w:topLinePunct w:val="0"/>
        <w:autoSpaceDE/>
        <w:autoSpaceDN/>
        <w:bidi w:val="0"/>
        <w:adjustRightInd/>
        <w:snapToGrid/>
        <w:spacing w:line="500" w:lineRule="exact"/>
        <w:ind w:firstLine="560" w:firstLineChars="200"/>
        <w:jc w:val="left"/>
        <w:textAlignment w:val="auto"/>
        <w:rPr>
          <w:rFonts w:hint="eastAsia" w:ascii="Times New Roman" w:hAnsi="Times New Roman" w:eastAsia="方正仿宋_GBK" w:cs="方正仿宋_GBK"/>
          <w:b w:val="0"/>
          <w:bCs w:val="0"/>
          <w:color w:val="auto"/>
          <w:sz w:val="28"/>
          <w:szCs w:val="28"/>
          <w:lang w:val="en-US" w:eastAsia="zh-CN"/>
        </w:rPr>
      </w:pPr>
      <w:r>
        <w:rPr>
          <w:rFonts w:hint="eastAsia" w:ascii="Times New Roman" w:hAnsi="Times New Roman" w:eastAsia="方正仿宋_GBK" w:cs="方正仿宋_GBK"/>
          <w:b w:val="0"/>
          <w:bCs w:val="0"/>
          <w:color w:val="auto"/>
          <w:sz w:val="28"/>
          <w:szCs w:val="28"/>
          <w:lang w:val="en-US" w:eastAsia="zh-CN"/>
        </w:rPr>
        <w:t>生态保护和修复不断强化。近年来，新平县树牢“绿水青山就是金山银山”理念，统筹推进山水林田湖草沙系统治理，以林业生态工程建设为主体，以天保、生态公益林、退耕还林、山林长制等重大工程建设为契机，加强森林资源保护、森林培育和森林质量提升，加大造林绿化工作力度，生态环境日益改善。新平县是玉溪市森林面积最大且唯一实施天然林保护工程的县，为了加大森林管护力度，2020年全县共安排管护人员638人，通过明确责权利，严明奖惩，做到了山山有人护、箐箐有人管，实现了森林面积、蓄积持续增加，水土流失得到有效控制，林区就业和民生得到有效改善。2021年森林覆盖率比2016年提高9个百分点、达73.66%，先后被评为全国绿化模范县，2020年，新平县还被列为全省10个林长制示范县之一。2021与全国同步全面推行林长制制度。</w:t>
      </w:r>
    </w:p>
    <w:p w14:paraId="6E376577">
      <w:pPr>
        <w:pStyle w:val="5"/>
        <w:pageBreakBefore w:val="0"/>
        <w:kinsoku/>
        <w:wordWrap/>
        <w:overflowPunct/>
        <w:topLinePunct w:val="0"/>
        <w:autoSpaceDE/>
        <w:autoSpaceDN/>
        <w:bidi w:val="0"/>
        <w:spacing w:before="120" w:after="120" w:line="500" w:lineRule="exact"/>
        <w:ind w:firstLine="0" w:firstLineChars="0"/>
        <w:textAlignment w:val="auto"/>
        <w:rPr>
          <w:rFonts w:eastAsia="仿宋"/>
          <w:snapToGrid w:val="0"/>
          <w:color w:val="auto"/>
          <w:sz w:val="28"/>
          <w:szCs w:val="28"/>
        </w:rPr>
      </w:pPr>
      <w:bookmarkStart w:id="63" w:name="_Toc13659"/>
      <w:r>
        <w:rPr>
          <w:rFonts w:eastAsia="仿宋"/>
          <w:snapToGrid w:val="0"/>
          <w:color w:val="auto"/>
          <w:sz w:val="28"/>
          <w:szCs w:val="28"/>
        </w:rPr>
        <w:t>2.2.</w:t>
      </w:r>
      <w:r>
        <w:rPr>
          <w:rFonts w:hint="eastAsia" w:eastAsia="仿宋"/>
          <w:snapToGrid w:val="0"/>
          <w:color w:val="auto"/>
          <w:sz w:val="28"/>
          <w:szCs w:val="28"/>
          <w:lang w:val="en-US" w:eastAsia="zh-CN"/>
        </w:rPr>
        <w:t>3坚持生态</w:t>
      </w:r>
      <w:r>
        <w:rPr>
          <w:rFonts w:hint="eastAsia" w:eastAsia="仿宋"/>
          <w:snapToGrid w:val="0"/>
          <w:color w:val="auto"/>
          <w:sz w:val="28"/>
          <w:szCs w:val="28"/>
        </w:rPr>
        <w:t>保护优先，生态环境更加优美</w:t>
      </w:r>
      <w:bookmarkEnd w:id="63"/>
    </w:p>
    <w:p w14:paraId="222A699A">
      <w:pPr>
        <w:keepNext w:val="0"/>
        <w:keepLines w:val="0"/>
        <w:pageBreakBefore w:val="0"/>
        <w:widowControl/>
        <w:suppressLineNumbers w:val="0"/>
        <w:kinsoku/>
        <w:wordWrap/>
        <w:overflowPunct/>
        <w:topLinePunct w:val="0"/>
        <w:autoSpaceDE/>
        <w:autoSpaceDN/>
        <w:bidi w:val="0"/>
        <w:adjustRightInd/>
        <w:snapToGrid/>
        <w:spacing w:line="500" w:lineRule="exact"/>
        <w:ind w:firstLine="560" w:firstLineChars="200"/>
        <w:jc w:val="left"/>
        <w:textAlignment w:val="auto"/>
        <w:rPr>
          <w:rFonts w:hint="eastAsia" w:ascii="Times New Roman" w:hAnsi="Times New Roman" w:eastAsia="方正仿宋_GBK" w:cs="方正仿宋_GBK"/>
          <w:b w:val="0"/>
          <w:bCs w:val="0"/>
          <w:color w:val="auto"/>
          <w:sz w:val="28"/>
          <w:szCs w:val="28"/>
          <w:lang w:val="en-US" w:eastAsia="zh-CN"/>
        </w:rPr>
      </w:pPr>
      <w:r>
        <w:rPr>
          <w:rFonts w:hint="eastAsia" w:ascii="Times New Roman" w:hAnsi="Times New Roman" w:eastAsia="方正仿宋_GBK" w:cs="方正仿宋_GBK"/>
          <w:b w:val="0"/>
          <w:bCs w:val="0"/>
          <w:color w:val="auto"/>
          <w:sz w:val="28"/>
          <w:szCs w:val="28"/>
          <w:lang w:val="en-US" w:eastAsia="zh-CN"/>
        </w:rPr>
        <w:t>近年来，新平县加强重点生态功能区规划布局，完成全县“三区三线”划定，为统筹保护与开发提供了基本遵循。蓝天、碧水、净土保卫战纵深推进，“三线一单”生态环境分区管控有效实施，中央第二轮环保督察反馈问题整改取得阶段性成效，信访交办件办结率达</w:t>
      </w:r>
      <w:r>
        <w:rPr>
          <w:rFonts w:hint="default" w:ascii="Times New Roman" w:hAnsi="Times New Roman" w:eastAsia="方正仿宋_GBK" w:cs="方正仿宋_GBK"/>
          <w:b w:val="0"/>
          <w:bCs w:val="0"/>
          <w:color w:val="auto"/>
          <w:sz w:val="28"/>
          <w:szCs w:val="28"/>
          <w:lang w:val="en-US" w:eastAsia="zh-CN"/>
        </w:rPr>
        <w:t>100%</w:t>
      </w:r>
      <w:r>
        <w:rPr>
          <w:rFonts w:hint="eastAsia" w:ascii="Times New Roman" w:hAnsi="Times New Roman" w:eastAsia="方正仿宋_GBK" w:cs="方正仿宋_GBK"/>
          <w:b w:val="0"/>
          <w:bCs w:val="0"/>
          <w:color w:val="auto"/>
          <w:sz w:val="28"/>
          <w:szCs w:val="28"/>
          <w:lang w:val="en-US" w:eastAsia="zh-CN"/>
        </w:rPr>
        <w:t>，省生态环境联合执法检查反馈问题完成整改，省第二轮环保督察转办件整改有力推进。狠抓工业废气、城市扬尘等污染防治，钢铁行业超低排放、工业窑炉综合治理成效明显，2021年县城环境空气质量优良率达</w:t>
      </w:r>
      <w:r>
        <w:rPr>
          <w:rFonts w:hint="default" w:ascii="Times New Roman" w:hAnsi="Times New Roman" w:eastAsia="方正仿宋_GBK" w:cs="方正仿宋_GBK"/>
          <w:b w:val="0"/>
          <w:bCs w:val="0"/>
          <w:color w:val="auto"/>
          <w:sz w:val="28"/>
          <w:szCs w:val="28"/>
          <w:lang w:val="en-US" w:eastAsia="zh-CN"/>
        </w:rPr>
        <w:t>99</w:t>
      </w:r>
      <w:r>
        <w:rPr>
          <w:rFonts w:hint="eastAsia" w:ascii="Times New Roman" w:hAnsi="Times New Roman" w:eastAsia="方正仿宋_GBK" w:cs="方正仿宋_GBK"/>
          <w:b w:val="0"/>
          <w:bCs w:val="0"/>
          <w:color w:val="auto"/>
          <w:sz w:val="28"/>
          <w:szCs w:val="28"/>
          <w:lang w:val="en-US" w:eastAsia="zh-CN"/>
        </w:rPr>
        <w:t>.7</w:t>
      </w:r>
      <w:r>
        <w:rPr>
          <w:rFonts w:hint="default" w:ascii="Times New Roman" w:hAnsi="Times New Roman" w:eastAsia="方正仿宋_GBK" w:cs="方正仿宋_GBK"/>
          <w:b w:val="0"/>
          <w:bCs w:val="0"/>
          <w:color w:val="auto"/>
          <w:sz w:val="28"/>
          <w:szCs w:val="28"/>
          <w:lang w:val="en-US" w:eastAsia="zh-CN"/>
        </w:rPr>
        <w:t>%</w:t>
      </w:r>
      <w:r>
        <w:rPr>
          <w:rFonts w:hint="eastAsia" w:ascii="Times New Roman" w:hAnsi="Times New Roman" w:eastAsia="方正仿宋_GBK" w:cs="方正仿宋_GBK"/>
          <w:b w:val="0"/>
          <w:bCs w:val="0"/>
          <w:color w:val="auto"/>
          <w:sz w:val="28"/>
          <w:szCs w:val="28"/>
          <w:lang w:val="en-US" w:eastAsia="zh-CN"/>
        </w:rPr>
        <w:t>。统筹推进“三水共治”，开展河湖岸线保护与利用规划编制，完成</w:t>
      </w:r>
      <w:r>
        <w:rPr>
          <w:rFonts w:hint="default" w:ascii="Times New Roman" w:hAnsi="Times New Roman" w:eastAsia="方正仿宋_GBK" w:cs="方正仿宋_GBK"/>
          <w:b w:val="0"/>
          <w:bCs w:val="0"/>
          <w:color w:val="auto"/>
          <w:sz w:val="28"/>
          <w:szCs w:val="28"/>
          <w:lang w:val="en-US" w:eastAsia="zh-CN"/>
        </w:rPr>
        <w:t>44</w:t>
      </w:r>
      <w:r>
        <w:rPr>
          <w:rFonts w:hint="eastAsia" w:ascii="Times New Roman" w:hAnsi="Times New Roman" w:eastAsia="方正仿宋_GBK" w:cs="方正仿宋_GBK"/>
          <w:b w:val="0"/>
          <w:bCs w:val="0"/>
          <w:color w:val="auto"/>
          <w:sz w:val="28"/>
          <w:szCs w:val="28"/>
          <w:lang w:val="en-US" w:eastAsia="zh-CN"/>
        </w:rPr>
        <w:t>条河流河道管理范围划定，河长制全面落实，“河长清河”“清四乱”“碍洪”问题整治等专项行动常态化开展，启动实施乡镇集中式饮用水水源地环境保护项目，2021年，县域主要河流戛洒江和平甸河水质满足水环境功能区划要求，其中国控断面（小河底河－化念水库）、省控断面（戛洒江南薅、平甸河居拉里大桥、他拉河水库）均达到或好于Ⅲ类，县城集中式饮用水源地和</w:t>
      </w:r>
      <w:r>
        <w:rPr>
          <w:rFonts w:hint="default" w:ascii="Times New Roman" w:hAnsi="Times New Roman" w:eastAsia="方正仿宋_GBK" w:cs="方正仿宋_GBK"/>
          <w:b w:val="0"/>
          <w:bCs w:val="0"/>
          <w:color w:val="auto"/>
          <w:sz w:val="28"/>
          <w:szCs w:val="28"/>
          <w:lang w:val="en-US" w:eastAsia="zh-CN"/>
        </w:rPr>
        <w:t>4</w:t>
      </w:r>
      <w:r>
        <w:rPr>
          <w:rFonts w:hint="eastAsia" w:ascii="Times New Roman" w:hAnsi="Times New Roman" w:eastAsia="方正仿宋_GBK" w:cs="方正仿宋_GBK"/>
          <w:b w:val="0"/>
          <w:bCs w:val="0"/>
          <w:color w:val="auto"/>
          <w:sz w:val="28"/>
          <w:szCs w:val="28"/>
          <w:lang w:val="en-US" w:eastAsia="zh-CN"/>
        </w:rPr>
        <w:t>个“千吨万人”饮用水源地水质达标率保持</w:t>
      </w:r>
      <w:r>
        <w:rPr>
          <w:rFonts w:hint="default" w:ascii="Times New Roman" w:hAnsi="Times New Roman" w:eastAsia="方正仿宋_GBK" w:cs="方正仿宋_GBK"/>
          <w:b w:val="0"/>
          <w:bCs w:val="0"/>
          <w:color w:val="auto"/>
          <w:sz w:val="28"/>
          <w:szCs w:val="28"/>
          <w:lang w:val="en-US" w:eastAsia="zh-CN"/>
        </w:rPr>
        <w:t>100%</w:t>
      </w:r>
      <w:r>
        <w:rPr>
          <w:rFonts w:hint="eastAsia" w:ascii="Times New Roman" w:hAnsi="Times New Roman" w:eastAsia="方正仿宋_GBK" w:cs="方正仿宋_GBK"/>
          <w:b w:val="0"/>
          <w:bCs w:val="0"/>
          <w:color w:val="auto"/>
          <w:sz w:val="28"/>
          <w:szCs w:val="28"/>
          <w:lang w:val="en-US" w:eastAsia="zh-CN"/>
        </w:rPr>
        <w:t>。开展土壤污染源管控行动，完成“两矿一公司”土壤污染隐患排查，强化农业面源污染防控，推动农业绿色发展，鼎成农业入选国家级生态农场名单。完成重点企业土壤环境风险隐患排查，受污染耕地安全利用和严格管控措施完成23374亩，完成任务面积20155.84亩的115.97%。2021年污染地块安全利用率达到100%。县城功能区声环境质量、交通噪声和区域噪声达标率为100%，人民群众生态环境获得感、幸福感、安全感显著增强。</w:t>
      </w:r>
    </w:p>
    <w:p w14:paraId="1BC3EE8D">
      <w:pPr>
        <w:pStyle w:val="5"/>
        <w:pageBreakBefore w:val="0"/>
        <w:kinsoku/>
        <w:wordWrap/>
        <w:overflowPunct/>
        <w:topLinePunct w:val="0"/>
        <w:autoSpaceDE/>
        <w:autoSpaceDN/>
        <w:bidi w:val="0"/>
        <w:spacing w:before="120" w:after="120" w:line="500" w:lineRule="exact"/>
        <w:ind w:firstLine="0" w:firstLineChars="0"/>
        <w:textAlignment w:val="auto"/>
        <w:rPr>
          <w:rFonts w:hint="eastAsia" w:eastAsia="仿宋"/>
          <w:snapToGrid w:val="0"/>
          <w:color w:val="auto"/>
          <w:sz w:val="28"/>
          <w:szCs w:val="28"/>
          <w:lang w:val="en-US" w:eastAsia="zh-CN"/>
        </w:rPr>
      </w:pPr>
      <w:bookmarkStart w:id="64" w:name="_Toc31000"/>
      <w:r>
        <w:rPr>
          <w:rFonts w:eastAsia="仿宋"/>
          <w:snapToGrid w:val="0"/>
          <w:color w:val="auto"/>
          <w:sz w:val="28"/>
          <w:szCs w:val="28"/>
        </w:rPr>
        <w:t>2.2.</w:t>
      </w:r>
      <w:r>
        <w:rPr>
          <w:rFonts w:hint="eastAsia" w:eastAsia="仿宋"/>
          <w:snapToGrid w:val="0"/>
          <w:color w:val="auto"/>
          <w:sz w:val="28"/>
          <w:szCs w:val="28"/>
          <w:lang w:val="en-US" w:eastAsia="zh-CN"/>
        </w:rPr>
        <w:t>4</w:t>
      </w:r>
      <w:r>
        <w:rPr>
          <w:rFonts w:hint="eastAsia" w:eastAsia="仿宋"/>
          <w:snapToGrid w:val="0"/>
          <w:color w:val="auto"/>
          <w:sz w:val="28"/>
          <w:szCs w:val="28"/>
        </w:rPr>
        <w:t>坚持</w:t>
      </w:r>
      <w:r>
        <w:rPr>
          <w:rFonts w:hint="eastAsia" w:eastAsia="仿宋"/>
          <w:snapToGrid w:val="0"/>
          <w:color w:val="auto"/>
          <w:sz w:val="28"/>
          <w:szCs w:val="28"/>
          <w:lang w:val="en-US" w:eastAsia="zh-CN"/>
        </w:rPr>
        <w:t>产业</w:t>
      </w:r>
      <w:r>
        <w:rPr>
          <w:rFonts w:hint="eastAsia" w:eastAsia="仿宋"/>
          <w:snapToGrid w:val="0"/>
          <w:color w:val="auto"/>
          <w:sz w:val="28"/>
          <w:szCs w:val="28"/>
        </w:rPr>
        <w:t>转型发展，绿色经济成为新增长极</w:t>
      </w:r>
      <w:bookmarkEnd w:id="64"/>
    </w:p>
    <w:p w14:paraId="1A29357F">
      <w:pPr>
        <w:keepNext w:val="0"/>
        <w:keepLines w:val="0"/>
        <w:pageBreakBefore w:val="0"/>
        <w:widowControl/>
        <w:suppressLineNumbers w:val="0"/>
        <w:kinsoku/>
        <w:wordWrap/>
        <w:overflowPunct/>
        <w:topLinePunct w:val="0"/>
        <w:autoSpaceDE/>
        <w:autoSpaceDN/>
        <w:bidi w:val="0"/>
        <w:adjustRightInd/>
        <w:snapToGrid/>
        <w:spacing w:line="500" w:lineRule="exact"/>
        <w:ind w:firstLine="560" w:firstLineChars="200"/>
        <w:jc w:val="left"/>
        <w:textAlignment w:val="auto"/>
        <w:rPr>
          <w:rFonts w:hint="eastAsia" w:ascii="Times New Roman" w:hAnsi="Times New Roman" w:eastAsia="方正仿宋_GBK" w:cs="方正仿宋_GBK"/>
          <w:b w:val="0"/>
          <w:bCs w:val="0"/>
          <w:color w:val="auto"/>
          <w:sz w:val="28"/>
          <w:szCs w:val="28"/>
          <w:lang w:val="en-US" w:eastAsia="zh-CN"/>
        </w:rPr>
      </w:pPr>
      <w:r>
        <w:rPr>
          <w:rFonts w:hint="eastAsia" w:ascii="Times New Roman" w:hAnsi="Times New Roman" w:eastAsia="方正仿宋_GBK" w:cs="方正仿宋_GBK"/>
          <w:b w:val="0"/>
          <w:bCs w:val="0"/>
          <w:color w:val="auto"/>
          <w:sz w:val="28"/>
          <w:szCs w:val="28"/>
          <w:lang w:val="en-US" w:eastAsia="zh-CN"/>
        </w:rPr>
        <w:t>新平县依托本地资源和区位优势，以绿色发展为引领，立足推动生态经济发展，积极推动产业结构调整，培育壮大新兴产业、改造提升传统产业，近年来，全县经济结构逐步改善，工业支撑作用不断加强，服务业带动作用日益突出。总体看，产业发展实现新突破，生态经济发展成效明显。</w:t>
      </w:r>
    </w:p>
    <w:p w14:paraId="688C5F73">
      <w:pPr>
        <w:keepNext w:val="0"/>
        <w:keepLines w:val="0"/>
        <w:pageBreakBefore w:val="0"/>
        <w:widowControl/>
        <w:suppressLineNumbers w:val="0"/>
        <w:kinsoku/>
        <w:wordWrap/>
        <w:overflowPunct/>
        <w:topLinePunct w:val="0"/>
        <w:autoSpaceDE/>
        <w:autoSpaceDN/>
        <w:bidi w:val="0"/>
        <w:adjustRightInd/>
        <w:snapToGrid/>
        <w:spacing w:line="500" w:lineRule="exact"/>
        <w:ind w:firstLine="560" w:firstLineChars="200"/>
        <w:jc w:val="left"/>
        <w:textAlignment w:val="auto"/>
        <w:rPr>
          <w:rFonts w:hint="eastAsia" w:ascii="Times New Roman" w:hAnsi="Times New Roman" w:eastAsia="方正仿宋_GBK" w:cs="方正仿宋_GBK"/>
          <w:b w:val="0"/>
          <w:bCs w:val="0"/>
          <w:color w:val="auto"/>
          <w:sz w:val="28"/>
          <w:szCs w:val="28"/>
          <w:lang w:val="en-US" w:eastAsia="zh-CN"/>
        </w:rPr>
      </w:pPr>
      <w:r>
        <w:rPr>
          <w:rFonts w:hint="eastAsia" w:ascii="Times New Roman" w:hAnsi="Times New Roman" w:eastAsia="方正仿宋_GBK" w:cs="方正仿宋_GBK"/>
          <w:b w:val="0"/>
          <w:bCs w:val="0"/>
          <w:color w:val="auto"/>
          <w:sz w:val="28"/>
          <w:szCs w:val="28"/>
          <w:lang w:val="en-US" w:eastAsia="zh-CN"/>
        </w:rPr>
        <w:t>工业经济勇挑大梁。坚持工业延链补链强链，工业倍增计划加快实施，矿山采选、钢铁冶炼等传统工业产业进一步优化。加快智能化矿山建设，大红山铁矿二道河矿段100万吨采选、鲁电自走铁矿80万吨地下采矿改扩建项目进展顺利，仙福公司产能置换技改升级二期项目快速推进，红山球团80万吨生产线技改一期、辰顺20万吨废钢渣资源综合利用项目竣工投产；南恩公司搬迁改造转型升级项目环评取得批复，仙福公司100万吨焦化、大红山铁矿100万吨选矿扩能技改项目前期工作稳步推进；桂山片区产城融合基础设施建设项目主体完工，大开门产城融合建设项目持续推进，园区招商引资吸引力和承载力大幅提升；全县新增规模以上工业企业3户，仙福公司位列全省非公企业第3位，红山球团首次入围全省非公企业100强；预计实现规上工业增加值73.9亿元，同比增长17.1%。</w:t>
      </w:r>
    </w:p>
    <w:p w14:paraId="4F750B88">
      <w:pPr>
        <w:keepNext w:val="0"/>
        <w:keepLines w:val="0"/>
        <w:pageBreakBefore w:val="0"/>
        <w:widowControl/>
        <w:suppressLineNumbers w:val="0"/>
        <w:kinsoku/>
        <w:wordWrap/>
        <w:overflowPunct/>
        <w:topLinePunct w:val="0"/>
        <w:autoSpaceDE/>
        <w:autoSpaceDN/>
        <w:bidi w:val="0"/>
        <w:adjustRightInd/>
        <w:snapToGrid/>
        <w:spacing w:line="500" w:lineRule="exact"/>
        <w:ind w:firstLine="560" w:firstLineChars="200"/>
        <w:jc w:val="left"/>
        <w:textAlignment w:val="auto"/>
        <w:rPr>
          <w:rFonts w:hint="eastAsia" w:ascii="Times New Roman" w:hAnsi="Times New Roman" w:eastAsia="方正仿宋_GBK" w:cs="方正仿宋_GBK"/>
          <w:b w:val="0"/>
          <w:bCs w:val="0"/>
          <w:color w:val="auto"/>
          <w:sz w:val="28"/>
          <w:szCs w:val="28"/>
          <w:lang w:val="en-US" w:eastAsia="zh-CN"/>
        </w:rPr>
      </w:pPr>
      <w:r>
        <w:rPr>
          <w:rFonts w:hint="eastAsia" w:ascii="Times New Roman" w:hAnsi="Times New Roman" w:eastAsia="方正仿宋_GBK" w:cs="方正仿宋_GBK"/>
          <w:b w:val="0"/>
          <w:bCs w:val="0"/>
          <w:color w:val="auto"/>
          <w:sz w:val="28"/>
          <w:szCs w:val="28"/>
          <w:lang w:val="en-US" w:eastAsia="zh-CN"/>
        </w:rPr>
        <w:t>现代农业加快发展。粮食安全行政首长责任制全面落实，粮食产量稳中有增，预计突破</w:t>
      </w:r>
      <w:r>
        <w:rPr>
          <w:rFonts w:hint="default" w:ascii="Times New Roman" w:hAnsi="Times New Roman" w:eastAsia="方正仿宋_GBK" w:cs="方正仿宋_GBK"/>
          <w:b w:val="0"/>
          <w:bCs w:val="0"/>
          <w:color w:val="auto"/>
          <w:sz w:val="28"/>
          <w:szCs w:val="28"/>
          <w:lang w:val="en-US" w:eastAsia="zh-CN"/>
        </w:rPr>
        <w:t>2</w:t>
      </w:r>
      <w:r>
        <w:rPr>
          <w:rFonts w:hint="eastAsia" w:ascii="Times New Roman" w:hAnsi="Times New Roman" w:eastAsia="方正仿宋_GBK" w:cs="方正仿宋_GBK"/>
          <w:b w:val="0"/>
          <w:bCs w:val="0"/>
          <w:color w:val="auto"/>
          <w:sz w:val="28"/>
          <w:szCs w:val="28"/>
          <w:lang w:val="en-US" w:eastAsia="zh-CN"/>
        </w:rPr>
        <w:t>亿公斤。畜牧业规模化、标准化发展初见成效，德康</w:t>
      </w:r>
      <w:r>
        <w:rPr>
          <w:rFonts w:hint="default" w:ascii="Times New Roman" w:hAnsi="Times New Roman" w:eastAsia="方正仿宋_GBK" w:cs="方正仿宋_GBK"/>
          <w:b w:val="0"/>
          <w:bCs w:val="0"/>
          <w:color w:val="auto"/>
          <w:sz w:val="28"/>
          <w:szCs w:val="28"/>
          <w:lang w:val="en-US" w:eastAsia="zh-CN"/>
        </w:rPr>
        <w:t>70</w:t>
      </w:r>
      <w:r>
        <w:rPr>
          <w:rFonts w:hint="eastAsia" w:ascii="Times New Roman" w:hAnsi="Times New Roman" w:eastAsia="方正仿宋_GBK" w:cs="方正仿宋_GBK"/>
          <w:b w:val="0"/>
          <w:bCs w:val="0"/>
          <w:color w:val="auto"/>
          <w:sz w:val="28"/>
          <w:szCs w:val="28"/>
          <w:lang w:val="en-US" w:eastAsia="zh-CN"/>
        </w:rPr>
        <w:t>万头生猪养殖稳中有进，</w:t>
      </w:r>
      <w:r>
        <w:rPr>
          <w:rFonts w:hint="default" w:ascii="Times New Roman" w:hAnsi="Times New Roman" w:eastAsia="方正仿宋_GBK" w:cs="方正仿宋_GBK"/>
          <w:b w:val="0"/>
          <w:bCs w:val="0"/>
          <w:color w:val="auto"/>
          <w:sz w:val="28"/>
          <w:szCs w:val="28"/>
          <w:lang w:val="en-US" w:eastAsia="zh-CN"/>
        </w:rPr>
        <w:t>36</w:t>
      </w:r>
      <w:r>
        <w:rPr>
          <w:rFonts w:hint="eastAsia" w:ascii="Times New Roman" w:hAnsi="Times New Roman" w:eastAsia="方正仿宋_GBK" w:cs="方正仿宋_GBK"/>
          <w:b w:val="0"/>
          <w:bCs w:val="0"/>
          <w:color w:val="auto"/>
          <w:sz w:val="28"/>
          <w:szCs w:val="28"/>
          <w:lang w:val="en-US" w:eastAsia="zh-CN"/>
        </w:rPr>
        <w:t>万吨饲料加工厂开工建设。“一县一业”（水果产业）示范县第二年度创建成功，“一村一品”加快创建，新“三品一标”提升行动全力推进，自主选育的“新冰</w:t>
      </w:r>
      <w:r>
        <w:rPr>
          <w:rFonts w:hint="default" w:ascii="Times New Roman" w:hAnsi="Times New Roman" w:eastAsia="方正仿宋_GBK" w:cs="方正仿宋_GBK"/>
          <w:b w:val="0"/>
          <w:bCs w:val="0"/>
          <w:color w:val="auto"/>
          <w:sz w:val="28"/>
          <w:szCs w:val="28"/>
          <w:lang w:val="en-US" w:eastAsia="zh-CN"/>
        </w:rPr>
        <w:t>5</w:t>
      </w:r>
      <w:r>
        <w:rPr>
          <w:rFonts w:hint="eastAsia" w:ascii="Times New Roman" w:hAnsi="Times New Roman" w:eastAsia="方正仿宋_GBK" w:cs="方正仿宋_GBK"/>
          <w:b w:val="0"/>
          <w:bCs w:val="0"/>
          <w:color w:val="auto"/>
          <w:sz w:val="28"/>
          <w:szCs w:val="28"/>
          <w:lang w:val="en-US" w:eastAsia="zh-CN"/>
        </w:rPr>
        <w:t>号”“新冰</w:t>
      </w:r>
      <w:r>
        <w:rPr>
          <w:rFonts w:hint="default" w:ascii="Times New Roman" w:hAnsi="Times New Roman" w:eastAsia="方正仿宋_GBK" w:cs="方正仿宋_GBK"/>
          <w:b w:val="0"/>
          <w:bCs w:val="0"/>
          <w:color w:val="auto"/>
          <w:sz w:val="28"/>
          <w:szCs w:val="28"/>
          <w:lang w:val="en-US" w:eastAsia="zh-CN"/>
        </w:rPr>
        <w:t>30</w:t>
      </w:r>
      <w:r>
        <w:rPr>
          <w:rFonts w:hint="eastAsia" w:ascii="Times New Roman" w:hAnsi="Times New Roman" w:eastAsia="方正仿宋_GBK" w:cs="方正仿宋_GBK"/>
          <w:b w:val="0"/>
          <w:bCs w:val="0"/>
          <w:color w:val="auto"/>
          <w:sz w:val="28"/>
          <w:szCs w:val="28"/>
          <w:lang w:val="en-US" w:eastAsia="zh-CN"/>
        </w:rPr>
        <w:t>号”获农业农村部登记备案；加大柑橘品牌打造，“新平橙”知名度逐步提升，“褚橙”连续</w:t>
      </w:r>
      <w:r>
        <w:rPr>
          <w:rFonts w:hint="default" w:ascii="Times New Roman" w:hAnsi="Times New Roman" w:eastAsia="方正仿宋_GBK" w:cs="方正仿宋_GBK"/>
          <w:b w:val="0"/>
          <w:bCs w:val="0"/>
          <w:color w:val="auto"/>
          <w:sz w:val="28"/>
          <w:szCs w:val="28"/>
          <w:lang w:val="en-US" w:eastAsia="zh-CN"/>
        </w:rPr>
        <w:t>5</w:t>
      </w:r>
      <w:r>
        <w:rPr>
          <w:rFonts w:hint="eastAsia" w:ascii="Times New Roman" w:hAnsi="Times New Roman" w:eastAsia="方正仿宋_GBK" w:cs="方正仿宋_GBK"/>
          <w:b w:val="0"/>
          <w:bCs w:val="0"/>
          <w:color w:val="auto"/>
          <w:sz w:val="28"/>
          <w:szCs w:val="28"/>
          <w:lang w:val="en-US" w:eastAsia="zh-CN"/>
        </w:rPr>
        <w:t>年荣膺云南省“</w:t>
      </w:r>
      <w:r>
        <w:rPr>
          <w:rFonts w:hint="default" w:ascii="Times New Roman" w:hAnsi="Times New Roman" w:eastAsia="方正仿宋_GBK" w:cs="方正仿宋_GBK"/>
          <w:b w:val="0"/>
          <w:bCs w:val="0"/>
          <w:color w:val="auto"/>
          <w:sz w:val="28"/>
          <w:szCs w:val="28"/>
          <w:lang w:val="en-US" w:eastAsia="zh-CN"/>
        </w:rPr>
        <w:t>10</w:t>
      </w:r>
      <w:r>
        <w:rPr>
          <w:rFonts w:hint="eastAsia" w:ascii="Times New Roman" w:hAnsi="Times New Roman" w:eastAsia="方正仿宋_GBK" w:cs="方正仿宋_GBK"/>
          <w:b w:val="0"/>
          <w:bCs w:val="0"/>
          <w:color w:val="auto"/>
          <w:sz w:val="28"/>
          <w:szCs w:val="28"/>
          <w:lang w:val="en-US" w:eastAsia="zh-CN"/>
        </w:rPr>
        <w:t>大名果”。健全完善科技支撑平台和质量标准体系，柑橘种苗中心一期工程建设完成，恒冠泰达职业技能培训学校主体完工，被列为国家数字化种植业创新应用基地建设项目（柑橘品种），入选国家农产品产地冷藏保鲜设施建设整县推进试点县，柑橘产业发展基础更加牢固。烤烟产业提质增效，首次实现烟叶均价、烟叶税收和烟农收入均同比增长</w:t>
      </w:r>
      <w:r>
        <w:rPr>
          <w:rFonts w:hint="default" w:ascii="Times New Roman" w:hAnsi="Times New Roman" w:eastAsia="方正仿宋_GBK" w:cs="方正仿宋_GBK"/>
          <w:b w:val="0"/>
          <w:bCs w:val="0"/>
          <w:color w:val="auto"/>
          <w:sz w:val="28"/>
          <w:szCs w:val="28"/>
          <w:lang w:val="en-US" w:eastAsia="zh-CN"/>
        </w:rPr>
        <w:t>8%</w:t>
      </w:r>
      <w:r>
        <w:rPr>
          <w:rFonts w:hint="eastAsia" w:ascii="Times New Roman" w:hAnsi="Times New Roman" w:eastAsia="方正仿宋_GBK" w:cs="方正仿宋_GBK"/>
          <w:b w:val="0"/>
          <w:bCs w:val="0"/>
          <w:color w:val="auto"/>
          <w:sz w:val="28"/>
          <w:szCs w:val="28"/>
          <w:lang w:val="en-US" w:eastAsia="zh-CN"/>
        </w:rPr>
        <w:t>，雪茄烟种植逐步推开。蔬菜产业扩面提质，甘蔗产业减量增效，茶药产业稳步发展，林下经济探索推进，获评国家林下魔芋种植农业标准化示范区。加快农业规模化发展，实施土地整治</w:t>
      </w:r>
      <w:r>
        <w:rPr>
          <w:rFonts w:hint="default" w:ascii="Times New Roman" w:hAnsi="Times New Roman" w:eastAsia="方正仿宋_GBK" w:cs="方正仿宋_GBK"/>
          <w:b w:val="0"/>
          <w:bCs w:val="0"/>
          <w:color w:val="auto"/>
          <w:sz w:val="28"/>
          <w:szCs w:val="28"/>
          <w:lang w:val="en-US" w:eastAsia="zh-CN"/>
        </w:rPr>
        <w:t>8000</w:t>
      </w:r>
      <w:r>
        <w:rPr>
          <w:rFonts w:hint="eastAsia" w:ascii="Times New Roman" w:hAnsi="Times New Roman" w:eastAsia="方正仿宋_GBK" w:cs="方正仿宋_GBK"/>
          <w:b w:val="0"/>
          <w:bCs w:val="0"/>
          <w:color w:val="auto"/>
          <w:sz w:val="28"/>
          <w:szCs w:val="28"/>
          <w:lang w:val="en-US" w:eastAsia="zh-CN"/>
        </w:rPr>
        <w:t>亩，建成高标准农田</w:t>
      </w:r>
      <w:r>
        <w:rPr>
          <w:rFonts w:hint="default" w:ascii="Times New Roman" w:hAnsi="Times New Roman" w:eastAsia="方正仿宋_GBK" w:cs="方正仿宋_GBK"/>
          <w:b w:val="0"/>
          <w:bCs w:val="0"/>
          <w:color w:val="auto"/>
          <w:sz w:val="28"/>
          <w:szCs w:val="28"/>
          <w:lang w:val="en-US" w:eastAsia="zh-CN"/>
        </w:rPr>
        <w:t>5.45</w:t>
      </w:r>
      <w:r>
        <w:rPr>
          <w:rFonts w:hint="eastAsia" w:ascii="Times New Roman" w:hAnsi="Times New Roman" w:eastAsia="方正仿宋_GBK" w:cs="方正仿宋_GBK"/>
          <w:b w:val="0"/>
          <w:bCs w:val="0"/>
          <w:color w:val="auto"/>
          <w:sz w:val="28"/>
          <w:szCs w:val="28"/>
          <w:lang w:val="en-US" w:eastAsia="zh-CN"/>
        </w:rPr>
        <w:t>万亩，新增土地流转</w:t>
      </w:r>
      <w:r>
        <w:rPr>
          <w:rFonts w:hint="default" w:ascii="Times New Roman" w:hAnsi="Times New Roman" w:eastAsia="方正仿宋_GBK" w:cs="方正仿宋_GBK"/>
          <w:b w:val="0"/>
          <w:bCs w:val="0"/>
          <w:color w:val="auto"/>
          <w:sz w:val="28"/>
          <w:szCs w:val="28"/>
          <w:lang w:val="en-US" w:eastAsia="zh-CN"/>
        </w:rPr>
        <w:t>2.11</w:t>
      </w:r>
      <w:r>
        <w:rPr>
          <w:rFonts w:hint="eastAsia" w:ascii="Times New Roman" w:hAnsi="Times New Roman" w:eastAsia="方正仿宋_GBK" w:cs="方正仿宋_GBK"/>
          <w:b w:val="0"/>
          <w:bCs w:val="0"/>
          <w:color w:val="auto"/>
          <w:sz w:val="28"/>
          <w:szCs w:val="28"/>
          <w:lang w:val="en-US" w:eastAsia="zh-CN"/>
        </w:rPr>
        <w:t>万亩。预计实现第一产业增加值</w:t>
      </w:r>
      <w:r>
        <w:rPr>
          <w:rFonts w:hint="default" w:ascii="Times New Roman" w:hAnsi="Times New Roman" w:eastAsia="方正仿宋_GBK" w:cs="方正仿宋_GBK"/>
          <w:b w:val="0"/>
          <w:bCs w:val="0"/>
          <w:color w:val="auto"/>
          <w:sz w:val="28"/>
          <w:szCs w:val="28"/>
          <w:lang w:val="en-US" w:eastAsia="zh-CN"/>
        </w:rPr>
        <w:t>37.5</w:t>
      </w:r>
      <w:r>
        <w:rPr>
          <w:rFonts w:hint="eastAsia" w:ascii="Times New Roman" w:hAnsi="Times New Roman" w:eastAsia="方正仿宋_GBK" w:cs="方正仿宋_GBK"/>
          <w:b w:val="0"/>
          <w:bCs w:val="0"/>
          <w:color w:val="auto"/>
          <w:sz w:val="28"/>
          <w:szCs w:val="28"/>
          <w:lang w:val="en-US" w:eastAsia="zh-CN"/>
        </w:rPr>
        <w:t>亿元，同比增长</w:t>
      </w:r>
      <w:r>
        <w:rPr>
          <w:rFonts w:hint="default" w:ascii="Times New Roman" w:hAnsi="Times New Roman" w:eastAsia="方正仿宋_GBK" w:cs="方正仿宋_GBK"/>
          <w:b w:val="0"/>
          <w:bCs w:val="0"/>
          <w:color w:val="auto"/>
          <w:sz w:val="28"/>
          <w:szCs w:val="28"/>
          <w:lang w:val="en-US" w:eastAsia="zh-CN"/>
        </w:rPr>
        <w:t>6.7%</w:t>
      </w:r>
      <w:r>
        <w:rPr>
          <w:rFonts w:hint="eastAsia" w:ascii="Times New Roman" w:hAnsi="Times New Roman" w:eastAsia="方正仿宋_GBK" w:cs="方正仿宋_GBK"/>
          <w:b w:val="0"/>
          <w:bCs w:val="0"/>
          <w:color w:val="auto"/>
          <w:sz w:val="28"/>
          <w:szCs w:val="28"/>
          <w:lang w:val="en-US" w:eastAsia="zh-CN"/>
        </w:rPr>
        <w:t>。</w:t>
      </w:r>
    </w:p>
    <w:p w14:paraId="2C13E0A1">
      <w:pPr>
        <w:keepNext w:val="0"/>
        <w:keepLines w:val="0"/>
        <w:pageBreakBefore w:val="0"/>
        <w:widowControl/>
        <w:suppressLineNumbers w:val="0"/>
        <w:kinsoku/>
        <w:wordWrap/>
        <w:overflowPunct/>
        <w:topLinePunct w:val="0"/>
        <w:autoSpaceDE/>
        <w:autoSpaceDN/>
        <w:bidi w:val="0"/>
        <w:adjustRightInd/>
        <w:snapToGrid/>
        <w:spacing w:line="500" w:lineRule="exact"/>
        <w:ind w:firstLine="560" w:firstLineChars="200"/>
        <w:jc w:val="left"/>
        <w:textAlignment w:val="auto"/>
        <w:rPr>
          <w:rFonts w:hint="eastAsia" w:ascii="Times New Roman" w:hAnsi="Times New Roman" w:eastAsia="方正仿宋_GBK" w:cs="方正仿宋_GBK"/>
          <w:color w:val="auto"/>
          <w:kern w:val="2"/>
          <w:sz w:val="30"/>
          <w:szCs w:val="30"/>
          <w:lang w:val="en-US" w:eastAsia="zh-CN" w:bidi="ar-SA"/>
        </w:rPr>
      </w:pPr>
      <w:r>
        <w:rPr>
          <w:rFonts w:hint="eastAsia" w:ascii="Times New Roman" w:hAnsi="Times New Roman" w:eastAsia="方正仿宋_GBK" w:cs="方正仿宋_GBK"/>
          <w:b w:val="0"/>
          <w:bCs w:val="0"/>
          <w:color w:val="auto"/>
          <w:sz w:val="28"/>
          <w:szCs w:val="28"/>
          <w:lang w:val="en-US" w:eastAsia="zh-CN"/>
        </w:rPr>
        <w:t>第三产业加速回暖。国家级全域旅游示范区加快创建，欢乐水世界建设项目快速推进，云筑泊境半山酒店、戛洒花腰傣露天文化生态博物走廊项目开工建设；花腰田间</w:t>
      </w:r>
      <w:r>
        <w:rPr>
          <w:rFonts w:hint="default" w:ascii="Times New Roman" w:hAnsi="Times New Roman" w:eastAsia="方正仿宋_GBK" w:cs="方正仿宋_GBK"/>
          <w:b w:val="0"/>
          <w:bCs w:val="0"/>
          <w:color w:val="auto"/>
          <w:sz w:val="28"/>
          <w:szCs w:val="28"/>
          <w:lang w:val="en-US" w:eastAsia="zh-CN"/>
        </w:rPr>
        <w:t>3A</w:t>
      </w:r>
      <w:r>
        <w:rPr>
          <w:rFonts w:hint="eastAsia" w:ascii="Times New Roman" w:hAnsi="Times New Roman" w:eastAsia="方正仿宋_GBK" w:cs="方正仿宋_GBK"/>
          <w:b w:val="0"/>
          <w:bCs w:val="0"/>
          <w:color w:val="auto"/>
          <w:sz w:val="28"/>
          <w:szCs w:val="28"/>
          <w:lang w:val="en-US" w:eastAsia="zh-CN"/>
        </w:rPr>
        <w:t>级旅游景区创建成功，花腰傣原生态实景歌舞剧《喊月亮》成功演出，戛洒新寨上榜中国美丽休闲乡村名单，新化、建兴获评国家级全域森林康养试点建设乡。电子商务进农村示范县稳步实施，特色农产品区域公共品牌加快打造，电商公共服务中心投入运营，成功举办首届电商直播节、“橙心橙意·一起播”电商直播大赛，直播带货成为促进消费新形态，电商交易额达</w:t>
      </w:r>
      <w:r>
        <w:rPr>
          <w:rFonts w:hint="default" w:ascii="Times New Roman" w:hAnsi="Times New Roman" w:eastAsia="方正仿宋_GBK" w:cs="方正仿宋_GBK"/>
          <w:b w:val="0"/>
          <w:bCs w:val="0"/>
          <w:color w:val="auto"/>
          <w:sz w:val="28"/>
          <w:szCs w:val="28"/>
          <w:lang w:val="en-US" w:eastAsia="zh-CN"/>
        </w:rPr>
        <w:t>11.51</w:t>
      </w:r>
      <w:r>
        <w:rPr>
          <w:rFonts w:hint="eastAsia" w:ascii="Times New Roman" w:hAnsi="Times New Roman" w:eastAsia="方正仿宋_GBK" w:cs="方正仿宋_GBK"/>
          <w:b w:val="0"/>
          <w:bCs w:val="0"/>
          <w:color w:val="auto"/>
          <w:sz w:val="28"/>
          <w:szCs w:val="28"/>
          <w:lang w:val="en-US" w:eastAsia="zh-CN"/>
        </w:rPr>
        <w:t>亿元。预计实现第三产业增加值</w:t>
      </w:r>
      <w:r>
        <w:rPr>
          <w:rFonts w:hint="default" w:ascii="Times New Roman" w:hAnsi="Times New Roman" w:eastAsia="方正仿宋_GBK" w:cs="方正仿宋_GBK"/>
          <w:b w:val="0"/>
          <w:bCs w:val="0"/>
          <w:color w:val="auto"/>
          <w:sz w:val="28"/>
          <w:szCs w:val="28"/>
          <w:lang w:val="en-US" w:eastAsia="zh-CN"/>
        </w:rPr>
        <w:t>112.9</w:t>
      </w:r>
      <w:r>
        <w:rPr>
          <w:rFonts w:hint="eastAsia" w:ascii="Times New Roman" w:hAnsi="Times New Roman" w:eastAsia="方正仿宋_GBK" w:cs="方正仿宋_GBK"/>
          <w:b w:val="0"/>
          <w:bCs w:val="0"/>
          <w:color w:val="auto"/>
          <w:sz w:val="28"/>
          <w:szCs w:val="28"/>
          <w:lang w:val="en-US" w:eastAsia="zh-CN"/>
        </w:rPr>
        <w:t>亿元，同比增长</w:t>
      </w:r>
      <w:r>
        <w:rPr>
          <w:rFonts w:hint="default" w:ascii="Times New Roman" w:hAnsi="Times New Roman" w:eastAsia="方正仿宋_GBK" w:cs="方正仿宋_GBK"/>
          <w:b w:val="0"/>
          <w:bCs w:val="0"/>
          <w:color w:val="auto"/>
          <w:sz w:val="28"/>
          <w:szCs w:val="28"/>
          <w:lang w:val="en-US" w:eastAsia="zh-CN"/>
        </w:rPr>
        <w:t>1.9%</w:t>
      </w:r>
      <w:r>
        <w:rPr>
          <w:rFonts w:hint="eastAsia" w:ascii="Times New Roman" w:hAnsi="Times New Roman" w:eastAsia="方正仿宋_GBK" w:cs="方正仿宋_GBK"/>
          <w:b w:val="0"/>
          <w:bCs w:val="0"/>
          <w:color w:val="auto"/>
          <w:sz w:val="28"/>
          <w:szCs w:val="28"/>
          <w:lang w:val="en-US" w:eastAsia="zh-CN"/>
        </w:rPr>
        <w:t>。</w:t>
      </w:r>
    </w:p>
    <w:p w14:paraId="2E5BF982">
      <w:pPr>
        <w:pStyle w:val="5"/>
        <w:pageBreakBefore w:val="0"/>
        <w:kinsoku/>
        <w:wordWrap/>
        <w:overflowPunct/>
        <w:topLinePunct w:val="0"/>
        <w:autoSpaceDE/>
        <w:autoSpaceDN/>
        <w:bidi w:val="0"/>
        <w:spacing w:before="120" w:after="120" w:line="500" w:lineRule="exact"/>
        <w:ind w:firstLine="0" w:firstLineChars="0"/>
        <w:textAlignment w:val="auto"/>
        <w:rPr>
          <w:rFonts w:hint="eastAsia" w:eastAsia="仿宋"/>
          <w:snapToGrid w:val="0"/>
          <w:color w:val="auto"/>
          <w:sz w:val="28"/>
          <w:szCs w:val="28"/>
        </w:rPr>
      </w:pPr>
      <w:bookmarkStart w:id="65" w:name="_Toc14729"/>
      <w:r>
        <w:rPr>
          <w:rFonts w:hint="eastAsia" w:eastAsia="仿宋"/>
          <w:snapToGrid w:val="0"/>
          <w:color w:val="auto"/>
          <w:sz w:val="28"/>
          <w:szCs w:val="28"/>
        </w:rPr>
        <w:t>2.2.</w:t>
      </w:r>
      <w:r>
        <w:rPr>
          <w:rFonts w:hint="eastAsia" w:eastAsia="仿宋"/>
          <w:snapToGrid w:val="0"/>
          <w:color w:val="auto"/>
          <w:sz w:val="28"/>
          <w:szCs w:val="28"/>
          <w:lang w:val="en-US" w:eastAsia="zh-CN"/>
        </w:rPr>
        <w:t>5</w:t>
      </w:r>
      <w:r>
        <w:rPr>
          <w:rFonts w:hint="eastAsia" w:eastAsia="仿宋"/>
          <w:snapToGrid w:val="0"/>
          <w:color w:val="auto"/>
          <w:sz w:val="28"/>
          <w:szCs w:val="28"/>
        </w:rPr>
        <w:t>坚持</w:t>
      </w:r>
      <w:r>
        <w:rPr>
          <w:rFonts w:hint="eastAsia" w:eastAsia="仿宋"/>
          <w:snapToGrid w:val="0"/>
          <w:color w:val="auto"/>
          <w:sz w:val="28"/>
          <w:szCs w:val="28"/>
          <w:lang w:val="en-US" w:eastAsia="zh-CN"/>
        </w:rPr>
        <w:t>城乡</w:t>
      </w:r>
      <w:r>
        <w:rPr>
          <w:rFonts w:hint="eastAsia" w:eastAsia="仿宋"/>
          <w:snapToGrid w:val="0"/>
          <w:color w:val="auto"/>
          <w:sz w:val="28"/>
          <w:szCs w:val="28"/>
        </w:rPr>
        <w:t>协同共进，城乡人居环境</w:t>
      </w:r>
      <w:r>
        <w:rPr>
          <w:rFonts w:hint="eastAsia" w:eastAsia="仿宋"/>
          <w:snapToGrid w:val="0"/>
          <w:color w:val="auto"/>
          <w:sz w:val="28"/>
          <w:szCs w:val="28"/>
          <w:lang w:val="en-US" w:eastAsia="zh-CN"/>
        </w:rPr>
        <w:t>持续</w:t>
      </w:r>
      <w:r>
        <w:rPr>
          <w:rFonts w:hint="eastAsia" w:eastAsia="仿宋"/>
          <w:snapToGrid w:val="0"/>
          <w:color w:val="auto"/>
          <w:sz w:val="28"/>
          <w:szCs w:val="28"/>
        </w:rPr>
        <w:t>改善</w:t>
      </w:r>
      <w:bookmarkEnd w:id="65"/>
    </w:p>
    <w:p w14:paraId="19875A87">
      <w:pPr>
        <w:keepNext w:val="0"/>
        <w:keepLines w:val="0"/>
        <w:pageBreakBefore w:val="0"/>
        <w:widowControl/>
        <w:suppressLineNumbers w:val="0"/>
        <w:kinsoku/>
        <w:wordWrap/>
        <w:overflowPunct/>
        <w:topLinePunct w:val="0"/>
        <w:autoSpaceDE/>
        <w:autoSpaceDN/>
        <w:bidi w:val="0"/>
        <w:adjustRightInd/>
        <w:snapToGrid/>
        <w:spacing w:line="500" w:lineRule="exact"/>
        <w:ind w:firstLine="560" w:firstLineChars="200"/>
        <w:jc w:val="left"/>
        <w:textAlignment w:val="auto"/>
        <w:rPr>
          <w:rFonts w:hint="eastAsia" w:ascii="Times New Roman" w:hAnsi="Times New Roman" w:eastAsia="方正仿宋_GBK" w:cs="方正仿宋_GBK"/>
          <w:b w:val="0"/>
          <w:bCs w:val="0"/>
          <w:color w:val="auto"/>
          <w:sz w:val="28"/>
          <w:szCs w:val="28"/>
          <w:lang w:val="en-US" w:eastAsia="zh-CN"/>
        </w:rPr>
      </w:pPr>
      <w:r>
        <w:rPr>
          <w:rFonts w:hint="eastAsia" w:ascii="Times New Roman" w:hAnsi="Times New Roman" w:eastAsia="方正仿宋_GBK" w:cs="方正仿宋_GBK"/>
          <w:b w:val="0"/>
          <w:bCs w:val="0"/>
          <w:color w:val="auto"/>
          <w:sz w:val="28"/>
          <w:szCs w:val="28"/>
          <w:lang w:val="en-US" w:eastAsia="zh-CN"/>
        </w:rPr>
        <w:t>城市更新加速实施。有效衔接城市更新与美丽县城建设，完成县城污水处理厂改扩建和西园路、桂山公园提升改造，县城市政和环境基础设施补短板项目启动实施，老城片区综合开发、老旧小区改造等项目快速推进，县城品质不断提升。智慧县城建设稳中有进，完成城市模型及信息化管理建设项目，开工建设智慧化停车项目，城市精细化数字化管理水平持续提升。2020年1月，新平县被省政府命名为“云南省美丽县城”，成为云南省首批20个获此殊荣的县市之一。2021年，新平县建成区面积6.53平方公里，绿地面积228.8公顷，绿地率为35.04%，县城公园绿地面积80公顷，人均公园绿地面积12.03㎡/人。2016年被评为“全国绿化模范单位”，2017年成功创建为“国家园林县城”。</w:t>
      </w:r>
    </w:p>
    <w:p w14:paraId="38C216E4">
      <w:pPr>
        <w:keepNext w:val="0"/>
        <w:keepLines w:val="0"/>
        <w:pageBreakBefore w:val="0"/>
        <w:widowControl/>
        <w:suppressLineNumbers w:val="0"/>
        <w:kinsoku/>
        <w:wordWrap/>
        <w:overflowPunct/>
        <w:topLinePunct w:val="0"/>
        <w:autoSpaceDE/>
        <w:autoSpaceDN/>
        <w:bidi w:val="0"/>
        <w:adjustRightInd/>
        <w:snapToGrid/>
        <w:spacing w:line="500" w:lineRule="exact"/>
        <w:ind w:firstLine="560" w:firstLineChars="200"/>
        <w:jc w:val="left"/>
        <w:textAlignment w:val="auto"/>
        <w:rPr>
          <w:rFonts w:hint="eastAsia" w:ascii="Times New Roman" w:hAnsi="Times New Roman" w:eastAsia="方正仿宋_GBK" w:cs="方正仿宋_GBK"/>
          <w:b w:val="0"/>
          <w:bCs w:val="0"/>
          <w:color w:val="auto"/>
          <w:sz w:val="28"/>
          <w:szCs w:val="28"/>
          <w:lang w:val="en-US" w:eastAsia="zh-CN"/>
        </w:rPr>
      </w:pPr>
      <w:r>
        <w:rPr>
          <w:rFonts w:hint="eastAsia" w:ascii="Times New Roman" w:hAnsi="Times New Roman" w:eastAsia="方正仿宋_GBK" w:cs="方正仿宋_GBK"/>
          <w:b w:val="0"/>
          <w:bCs w:val="0"/>
          <w:color w:val="auto"/>
          <w:sz w:val="28"/>
          <w:szCs w:val="28"/>
          <w:lang w:val="en-US" w:eastAsia="zh-CN"/>
        </w:rPr>
        <w:t>乡村建设稳步推进。加快推进区域协调发展，扬武大开门片区综合开发稳步实施，戛洒腰街、平掌曼干片区开发前期工作有序推进，者竜、老厂、建兴集镇新区加快扩容，集镇和中心村服务功能更加完善。实施乡村振兴“十百千”工程和绿美乡村三年行动，加快建设一批美丽乡村，戛洒镇被评为省级乡村振兴示范乡镇和绿美乡镇，新化阿宝、平甸桃孔入选省级精品村，新寨村杧木树小组和太平社区上斗戛小组入选省级绿美村庄；全面启动“多规合一”实用性村庄规划编制，完成</w:t>
      </w:r>
      <w:r>
        <w:rPr>
          <w:rFonts w:hint="default" w:ascii="Times New Roman" w:hAnsi="Times New Roman" w:eastAsia="方正仿宋_GBK" w:cs="方正仿宋_GBK"/>
          <w:b w:val="0"/>
          <w:bCs w:val="0"/>
          <w:color w:val="auto"/>
          <w:sz w:val="28"/>
          <w:szCs w:val="28"/>
          <w:lang w:val="en-US" w:eastAsia="zh-CN"/>
        </w:rPr>
        <w:t>117</w:t>
      </w:r>
      <w:r>
        <w:rPr>
          <w:rFonts w:hint="eastAsia" w:ascii="Times New Roman" w:hAnsi="Times New Roman" w:eastAsia="方正仿宋_GBK" w:cs="方正仿宋_GBK"/>
          <w:b w:val="0"/>
          <w:bCs w:val="0"/>
          <w:color w:val="auto"/>
          <w:sz w:val="28"/>
          <w:szCs w:val="28"/>
          <w:lang w:val="en-US" w:eastAsia="zh-CN"/>
        </w:rPr>
        <w:t>个村庄规划县级审查，实现全县村庄规划编制全覆盖；深入实施农村人居环境整治提升五年行动，建成扬武、漠沙、戛洒“两污”项目，农村生活污水治理成效明显，治理率达</w:t>
      </w:r>
      <w:r>
        <w:rPr>
          <w:rFonts w:hint="default" w:ascii="Times New Roman" w:hAnsi="Times New Roman" w:eastAsia="方正仿宋_GBK" w:cs="方正仿宋_GBK"/>
          <w:b w:val="0"/>
          <w:bCs w:val="0"/>
          <w:color w:val="auto"/>
          <w:sz w:val="28"/>
          <w:szCs w:val="28"/>
          <w:lang w:val="en-US" w:eastAsia="zh-CN"/>
        </w:rPr>
        <w:t>89.96%</w:t>
      </w:r>
      <w:r>
        <w:rPr>
          <w:rFonts w:hint="eastAsia" w:ascii="Times New Roman" w:hAnsi="Times New Roman" w:eastAsia="方正仿宋_GBK" w:cs="方正仿宋_GBK"/>
          <w:b w:val="0"/>
          <w:bCs w:val="0"/>
          <w:color w:val="auto"/>
          <w:sz w:val="28"/>
          <w:szCs w:val="28"/>
          <w:lang w:val="en-US" w:eastAsia="zh-CN"/>
        </w:rPr>
        <w:t>；扎实推进农村厕所革命，年度公厕建设和户厕改建顺利完成；农村危房闲置旧房安心拆除成效显著，累计拆除</w:t>
      </w:r>
      <w:r>
        <w:rPr>
          <w:rFonts w:hint="default" w:ascii="Times New Roman" w:hAnsi="Times New Roman" w:eastAsia="方正仿宋_GBK" w:cs="方正仿宋_GBK"/>
          <w:b w:val="0"/>
          <w:bCs w:val="0"/>
          <w:color w:val="auto"/>
          <w:sz w:val="28"/>
          <w:szCs w:val="28"/>
          <w:lang w:val="en-US" w:eastAsia="zh-CN"/>
        </w:rPr>
        <w:t>1.1</w:t>
      </w:r>
      <w:r>
        <w:rPr>
          <w:rFonts w:hint="eastAsia" w:ascii="Times New Roman" w:hAnsi="Times New Roman" w:eastAsia="方正仿宋_GBK" w:cs="方正仿宋_GBK"/>
          <w:b w:val="0"/>
          <w:bCs w:val="0"/>
          <w:color w:val="auto"/>
          <w:sz w:val="28"/>
          <w:szCs w:val="28"/>
          <w:lang w:val="en-US" w:eastAsia="zh-CN"/>
        </w:rPr>
        <w:t>万宗</w:t>
      </w:r>
      <w:r>
        <w:rPr>
          <w:rFonts w:hint="default" w:ascii="Times New Roman" w:hAnsi="Times New Roman" w:eastAsia="方正仿宋_GBK" w:cs="方正仿宋_GBK"/>
          <w:b w:val="0"/>
          <w:bCs w:val="0"/>
          <w:color w:val="auto"/>
          <w:sz w:val="28"/>
          <w:szCs w:val="28"/>
          <w:lang w:val="en-US" w:eastAsia="zh-CN"/>
        </w:rPr>
        <w:t>67</w:t>
      </w:r>
      <w:r>
        <w:rPr>
          <w:rFonts w:hint="eastAsia" w:ascii="Times New Roman" w:hAnsi="Times New Roman" w:eastAsia="方正仿宋_GBK" w:cs="方正仿宋_GBK"/>
          <w:b w:val="0"/>
          <w:bCs w:val="0"/>
          <w:color w:val="auto"/>
          <w:sz w:val="28"/>
          <w:szCs w:val="28"/>
          <w:lang w:val="en-US" w:eastAsia="zh-CN"/>
        </w:rPr>
        <w:t>万平方米，村庄土地有效盘活利用，成功打造桂山洒树依、新化米达起等</w:t>
      </w:r>
      <w:r>
        <w:rPr>
          <w:rFonts w:hint="default" w:ascii="Times New Roman" w:hAnsi="Times New Roman" w:eastAsia="方正仿宋_GBK" w:cs="方正仿宋_GBK"/>
          <w:b w:val="0"/>
          <w:bCs w:val="0"/>
          <w:color w:val="auto"/>
          <w:sz w:val="28"/>
          <w:szCs w:val="28"/>
          <w:lang w:val="en-US" w:eastAsia="zh-CN"/>
        </w:rPr>
        <w:t>36</w:t>
      </w:r>
      <w:r>
        <w:rPr>
          <w:rFonts w:hint="eastAsia" w:ascii="Times New Roman" w:hAnsi="Times New Roman" w:eastAsia="方正仿宋_GBK" w:cs="方正仿宋_GBK"/>
          <w:b w:val="0"/>
          <w:bCs w:val="0"/>
          <w:color w:val="auto"/>
          <w:sz w:val="28"/>
          <w:szCs w:val="28"/>
          <w:lang w:val="en-US" w:eastAsia="zh-CN"/>
        </w:rPr>
        <w:t>个示范点，农村人居环境大幅改善。加快数字乡村建设，被列为首批省级数字乡村试点县。全县认定国家森林乡村1个、省级森林乡村25个，创建省级绿色学校18所、绿色社区7个、环境教育基地2个，荣获省级生态文明县称号，桂山被命名为国家级生态文明乡镇。爱国卫生“7个专项行动”和农村人居环境整治深入开展，10个乡镇、105个村被命名为省卫生乡镇、卫生村，上榜省级美丽村庄3个。</w:t>
      </w:r>
    </w:p>
    <w:p w14:paraId="771E825F">
      <w:pPr>
        <w:keepNext w:val="0"/>
        <w:keepLines w:val="0"/>
        <w:pageBreakBefore w:val="0"/>
        <w:widowControl/>
        <w:suppressLineNumbers w:val="0"/>
        <w:kinsoku/>
        <w:wordWrap/>
        <w:overflowPunct/>
        <w:topLinePunct w:val="0"/>
        <w:autoSpaceDE/>
        <w:autoSpaceDN/>
        <w:bidi w:val="0"/>
        <w:adjustRightInd/>
        <w:snapToGrid/>
        <w:spacing w:line="500" w:lineRule="exact"/>
        <w:ind w:firstLine="560" w:firstLineChars="200"/>
        <w:jc w:val="left"/>
        <w:textAlignment w:val="auto"/>
        <w:rPr>
          <w:rFonts w:hint="eastAsia" w:ascii="Times New Roman" w:hAnsi="Times New Roman" w:eastAsia="方正仿宋_GBK" w:cs="方正仿宋_GBK"/>
          <w:b w:val="0"/>
          <w:bCs w:val="0"/>
          <w:color w:val="auto"/>
          <w:sz w:val="28"/>
          <w:szCs w:val="28"/>
          <w:lang w:val="en-US" w:eastAsia="zh-CN"/>
        </w:rPr>
      </w:pPr>
      <w:r>
        <w:rPr>
          <w:rFonts w:hint="eastAsia" w:ascii="Times New Roman" w:hAnsi="Times New Roman" w:eastAsia="方正仿宋_GBK" w:cs="方正仿宋_GBK"/>
          <w:b w:val="0"/>
          <w:bCs w:val="0"/>
          <w:color w:val="auto"/>
          <w:sz w:val="28"/>
          <w:szCs w:val="28"/>
          <w:lang w:val="en-US" w:eastAsia="zh-CN"/>
        </w:rPr>
        <w:t>新平县全力推进生态文明示范创建工作，以创建国家生态文明建设示范区作为推进生态文明建设的重要抓手和载体，提升生态文明建设水平，巩固生态文明建设工作成效。全县12个乡镇（街道）全部创建为云南省生态文明乡镇（街道），桂山镇于2010年被原国家环保部命名为“全国环境优美乡镇”，2017年新平荣获省人民政府命名的省生态文明县称号，成为云南省第二批省生态文明县（市、区），2018年《新平国家生态文明建设示范县规划》通过省生态环境厅审查，并组织实施；累计创建省级绿色社区7个、省级绿色学校18所、省级环境教育基地2个，市级绿色社区14个，市级绿色学校36所。</w:t>
      </w:r>
    </w:p>
    <w:p w14:paraId="23337CE5">
      <w:pPr>
        <w:pStyle w:val="11"/>
        <w:pageBreakBefore w:val="0"/>
        <w:kinsoku/>
        <w:wordWrap/>
        <w:overflowPunct/>
        <w:topLinePunct w:val="0"/>
        <w:autoSpaceDE/>
        <w:autoSpaceDN/>
        <w:bidi w:val="0"/>
        <w:spacing w:line="500" w:lineRule="exact"/>
        <w:textAlignment w:val="auto"/>
        <w:rPr>
          <w:rFonts w:ascii="Times New Roman" w:hAnsi="Times New Roman" w:eastAsia="仿宋" w:cs="Times New Roman"/>
          <w:color w:val="FF0000"/>
          <w:sz w:val="24"/>
        </w:rPr>
      </w:pPr>
    </w:p>
    <w:p w14:paraId="644700BD">
      <w:pPr>
        <w:pageBreakBefore w:val="0"/>
        <w:widowControl/>
        <w:kinsoku/>
        <w:wordWrap/>
        <w:overflowPunct/>
        <w:topLinePunct w:val="0"/>
        <w:autoSpaceDE/>
        <w:autoSpaceDN/>
        <w:bidi w:val="0"/>
        <w:spacing w:line="500" w:lineRule="exact"/>
        <w:ind w:firstLine="880" w:firstLineChars="200"/>
        <w:textAlignment w:val="auto"/>
        <w:rPr>
          <w:rFonts w:ascii="Times New Roman" w:hAnsi="Times New Roman" w:eastAsia="仿宋" w:cs="Times New Roman"/>
          <w:color w:val="FF0000"/>
          <w:sz w:val="44"/>
        </w:rPr>
      </w:pPr>
      <w:r>
        <w:rPr>
          <w:rFonts w:ascii="Times New Roman" w:hAnsi="Times New Roman" w:eastAsia="仿宋" w:cs="Times New Roman"/>
          <w:color w:val="FF0000"/>
          <w:sz w:val="44"/>
        </w:rPr>
        <w:br w:type="page"/>
      </w:r>
    </w:p>
    <w:bookmarkEnd w:id="14"/>
    <w:bookmarkEnd w:id="15"/>
    <w:bookmarkEnd w:id="16"/>
    <w:bookmarkEnd w:id="17"/>
    <w:bookmarkEnd w:id="18"/>
    <w:bookmarkEnd w:id="19"/>
    <w:bookmarkEnd w:id="20"/>
    <w:p w14:paraId="4ED73947">
      <w:pPr>
        <w:pStyle w:val="3"/>
        <w:pageBreakBefore w:val="0"/>
        <w:kinsoku/>
        <w:wordWrap/>
        <w:overflowPunct/>
        <w:topLinePunct w:val="0"/>
        <w:autoSpaceDE/>
        <w:autoSpaceDN/>
        <w:bidi w:val="0"/>
        <w:spacing w:before="0" w:after="0" w:line="500" w:lineRule="exact"/>
        <w:jc w:val="center"/>
        <w:textAlignment w:val="auto"/>
        <w:rPr>
          <w:rFonts w:hint="default" w:ascii="Times New Roman" w:hAnsi="Times New Roman" w:eastAsia="仿宋" w:cs="Times New Roman"/>
          <w:color w:val="auto"/>
          <w:sz w:val="44"/>
          <w:lang w:val="en-US" w:eastAsia="zh-CN"/>
        </w:rPr>
      </w:pPr>
      <w:bookmarkStart w:id="66" w:name="_Toc2050"/>
      <w:bookmarkStart w:id="67" w:name="_Toc21946"/>
      <w:bookmarkStart w:id="68" w:name="_Toc16414"/>
      <w:bookmarkStart w:id="69" w:name="_Toc15140"/>
      <w:bookmarkStart w:id="70" w:name="_Toc18953"/>
      <w:bookmarkStart w:id="71" w:name="_Toc31343"/>
      <w:bookmarkStart w:id="72" w:name="_Toc3826"/>
      <w:bookmarkStart w:id="73" w:name="_Toc32728"/>
      <w:bookmarkStart w:id="74" w:name="_Toc3232"/>
      <w:bookmarkStart w:id="75" w:name="_Toc35697745"/>
      <w:bookmarkStart w:id="76" w:name="_Toc25514"/>
      <w:r>
        <w:rPr>
          <w:rFonts w:hint="default" w:ascii="Times New Roman" w:hAnsi="Times New Roman" w:eastAsia="仿宋" w:cs="Times New Roman"/>
          <w:color w:val="auto"/>
          <w:sz w:val="44"/>
          <w:lang w:val="en-US" w:eastAsia="zh-CN"/>
        </w:rPr>
        <w:t>3形势分析</w:t>
      </w:r>
      <w:bookmarkEnd w:id="66"/>
      <w:bookmarkEnd w:id="67"/>
      <w:bookmarkEnd w:id="68"/>
      <w:bookmarkEnd w:id="69"/>
      <w:bookmarkEnd w:id="70"/>
      <w:bookmarkEnd w:id="71"/>
      <w:bookmarkEnd w:id="72"/>
      <w:bookmarkEnd w:id="73"/>
      <w:bookmarkEnd w:id="74"/>
      <w:bookmarkEnd w:id="75"/>
      <w:bookmarkEnd w:id="76"/>
    </w:p>
    <w:p w14:paraId="3ED54715">
      <w:pPr>
        <w:pStyle w:val="4"/>
        <w:pageBreakBefore w:val="0"/>
        <w:kinsoku/>
        <w:wordWrap/>
        <w:overflowPunct/>
        <w:topLinePunct w:val="0"/>
        <w:autoSpaceDE/>
        <w:autoSpaceDN/>
        <w:bidi w:val="0"/>
        <w:spacing w:before="260" w:after="260" w:line="500" w:lineRule="exact"/>
        <w:ind w:firstLine="0"/>
        <w:textAlignment w:val="auto"/>
        <w:rPr>
          <w:rFonts w:hint="default" w:ascii="Times New Roman" w:hAnsi="Times New Roman" w:eastAsia="仿宋" w:cs="Times New Roman"/>
          <w:color w:val="auto"/>
          <w:sz w:val="32"/>
          <w:lang w:val="en-US" w:eastAsia="zh-CN"/>
        </w:rPr>
      </w:pPr>
      <w:bookmarkStart w:id="77" w:name="_Toc385"/>
      <w:bookmarkStart w:id="78" w:name="_Toc12193"/>
      <w:bookmarkStart w:id="79" w:name="_Toc8318"/>
      <w:bookmarkStart w:id="80" w:name="_Toc8881"/>
      <w:bookmarkStart w:id="81" w:name="_Toc4940"/>
      <w:bookmarkStart w:id="82" w:name="_Toc4620"/>
      <w:bookmarkStart w:id="83" w:name="_Toc23648"/>
      <w:bookmarkStart w:id="84" w:name="_Toc5459"/>
      <w:bookmarkStart w:id="85" w:name="_Toc26314"/>
      <w:bookmarkStart w:id="86" w:name="_Toc28291"/>
      <w:r>
        <w:rPr>
          <w:rFonts w:hint="eastAsia" w:ascii="Times New Roman" w:hAnsi="Times New Roman" w:eastAsia="仿宋" w:cs="Times New Roman"/>
          <w:color w:val="auto"/>
          <w:sz w:val="32"/>
          <w:lang w:val="en-US" w:eastAsia="zh-CN"/>
        </w:rPr>
        <w:t>3.1</w:t>
      </w:r>
      <w:r>
        <w:rPr>
          <w:rFonts w:hint="default" w:ascii="Times New Roman" w:hAnsi="Times New Roman" w:eastAsia="仿宋" w:cs="Times New Roman"/>
          <w:color w:val="auto"/>
          <w:sz w:val="32"/>
          <w:lang w:val="en-US" w:eastAsia="zh-CN"/>
        </w:rPr>
        <w:t>存在问题</w:t>
      </w:r>
      <w:bookmarkEnd w:id="77"/>
      <w:bookmarkEnd w:id="78"/>
      <w:bookmarkEnd w:id="79"/>
      <w:bookmarkEnd w:id="80"/>
      <w:bookmarkEnd w:id="81"/>
      <w:bookmarkEnd w:id="82"/>
      <w:bookmarkEnd w:id="83"/>
      <w:bookmarkEnd w:id="84"/>
      <w:bookmarkEnd w:id="85"/>
      <w:bookmarkEnd w:id="86"/>
    </w:p>
    <w:p w14:paraId="1E472AE2">
      <w:pPr>
        <w:pStyle w:val="5"/>
        <w:pageBreakBefore w:val="0"/>
        <w:kinsoku/>
        <w:wordWrap/>
        <w:overflowPunct/>
        <w:topLinePunct w:val="0"/>
        <w:autoSpaceDE/>
        <w:autoSpaceDN/>
        <w:bidi w:val="0"/>
        <w:spacing w:before="120" w:after="120" w:line="500" w:lineRule="exact"/>
        <w:ind w:firstLine="0" w:firstLineChars="0"/>
        <w:textAlignment w:val="auto"/>
        <w:rPr>
          <w:rFonts w:hint="default" w:eastAsia="仿宋"/>
          <w:snapToGrid w:val="0"/>
          <w:color w:val="auto"/>
          <w:sz w:val="28"/>
          <w:szCs w:val="28"/>
          <w:lang w:val="en-US" w:eastAsia="zh-CN"/>
        </w:rPr>
      </w:pPr>
      <w:bookmarkStart w:id="87" w:name="_Toc27379"/>
      <w:bookmarkStart w:id="88" w:name="_Toc32538"/>
      <w:bookmarkStart w:id="89" w:name="_Toc23982"/>
      <w:r>
        <w:rPr>
          <w:rFonts w:hint="eastAsia" w:eastAsia="仿宋"/>
          <w:snapToGrid w:val="0"/>
          <w:color w:val="auto"/>
          <w:sz w:val="28"/>
          <w:szCs w:val="28"/>
          <w:lang w:val="en-US" w:eastAsia="zh-CN"/>
        </w:rPr>
        <w:t>3.1</w:t>
      </w:r>
      <w:r>
        <w:rPr>
          <w:rFonts w:hint="default" w:eastAsia="仿宋"/>
          <w:snapToGrid w:val="0"/>
          <w:color w:val="auto"/>
          <w:sz w:val="28"/>
          <w:szCs w:val="28"/>
          <w:lang w:val="en-US" w:eastAsia="zh-CN"/>
        </w:rPr>
        <w:t>.1</w:t>
      </w:r>
      <w:bookmarkEnd w:id="87"/>
      <w:bookmarkEnd w:id="88"/>
      <w:r>
        <w:rPr>
          <w:rFonts w:hint="default" w:eastAsia="仿宋"/>
          <w:snapToGrid w:val="0"/>
          <w:color w:val="auto"/>
          <w:sz w:val="28"/>
          <w:szCs w:val="28"/>
          <w:lang w:val="en-US" w:eastAsia="zh-CN"/>
        </w:rPr>
        <w:t>产业高质量绿色发展压力仍然较大</w:t>
      </w:r>
      <w:bookmarkEnd w:id="89"/>
    </w:p>
    <w:p w14:paraId="07944E8F">
      <w:pPr>
        <w:keepNext w:val="0"/>
        <w:keepLines w:val="0"/>
        <w:pageBreakBefore w:val="0"/>
        <w:widowControl/>
        <w:suppressLineNumbers w:val="0"/>
        <w:kinsoku/>
        <w:wordWrap/>
        <w:overflowPunct/>
        <w:topLinePunct w:val="0"/>
        <w:autoSpaceDE/>
        <w:autoSpaceDN/>
        <w:bidi w:val="0"/>
        <w:adjustRightInd/>
        <w:snapToGrid/>
        <w:spacing w:line="500" w:lineRule="exact"/>
        <w:ind w:firstLine="560" w:firstLineChars="200"/>
        <w:jc w:val="left"/>
        <w:textAlignment w:val="auto"/>
        <w:rPr>
          <w:rFonts w:hint="default" w:ascii="Times New Roman" w:hAnsi="Times New Roman" w:eastAsia="方正仿宋_GBK" w:cs="方正仿宋_GBK"/>
          <w:b w:val="0"/>
          <w:bCs w:val="0"/>
          <w:color w:val="auto"/>
          <w:sz w:val="28"/>
          <w:szCs w:val="28"/>
          <w:lang w:val="en-US" w:eastAsia="zh-CN"/>
        </w:rPr>
      </w:pPr>
      <w:r>
        <w:rPr>
          <w:rFonts w:hint="default" w:ascii="Times New Roman" w:hAnsi="Times New Roman" w:eastAsia="方正仿宋_GBK" w:cs="方正仿宋_GBK"/>
          <w:b w:val="0"/>
          <w:bCs w:val="0"/>
          <w:color w:val="auto"/>
          <w:sz w:val="28"/>
          <w:szCs w:val="28"/>
          <w:lang w:val="en-US" w:eastAsia="zh-CN"/>
        </w:rPr>
        <w:t>在绿色发展的要求下，新平县要实现产业转型升级，走高质量绿色发展之路仍有较大压力。</w:t>
      </w:r>
      <w:r>
        <w:rPr>
          <w:rFonts w:hint="eastAsia" w:ascii="Times New Roman" w:hAnsi="Times New Roman" w:eastAsia="方正仿宋_GBK" w:cs="方正仿宋_GBK"/>
          <w:b w:val="0"/>
          <w:bCs w:val="0"/>
          <w:color w:val="auto"/>
          <w:sz w:val="28"/>
          <w:szCs w:val="28"/>
          <w:lang w:val="en-US" w:eastAsia="zh-CN"/>
        </w:rPr>
        <w:t>一</w:t>
      </w:r>
      <w:r>
        <w:rPr>
          <w:rFonts w:hint="default" w:ascii="Times New Roman" w:hAnsi="Times New Roman" w:eastAsia="方正仿宋_GBK" w:cs="方正仿宋_GBK"/>
          <w:b w:val="0"/>
          <w:bCs w:val="0"/>
          <w:color w:val="auto"/>
          <w:sz w:val="28"/>
          <w:szCs w:val="28"/>
          <w:lang w:val="en-US" w:eastAsia="zh-CN"/>
        </w:rPr>
        <w:t>是工业转型升级压力持续加大，新兴产业发展迟缓。从产业结构上看，矿冶产业是新平县的传统支柱产业，也是工业经济的重要支撑，经济总量所占</w:t>
      </w:r>
      <w:r>
        <w:rPr>
          <w:rFonts w:hint="eastAsia" w:ascii="Times New Roman" w:hAnsi="Times New Roman" w:eastAsia="方正仿宋_GBK" w:cs="方正仿宋_GBK"/>
          <w:b w:val="0"/>
          <w:bCs w:val="0"/>
          <w:color w:val="auto"/>
          <w:sz w:val="28"/>
          <w:szCs w:val="28"/>
          <w:lang w:val="en-US" w:eastAsia="zh-CN"/>
        </w:rPr>
        <w:t>比</w:t>
      </w:r>
      <w:r>
        <w:rPr>
          <w:rFonts w:hint="default" w:ascii="Times New Roman" w:hAnsi="Times New Roman" w:eastAsia="方正仿宋_GBK" w:cs="方正仿宋_GBK"/>
          <w:b w:val="0"/>
          <w:bCs w:val="0"/>
          <w:color w:val="auto"/>
          <w:sz w:val="28"/>
          <w:szCs w:val="28"/>
          <w:lang w:val="en-US" w:eastAsia="zh-CN"/>
        </w:rPr>
        <w:t>重太高，特点依然是以资源初级加工为主，资源利用水平低、产品单一、装备工艺水平不高，存在着“大而不强、多而不精”的问题。而以食品加工、装备制造等加工制造业占比又过低，装备制造业和以农产品加工、箱包生产为主的轻工业仍然是以初加工为主，产品仍处于产业链前端和产值链底端。农产品精深加工、生物医药、新材料、新能源、先进装备制造和电子信息等新兴产业发展严重迟缓，特别是新材料、新能源、高科技生物医药和先进装备制造业仍处于空白。</w:t>
      </w:r>
      <w:r>
        <w:rPr>
          <w:rFonts w:hint="eastAsia" w:ascii="Times New Roman" w:hAnsi="Times New Roman" w:eastAsia="方正仿宋_GBK" w:cs="方正仿宋_GBK"/>
          <w:b w:val="0"/>
          <w:bCs w:val="0"/>
          <w:color w:val="auto"/>
          <w:sz w:val="28"/>
          <w:szCs w:val="28"/>
          <w:lang w:val="en-US" w:eastAsia="zh-CN"/>
        </w:rPr>
        <w:t>二</w:t>
      </w:r>
      <w:r>
        <w:rPr>
          <w:rFonts w:hint="default" w:ascii="Times New Roman" w:hAnsi="Times New Roman" w:eastAsia="方正仿宋_GBK" w:cs="方正仿宋_GBK"/>
          <w:b w:val="0"/>
          <w:bCs w:val="0"/>
          <w:color w:val="auto"/>
          <w:sz w:val="28"/>
          <w:szCs w:val="28"/>
          <w:lang w:val="en-US" w:eastAsia="zh-CN"/>
        </w:rPr>
        <w:t>是文化旅游产业综合效益不高、竞争力偏弱。文化和旅游基础设施不够完善旅游产品仍以观光型为主，形式单一，体验单调，缺少大项目、大企业、大品牌拉动，娱乐、休闲、体验、度假、康养等旅游产品开发较少或缺失，产业综合效益不高。与文化和旅游产业相伴相生的餐饮业、旅馆业、休闲娱乐等服务行业的建设相对滞后，不能满足广大游客的需求。</w:t>
      </w:r>
      <w:r>
        <w:rPr>
          <w:rFonts w:hint="eastAsia" w:ascii="Times New Roman" w:hAnsi="Times New Roman" w:eastAsia="方正仿宋_GBK" w:cs="方正仿宋_GBK"/>
          <w:b w:val="0"/>
          <w:bCs w:val="0"/>
          <w:color w:val="auto"/>
          <w:sz w:val="28"/>
          <w:szCs w:val="28"/>
          <w:lang w:val="en-US" w:eastAsia="zh-CN"/>
        </w:rPr>
        <w:t>三</w:t>
      </w:r>
      <w:r>
        <w:rPr>
          <w:rFonts w:hint="default" w:ascii="Times New Roman" w:hAnsi="Times New Roman" w:eastAsia="方正仿宋_GBK" w:cs="方正仿宋_GBK"/>
          <w:b w:val="0"/>
          <w:bCs w:val="0"/>
          <w:color w:val="auto"/>
          <w:sz w:val="28"/>
          <w:szCs w:val="28"/>
          <w:lang w:val="en-US" w:eastAsia="zh-CN"/>
        </w:rPr>
        <w:t>是农业绿色发展观念不牢，农业产业链不健全，农业绿色发展观念不牢。部分农业行业管理者和从业者难以从整体上对农业可持续发展和绿色发展进行有效</w:t>
      </w:r>
      <w:r>
        <w:rPr>
          <w:rFonts w:hint="eastAsia" w:ascii="Times New Roman" w:hAnsi="Times New Roman" w:eastAsia="方正仿宋_GBK" w:cs="方正仿宋_GBK"/>
          <w:b w:val="0"/>
          <w:bCs w:val="0"/>
          <w:color w:val="auto"/>
          <w:sz w:val="28"/>
          <w:szCs w:val="28"/>
          <w:lang w:val="en-US" w:eastAsia="zh-CN"/>
        </w:rPr>
        <w:t>地</w:t>
      </w:r>
      <w:r>
        <w:rPr>
          <w:rFonts w:hint="default" w:ascii="Times New Roman" w:hAnsi="Times New Roman" w:eastAsia="方正仿宋_GBK" w:cs="方正仿宋_GBK"/>
          <w:b w:val="0"/>
          <w:bCs w:val="0"/>
          <w:color w:val="auto"/>
          <w:sz w:val="28"/>
          <w:szCs w:val="28"/>
          <w:lang w:val="en-US" w:eastAsia="zh-CN"/>
        </w:rPr>
        <w:t>把握，工作思考和实践不多，使得新平县高原特色农业向更高层次转型发展内生动力不足。农业产业链不健全</w:t>
      </w:r>
      <w:r>
        <w:rPr>
          <w:rFonts w:hint="eastAsia" w:ascii="Times New Roman" w:hAnsi="Times New Roman" w:eastAsia="方正仿宋_GBK" w:cs="方正仿宋_GBK"/>
          <w:b w:val="0"/>
          <w:bCs w:val="0"/>
          <w:color w:val="auto"/>
          <w:sz w:val="28"/>
          <w:szCs w:val="28"/>
          <w:lang w:val="en-US" w:eastAsia="zh-CN"/>
        </w:rPr>
        <w:t>，</w:t>
      </w:r>
      <w:r>
        <w:rPr>
          <w:rFonts w:hint="default" w:ascii="Times New Roman" w:hAnsi="Times New Roman" w:eastAsia="方正仿宋_GBK" w:cs="方正仿宋_GBK"/>
          <w:b w:val="0"/>
          <w:bCs w:val="0"/>
          <w:color w:val="auto"/>
          <w:sz w:val="28"/>
          <w:szCs w:val="28"/>
          <w:lang w:val="en-US" w:eastAsia="zh-CN"/>
        </w:rPr>
        <w:t>农产品初加工能力配置不完善，精深加工能力薄弱，无法支撑农业产业转型升级</w:t>
      </w:r>
      <w:r>
        <w:rPr>
          <w:rFonts w:hint="eastAsia" w:ascii="Times New Roman" w:hAnsi="Times New Roman" w:eastAsia="方正仿宋_GBK" w:cs="方正仿宋_GBK"/>
          <w:b w:val="0"/>
          <w:bCs w:val="0"/>
          <w:color w:val="auto"/>
          <w:sz w:val="28"/>
          <w:szCs w:val="28"/>
          <w:lang w:val="en-US" w:eastAsia="zh-CN"/>
        </w:rPr>
        <w:t>；</w:t>
      </w:r>
      <w:r>
        <w:rPr>
          <w:rFonts w:hint="default" w:ascii="Times New Roman" w:hAnsi="Times New Roman" w:eastAsia="方正仿宋_GBK" w:cs="方正仿宋_GBK"/>
          <w:b w:val="0"/>
          <w:bCs w:val="0"/>
          <w:color w:val="auto"/>
          <w:sz w:val="28"/>
          <w:szCs w:val="28"/>
          <w:lang w:val="en-US" w:eastAsia="zh-CN"/>
        </w:rPr>
        <w:t>支撑外向型农业发展的大型冷链物流中心依然缺失</w:t>
      </w:r>
      <w:r>
        <w:rPr>
          <w:rFonts w:hint="eastAsia" w:ascii="Times New Roman" w:hAnsi="Times New Roman" w:eastAsia="方正仿宋_GBK" w:cs="方正仿宋_GBK"/>
          <w:b w:val="0"/>
          <w:bCs w:val="0"/>
          <w:color w:val="auto"/>
          <w:sz w:val="28"/>
          <w:szCs w:val="28"/>
          <w:lang w:val="en-US" w:eastAsia="zh-CN"/>
        </w:rPr>
        <w:t>；</w:t>
      </w:r>
      <w:r>
        <w:rPr>
          <w:rFonts w:hint="default" w:ascii="Times New Roman" w:hAnsi="Times New Roman" w:eastAsia="方正仿宋_GBK" w:cs="方正仿宋_GBK"/>
          <w:b w:val="0"/>
          <w:bCs w:val="0"/>
          <w:color w:val="auto"/>
          <w:sz w:val="28"/>
          <w:szCs w:val="28"/>
          <w:lang w:val="en-US" w:eastAsia="zh-CN"/>
        </w:rPr>
        <w:t>农业文化传承、生态治理等方面功能挖掘不足，休闲农业、乡村旅游发展迟缓。</w:t>
      </w:r>
    </w:p>
    <w:p w14:paraId="0B999AFB">
      <w:pPr>
        <w:pStyle w:val="5"/>
        <w:pageBreakBefore w:val="0"/>
        <w:kinsoku/>
        <w:wordWrap/>
        <w:overflowPunct/>
        <w:topLinePunct w:val="0"/>
        <w:autoSpaceDE/>
        <w:autoSpaceDN/>
        <w:bidi w:val="0"/>
        <w:spacing w:before="120" w:after="120" w:line="500" w:lineRule="exact"/>
        <w:ind w:firstLine="0" w:firstLineChars="0"/>
        <w:textAlignment w:val="auto"/>
        <w:rPr>
          <w:rFonts w:hint="default" w:eastAsia="仿宋"/>
          <w:snapToGrid w:val="0"/>
          <w:color w:val="auto"/>
          <w:sz w:val="28"/>
          <w:szCs w:val="28"/>
          <w:lang w:val="en-US" w:eastAsia="zh-CN"/>
        </w:rPr>
      </w:pPr>
      <w:bookmarkStart w:id="90" w:name="_Toc18665"/>
      <w:r>
        <w:rPr>
          <w:rFonts w:hint="eastAsia" w:eastAsia="仿宋"/>
          <w:snapToGrid w:val="0"/>
          <w:color w:val="auto"/>
          <w:sz w:val="28"/>
          <w:szCs w:val="28"/>
          <w:lang w:val="en-US" w:eastAsia="zh-CN"/>
        </w:rPr>
        <w:t>3.1</w:t>
      </w:r>
      <w:r>
        <w:rPr>
          <w:rFonts w:hint="default" w:eastAsia="仿宋"/>
          <w:snapToGrid w:val="0"/>
          <w:color w:val="auto"/>
          <w:sz w:val="28"/>
          <w:szCs w:val="28"/>
          <w:lang w:val="en-US" w:eastAsia="zh-CN"/>
        </w:rPr>
        <w:t>.2污染防治工作任务依然艰巨</w:t>
      </w:r>
      <w:bookmarkEnd w:id="90"/>
    </w:p>
    <w:p w14:paraId="309BADD1">
      <w:pPr>
        <w:pStyle w:val="5"/>
        <w:pageBreakBefore w:val="0"/>
        <w:kinsoku/>
        <w:wordWrap/>
        <w:overflowPunct/>
        <w:topLinePunct w:val="0"/>
        <w:autoSpaceDE/>
        <w:autoSpaceDN/>
        <w:bidi w:val="0"/>
        <w:spacing w:before="120" w:after="120" w:line="500" w:lineRule="exact"/>
        <w:ind w:firstLine="0" w:firstLineChars="0"/>
        <w:textAlignment w:val="auto"/>
        <w:rPr>
          <w:rFonts w:hint="default" w:eastAsia="仿宋"/>
          <w:snapToGrid w:val="0"/>
          <w:color w:val="auto"/>
          <w:sz w:val="28"/>
          <w:szCs w:val="28"/>
          <w:lang w:val="en-US" w:eastAsia="zh-CN"/>
        </w:rPr>
      </w:pPr>
      <w:bookmarkStart w:id="91" w:name="_Toc879"/>
      <w:bookmarkStart w:id="92" w:name="_Toc23735"/>
      <w:bookmarkStart w:id="93" w:name="_Toc11279"/>
      <w:bookmarkStart w:id="94" w:name="_Toc25930"/>
      <w:bookmarkStart w:id="95" w:name="_Toc5745"/>
      <w:bookmarkStart w:id="96" w:name="_Toc19488"/>
      <w:bookmarkStart w:id="97" w:name="_Toc30937"/>
      <w:bookmarkStart w:id="98" w:name="_Toc20021"/>
      <w:bookmarkStart w:id="99" w:name="_Toc20876"/>
      <w:bookmarkStart w:id="100" w:name="_Toc9642"/>
      <w:bookmarkStart w:id="101" w:name="_Toc5257"/>
      <w:bookmarkStart w:id="102" w:name="_Toc23272"/>
      <w:bookmarkStart w:id="103" w:name="_Toc2742"/>
      <w:bookmarkStart w:id="104" w:name="_Toc16604"/>
      <w:bookmarkStart w:id="105" w:name="_Toc12424"/>
      <w:bookmarkStart w:id="106" w:name="_Toc3868"/>
      <w:r>
        <w:rPr>
          <w:rFonts w:hint="eastAsia" w:eastAsia="仿宋"/>
          <w:snapToGrid w:val="0"/>
          <w:color w:val="auto"/>
          <w:sz w:val="28"/>
          <w:szCs w:val="28"/>
          <w:lang w:val="en-US" w:eastAsia="zh-CN"/>
        </w:rPr>
        <w:t>3.1</w:t>
      </w:r>
      <w:r>
        <w:rPr>
          <w:rFonts w:hint="default" w:eastAsia="仿宋"/>
          <w:snapToGrid w:val="0"/>
          <w:color w:val="auto"/>
          <w:sz w:val="28"/>
          <w:szCs w:val="28"/>
          <w:lang w:val="en-US" w:eastAsia="zh-CN"/>
        </w:rPr>
        <w:t>.</w:t>
      </w:r>
      <w:bookmarkEnd w:id="91"/>
      <w:bookmarkEnd w:id="92"/>
      <w:bookmarkEnd w:id="93"/>
      <w:bookmarkEnd w:id="94"/>
      <w:bookmarkEnd w:id="95"/>
      <w:r>
        <w:rPr>
          <w:rFonts w:hint="default" w:eastAsia="仿宋"/>
          <w:snapToGrid w:val="0"/>
          <w:color w:val="auto"/>
          <w:sz w:val="28"/>
          <w:szCs w:val="28"/>
          <w:lang w:val="en-US" w:eastAsia="zh-CN"/>
        </w:rPr>
        <w:t>3</w:t>
      </w:r>
      <w:r>
        <w:rPr>
          <w:rFonts w:hint="eastAsia" w:eastAsia="仿宋"/>
          <w:snapToGrid w:val="0"/>
          <w:color w:val="auto"/>
          <w:sz w:val="28"/>
          <w:szCs w:val="28"/>
          <w:lang w:val="en-US" w:eastAsia="zh-CN"/>
        </w:rPr>
        <w:t>城乡环保设施</w:t>
      </w:r>
      <w:r>
        <w:rPr>
          <w:rFonts w:hint="default" w:eastAsia="仿宋"/>
          <w:snapToGrid w:val="0"/>
          <w:color w:val="auto"/>
          <w:sz w:val="28"/>
          <w:szCs w:val="28"/>
          <w:lang w:val="en-US" w:eastAsia="zh-CN"/>
        </w:rPr>
        <w:t>等公共基础设施建设滞后</w:t>
      </w:r>
      <w:bookmarkEnd w:id="96"/>
    </w:p>
    <w:p w14:paraId="6D3B1D99">
      <w:pPr>
        <w:keepNext w:val="0"/>
        <w:keepLines w:val="0"/>
        <w:pageBreakBefore w:val="0"/>
        <w:widowControl/>
        <w:suppressLineNumbers w:val="0"/>
        <w:kinsoku/>
        <w:wordWrap/>
        <w:overflowPunct/>
        <w:topLinePunct w:val="0"/>
        <w:autoSpaceDE/>
        <w:autoSpaceDN/>
        <w:bidi w:val="0"/>
        <w:adjustRightInd/>
        <w:snapToGrid/>
        <w:spacing w:line="500" w:lineRule="exact"/>
        <w:ind w:firstLine="560" w:firstLineChars="200"/>
        <w:jc w:val="left"/>
        <w:textAlignment w:val="auto"/>
        <w:rPr>
          <w:rFonts w:hint="default" w:ascii="Times New Roman" w:hAnsi="Times New Roman" w:eastAsia="方正仿宋_GBK" w:cs="方正仿宋_GBK"/>
          <w:b w:val="0"/>
          <w:bCs w:val="0"/>
          <w:color w:val="auto"/>
          <w:sz w:val="28"/>
          <w:szCs w:val="28"/>
          <w:lang w:val="en-US" w:eastAsia="zh-CN"/>
        </w:rPr>
      </w:pPr>
      <w:r>
        <w:rPr>
          <w:rFonts w:hint="eastAsia" w:ascii="Times New Roman" w:hAnsi="Times New Roman" w:eastAsia="方正仿宋_GBK" w:cs="方正仿宋_GBK"/>
          <w:b w:val="0"/>
          <w:bCs w:val="0"/>
          <w:color w:val="auto"/>
          <w:sz w:val="28"/>
          <w:szCs w:val="28"/>
          <w:lang w:val="en-US" w:eastAsia="zh-CN"/>
        </w:rPr>
        <w:t>城乡</w:t>
      </w:r>
      <w:r>
        <w:rPr>
          <w:rFonts w:hint="default" w:ascii="Times New Roman" w:hAnsi="Times New Roman" w:eastAsia="方正仿宋_GBK" w:cs="方正仿宋_GBK"/>
          <w:b w:val="0"/>
          <w:bCs w:val="0"/>
          <w:color w:val="auto"/>
          <w:sz w:val="28"/>
          <w:szCs w:val="28"/>
          <w:lang w:val="en-US" w:eastAsia="zh-CN"/>
        </w:rPr>
        <w:t>环境基础设施不完善。乡镇污水和垃圾处理是薄弱环节，且除县城外，部分乡镇的“两污”项目建设滞后。乡镇生活垃圾无卫生填埋处理处置，垃圾收集转运清理系统不完善，垃圾处于乱堆乱放状态存在安全隐患。生活污水无规范处理设施，随地形自然漫流污染地表水体。尤其是乡村污水收集处理、垃圾收集处理等环保基础设施薄弱，不能满足基本需要，导致污水散排、垃圾围村现象普遍存在，对地表水、地下水、土壤环境都有很大的污染风险。</w:t>
      </w:r>
    </w:p>
    <w:p w14:paraId="06122E44">
      <w:pPr>
        <w:keepNext w:val="0"/>
        <w:keepLines w:val="0"/>
        <w:pageBreakBefore w:val="0"/>
        <w:widowControl/>
        <w:suppressLineNumbers w:val="0"/>
        <w:kinsoku/>
        <w:wordWrap/>
        <w:overflowPunct/>
        <w:topLinePunct w:val="0"/>
        <w:autoSpaceDE/>
        <w:autoSpaceDN/>
        <w:bidi w:val="0"/>
        <w:adjustRightInd/>
        <w:snapToGrid/>
        <w:spacing w:line="500" w:lineRule="exact"/>
        <w:ind w:firstLine="560" w:firstLineChars="200"/>
        <w:jc w:val="left"/>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方正仿宋_GBK"/>
          <w:b w:val="0"/>
          <w:bCs w:val="0"/>
          <w:color w:val="auto"/>
          <w:sz w:val="28"/>
          <w:szCs w:val="28"/>
          <w:lang w:val="en-US" w:eastAsia="zh-CN"/>
        </w:rPr>
        <w:t>基础设施和公共服务设施仍然薄弱。资源性缺水和工程性缺水问题并存，县城与平掌、建兴、者竜等乡镇缺乏快速路网连接，农村公路建设、养护资金配套严重不足；城镇化水平较低，乡镇之间发展差距大，城乡之间在医疗、教育、就业、文化、社会保障等方面资源均衡配置尚待加强，与人民群众对美好生活的向往、对品质生活的追求还有较大差距。</w:t>
      </w:r>
    </w:p>
    <w:p w14:paraId="70F13EBC">
      <w:pPr>
        <w:pStyle w:val="5"/>
        <w:pageBreakBefore w:val="0"/>
        <w:kinsoku/>
        <w:wordWrap/>
        <w:overflowPunct/>
        <w:topLinePunct w:val="0"/>
        <w:autoSpaceDE/>
        <w:autoSpaceDN/>
        <w:bidi w:val="0"/>
        <w:spacing w:before="120" w:after="120" w:line="500" w:lineRule="exact"/>
        <w:ind w:firstLine="0" w:firstLineChars="0"/>
        <w:textAlignment w:val="auto"/>
        <w:rPr>
          <w:rFonts w:hint="default" w:eastAsia="仿宋"/>
          <w:snapToGrid w:val="0"/>
          <w:color w:val="auto"/>
          <w:sz w:val="28"/>
          <w:szCs w:val="28"/>
          <w:lang w:val="en-US" w:eastAsia="zh-CN"/>
        </w:rPr>
      </w:pPr>
      <w:bookmarkStart w:id="107" w:name="_Toc8485"/>
      <w:bookmarkStart w:id="108" w:name="_Toc11771"/>
      <w:bookmarkStart w:id="109" w:name="_Toc26425"/>
      <w:r>
        <w:rPr>
          <w:rFonts w:hint="eastAsia" w:eastAsia="仿宋"/>
          <w:snapToGrid w:val="0"/>
          <w:color w:val="auto"/>
          <w:sz w:val="28"/>
          <w:szCs w:val="28"/>
          <w:lang w:val="en-US" w:eastAsia="zh-CN"/>
        </w:rPr>
        <w:t>3.1</w:t>
      </w:r>
      <w:r>
        <w:rPr>
          <w:rFonts w:hint="default" w:eastAsia="仿宋"/>
          <w:snapToGrid w:val="0"/>
          <w:color w:val="auto"/>
          <w:sz w:val="28"/>
          <w:szCs w:val="28"/>
          <w:lang w:val="en-US" w:eastAsia="zh-CN"/>
        </w:rPr>
        <w:t>.</w:t>
      </w:r>
      <w:bookmarkEnd w:id="107"/>
      <w:bookmarkEnd w:id="108"/>
      <w:r>
        <w:rPr>
          <w:rFonts w:hint="default" w:eastAsia="仿宋"/>
          <w:snapToGrid w:val="0"/>
          <w:color w:val="auto"/>
          <w:sz w:val="28"/>
          <w:szCs w:val="28"/>
          <w:lang w:val="en-US" w:eastAsia="zh-CN"/>
        </w:rPr>
        <w:t>4资源开发与环境保护压力较大</w:t>
      </w:r>
      <w:bookmarkEnd w:id="109"/>
    </w:p>
    <w:p w14:paraId="486C39FE">
      <w:pPr>
        <w:keepNext w:val="0"/>
        <w:keepLines w:val="0"/>
        <w:pageBreakBefore w:val="0"/>
        <w:widowControl/>
        <w:suppressLineNumbers w:val="0"/>
        <w:kinsoku/>
        <w:wordWrap/>
        <w:overflowPunct/>
        <w:topLinePunct w:val="0"/>
        <w:autoSpaceDE/>
        <w:autoSpaceDN/>
        <w:bidi w:val="0"/>
        <w:adjustRightInd/>
        <w:snapToGrid/>
        <w:spacing w:line="500" w:lineRule="exact"/>
        <w:ind w:firstLine="560" w:firstLineChars="200"/>
        <w:jc w:val="left"/>
        <w:textAlignment w:val="auto"/>
        <w:rPr>
          <w:rFonts w:hint="default" w:ascii="Times New Roman" w:hAnsi="Times New Roman" w:eastAsia="方正仿宋_GBK" w:cs="方正仿宋_GBK"/>
          <w:b w:val="0"/>
          <w:bCs w:val="0"/>
          <w:color w:val="auto"/>
          <w:sz w:val="28"/>
          <w:szCs w:val="28"/>
          <w:lang w:val="en-US" w:eastAsia="zh-CN"/>
        </w:rPr>
      </w:pPr>
      <w:r>
        <w:rPr>
          <w:rFonts w:hint="default" w:ascii="Times New Roman" w:hAnsi="Times New Roman" w:eastAsia="方正仿宋_GBK" w:cs="方正仿宋_GBK"/>
          <w:b w:val="0"/>
          <w:bCs w:val="0"/>
          <w:color w:val="auto"/>
          <w:sz w:val="28"/>
          <w:szCs w:val="28"/>
          <w:lang w:val="en-US" w:eastAsia="zh-CN"/>
        </w:rPr>
        <w:t>矿山修复治理压力较大。新平县矿山地质环境条件比较脆弱，问题积累时间长，历史欠账较多，尽管矿山地质环境保护与恢复治理工作取得了一定的成效，受经济因素和其他众多自然人为因素的影响，面临的困难多，存在问题突出。且矿山地质环境治理工程投入大，其经济效益不凸显或滞后，造成矿山地质环境治理投资回报率不大，缺乏有效的投入和融资渠道，造成治理进行缓慢，再加上缺乏矿山地质环境治理相关的鼓励政策措施，极少有社会资金参与，因而资金缺口大。在生态文明建设新形势下，矿山管理、治理难度大。目前新平县矿山企业规模开采和集约化经营水平较低，矿产资源综合开发利用程度不高，造成的地质环境破坏较多且分散。在国土空间规划“三区三线”空间布局和管控要求下，管理、治理难度大，较难满足现行生态文明建设要求。响和破坏、废水固废影响等，造成治理难度大。</w:t>
      </w:r>
    </w:p>
    <w:p w14:paraId="386DC9DA">
      <w:pPr>
        <w:keepNext w:val="0"/>
        <w:keepLines w:val="0"/>
        <w:pageBreakBefore w:val="0"/>
        <w:widowControl/>
        <w:suppressLineNumbers w:val="0"/>
        <w:kinsoku/>
        <w:wordWrap/>
        <w:overflowPunct/>
        <w:topLinePunct w:val="0"/>
        <w:autoSpaceDE/>
        <w:autoSpaceDN/>
        <w:bidi w:val="0"/>
        <w:adjustRightInd/>
        <w:snapToGrid/>
        <w:spacing w:line="500" w:lineRule="exact"/>
        <w:ind w:firstLine="560" w:firstLineChars="200"/>
        <w:jc w:val="left"/>
        <w:textAlignment w:val="auto"/>
        <w:rPr>
          <w:rFonts w:hint="default" w:ascii="Times New Roman" w:hAnsi="Times New Roman" w:eastAsia="方正仿宋_GBK" w:cs="方正仿宋_GBK"/>
          <w:b w:val="0"/>
          <w:bCs w:val="0"/>
          <w:color w:val="auto"/>
          <w:sz w:val="28"/>
          <w:szCs w:val="28"/>
          <w:lang w:val="en-US" w:eastAsia="zh-CN"/>
        </w:rPr>
      </w:pPr>
      <w:r>
        <w:rPr>
          <w:rFonts w:hint="default" w:ascii="Times New Roman" w:hAnsi="Times New Roman" w:eastAsia="方正仿宋_GBK" w:cs="方正仿宋_GBK"/>
          <w:b w:val="0"/>
          <w:bCs w:val="0"/>
          <w:color w:val="auto"/>
          <w:sz w:val="28"/>
          <w:szCs w:val="28"/>
          <w:lang w:val="en-US" w:eastAsia="zh-CN"/>
        </w:rPr>
        <w:t>森林资源保护任务艰巨。近年来，全县虽然持续开展绿化造林、森林抚育等工作，但林草建设同国民经济发展的要求以及人民群众的生态需求还不适应，森林资源保护与经济发展的矛盾突出，经济社会活动对自然资源的利用强度还在不断加大，违法占用林地现象时有发生；林地</w:t>
      </w:r>
      <w:r>
        <w:rPr>
          <w:rFonts w:hint="eastAsia" w:ascii="Times New Roman" w:hAnsi="Times New Roman" w:eastAsia="方正仿宋_GBK" w:cs="方正仿宋_GBK"/>
          <w:b w:val="0"/>
          <w:bCs w:val="0"/>
          <w:color w:val="auto"/>
          <w:sz w:val="28"/>
          <w:szCs w:val="28"/>
          <w:lang w:val="en-US" w:eastAsia="zh-CN"/>
        </w:rPr>
        <w:t>与其他</w:t>
      </w:r>
      <w:r>
        <w:rPr>
          <w:rFonts w:hint="default" w:ascii="Times New Roman" w:hAnsi="Times New Roman" w:eastAsia="方正仿宋_GBK" w:cs="方正仿宋_GBK"/>
          <w:b w:val="0"/>
          <w:bCs w:val="0"/>
          <w:color w:val="auto"/>
          <w:sz w:val="28"/>
          <w:szCs w:val="28"/>
          <w:lang w:val="en-US" w:eastAsia="zh-CN"/>
        </w:rPr>
        <w:t>地类存在交叉重叠，给林地管理和使用带来诸多矛盾和纠纷；森林安全保护压力仍然巨大，森林火灾和林草有害生物防控能力还需不断提升；森林、自然保护地、湿地等监测体系建设有待加强，监测能力和监测水平还需提升。</w:t>
      </w:r>
    </w:p>
    <w:p w14:paraId="492527F5">
      <w:pPr>
        <w:pStyle w:val="5"/>
        <w:pageBreakBefore w:val="0"/>
        <w:kinsoku/>
        <w:wordWrap/>
        <w:overflowPunct/>
        <w:topLinePunct w:val="0"/>
        <w:autoSpaceDE/>
        <w:autoSpaceDN/>
        <w:bidi w:val="0"/>
        <w:spacing w:before="120" w:after="120" w:line="500" w:lineRule="exact"/>
        <w:ind w:firstLine="0" w:firstLineChars="0"/>
        <w:textAlignment w:val="auto"/>
        <w:rPr>
          <w:rFonts w:hint="default" w:eastAsia="仿宋"/>
          <w:snapToGrid w:val="0"/>
          <w:color w:val="auto"/>
          <w:sz w:val="28"/>
          <w:szCs w:val="28"/>
          <w:lang w:val="en-US" w:eastAsia="zh-CN"/>
        </w:rPr>
      </w:pPr>
      <w:bookmarkStart w:id="110" w:name="_Toc6193"/>
      <w:bookmarkStart w:id="111" w:name="_Toc13228"/>
      <w:bookmarkStart w:id="112" w:name="_Toc5747"/>
      <w:bookmarkStart w:id="113" w:name="_Toc27869"/>
      <w:bookmarkStart w:id="114" w:name="_Toc3429"/>
      <w:r>
        <w:rPr>
          <w:rFonts w:hint="default" w:eastAsia="仿宋"/>
          <w:snapToGrid w:val="0"/>
          <w:color w:val="auto"/>
          <w:sz w:val="28"/>
          <w:szCs w:val="28"/>
          <w:lang w:val="en-US" w:eastAsia="zh-CN"/>
        </w:rPr>
        <w:t>3.</w:t>
      </w:r>
      <w:r>
        <w:rPr>
          <w:rFonts w:hint="eastAsia" w:eastAsia="仿宋"/>
          <w:snapToGrid w:val="0"/>
          <w:color w:val="auto"/>
          <w:sz w:val="28"/>
          <w:szCs w:val="28"/>
          <w:lang w:val="en-US" w:eastAsia="zh-CN"/>
        </w:rPr>
        <w:t>1</w:t>
      </w:r>
      <w:r>
        <w:rPr>
          <w:rFonts w:hint="default" w:eastAsia="仿宋"/>
          <w:snapToGrid w:val="0"/>
          <w:color w:val="auto"/>
          <w:sz w:val="28"/>
          <w:szCs w:val="28"/>
          <w:lang w:val="en-US" w:eastAsia="zh-CN"/>
        </w:rPr>
        <w:t>.</w:t>
      </w:r>
      <w:bookmarkEnd w:id="110"/>
      <w:bookmarkEnd w:id="111"/>
      <w:bookmarkEnd w:id="112"/>
      <w:bookmarkEnd w:id="113"/>
      <w:r>
        <w:rPr>
          <w:rFonts w:hint="default" w:eastAsia="仿宋"/>
          <w:snapToGrid w:val="0"/>
          <w:color w:val="auto"/>
          <w:sz w:val="28"/>
          <w:szCs w:val="28"/>
          <w:lang w:val="en-US" w:eastAsia="zh-CN"/>
        </w:rPr>
        <w:t>5治理体系和治理能力现代化尚未形成</w:t>
      </w:r>
      <w:bookmarkEnd w:id="114"/>
    </w:p>
    <w:p w14:paraId="23714A0C">
      <w:pPr>
        <w:keepNext w:val="0"/>
        <w:keepLines w:val="0"/>
        <w:pageBreakBefore w:val="0"/>
        <w:widowControl/>
        <w:suppressLineNumbers w:val="0"/>
        <w:kinsoku/>
        <w:wordWrap/>
        <w:overflowPunct/>
        <w:topLinePunct w:val="0"/>
        <w:autoSpaceDE/>
        <w:autoSpaceDN/>
        <w:bidi w:val="0"/>
        <w:adjustRightInd/>
        <w:snapToGrid/>
        <w:spacing w:line="500" w:lineRule="exact"/>
        <w:ind w:firstLine="560" w:firstLineChars="200"/>
        <w:jc w:val="left"/>
        <w:textAlignment w:val="auto"/>
        <w:rPr>
          <w:rFonts w:hint="default" w:ascii="Times New Roman" w:hAnsi="Times New Roman" w:eastAsia="方正仿宋_GBK" w:cs="方正仿宋_GBK"/>
          <w:b w:val="0"/>
          <w:bCs w:val="0"/>
          <w:color w:val="auto"/>
          <w:sz w:val="28"/>
          <w:szCs w:val="28"/>
          <w:lang w:val="en-US" w:eastAsia="zh-CN"/>
        </w:rPr>
      </w:pPr>
      <w:r>
        <w:rPr>
          <w:rFonts w:hint="default" w:ascii="Times New Roman" w:hAnsi="Times New Roman" w:eastAsia="方正仿宋_GBK" w:cs="方正仿宋_GBK"/>
          <w:b w:val="0"/>
          <w:bCs w:val="0"/>
          <w:color w:val="auto"/>
          <w:sz w:val="28"/>
          <w:szCs w:val="28"/>
          <w:lang w:val="en-US" w:eastAsia="zh-CN"/>
        </w:rPr>
        <w:t>随着水、大气、土壤等重大污染防治行动计划的实施，环保监管、污染治理投入、治污技术手段、政策制度保障等各方面的需求将急剧增加，然而目前环境管理能力相对滞后，健全的环保机制、政策和手段体系尚未全面建立，环保技术、资金保障仍然不足，基层环保高水平人员严重欠缺，</w:t>
      </w:r>
      <w:r>
        <w:rPr>
          <w:rFonts w:hint="eastAsia" w:ascii="Times New Roman" w:hAnsi="Times New Roman" w:eastAsia="方正仿宋_GBK" w:cs="方正仿宋_GBK"/>
          <w:b w:val="0"/>
          <w:bCs w:val="0"/>
          <w:color w:val="auto"/>
          <w:sz w:val="28"/>
          <w:szCs w:val="28"/>
          <w:lang w:val="en-US" w:eastAsia="zh-CN"/>
        </w:rPr>
        <w:t>特别是</w:t>
      </w:r>
      <w:r>
        <w:rPr>
          <w:rFonts w:hint="default" w:ascii="Times New Roman" w:hAnsi="Times New Roman" w:eastAsia="方正仿宋_GBK" w:cs="方正仿宋_GBK"/>
          <w:b w:val="0"/>
          <w:bCs w:val="0"/>
          <w:color w:val="auto"/>
          <w:sz w:val="28"/>
          <w:szCs w:val="28"/>
          <w:lang w:val="en-US" w:eastAsia="zh-CN"/>
        </w:rPr>
        <w:t>环境监测监管能力相对弱，覆盖度不够也成为困扰新平县环境保护工作的重要问题。跟当前面临的生态环境问题相比、跟解决问题的手段要求相比还有较大差距，生态环境治理体系不完善，治理基础设施建设滞后，治理体系和治理能力现代化步伐尚不能满足新情况和新任务的要求，政府、企业和社会依法共治合作的格局尚未建立，现代生态环境治理能力薄弱。</w:t>
      </w:r>
    </w:p>
    <w:bookmarkEnd w:id="97"/>
    <w:p w14:paraId="147739CE">
      <w:pPr>
        <w:pStyle w:val="4"/>
        <w:pageBreakBefore w:val="0"/>
        <w:kinsoku/>
        <w:wordWrap/>
        <w:overflowPunct/>
        <w:topLinePunct w:val="0"/>
        <w:autoSpaceDE/>
        <w:autoSpaceDN/>
        <w:bidi w:val="0"/>
        <w:spacing w:before="260" w:after="260" w:line="500" w:lineRule="exact"/>
        <w:ind w:firstLine="0"/>
        <w:textAlignment w:val="auto"/>
        <w:rPr>
          <w:rFonts w:hint="default" w:ascii="Times New Roman" w:hAnsi="Times New Roman" w:eastAsia="仿宋" w:cs="Times New Roman"/>
          <w:color w:val="auto"/>
          <w:sz w:val="32"/>
          <w:lang w:val="en-US" w:eastAsia="zh-CN"/>
        </w:rPr>
      </w:pPr>
      <w:bookmarkStart w:id="115" w:name="_Toc17261"/>
      <w:r>
        <w:rPr>
          <w:rFonts w:hint="eastAsia" w:ascii="Times New Roman" w:hAnsi="Times New Roman" w:eastAsia="仿宋" w:cs="Times New Roman"/>
          <w:color w:val="auto"/>
          <w:sz w:val="32"/>
          <w:lang w:val="en-US" w:eastAsia="zh-CN"/>
        </w:rPr>
        <w:t>3.2</w:t>
      </w:r>
      <w:r>
        <w:rPr>
          <w:rFonts w:hint="default" w:ascii="Times New Roman" w:hAnsi="Times New Roman" w:eastAsia="仿宋" w:cs="Times New Roman"/>
          <w:color w:val="auto"/>
          <w:sz w:val="32"/>
          <w:lang w:val="en-US" w:eastAsia="zh-CN"/>
        </w:rPr>
        <w:t>机遇</w:t>
      </w:r>
      <w:bookmarkEnd w:id="98"/>
      <w:bookmarkEnd w:id="99"/>
      <w:bookmarkEnd w:id="100"/>
      <w:bookmarkEnd w:id="101"/>
      <w:bookmarkEnd w:id="102"/>
      <w:bookmarkEnd w:id="103"/>
      <w:bookmarkEnd w:id="104"/>
      <w:bookmarkEnd w:id="105"/>
      <w:bookmarkEnd w:id="106"/>
      <w:bookmarkEnd w:id="115"/>
    </w:p>
    <w:p w14:paraId="06A44EF8">
      <w:pPr>
        <w:pStyle w:val="5"/>
        <w:pageBreakBefore w:val="0"/>
        <w:kinsoku/>
        <w:wordWrap/>
        <w:overflowPunct/>
        <w:topLinePunct w:val="0"/>
        <w:autoSpaceDE/>
        <w:autoSpaceDN/>
        <w:bidi w:val="0"/>
        <w:spacing w:before="120" w:after="120" w:line="500" w:lineRule="exact"/>
        <w:ind w:firstLine="0" w:firstLineChars="0"/>
        <w:textAlignment w:val="auto"/>
        <w:rPr>
          <w:rFonts w:hint="default" w:eastAsia="仿宋"/>
          <w:snapToGrid w:val="0"/>
          <w:color w:val="auto"/>
          <w:sz w:val="28"/>
          <w:szCs w:val="28"/>
          <w:lang w:val="en-US" w:eastAsia="zh-CN"/>
        </w:rPr>
      </w:pPr>
      <w:bookmarkStart w:id="116" w:name="_Toc27474"/>
      <w:bookmarkStart w:id="117" w:name="_Toc8165"/>
      <w:bookmarkStart w:id="118" w:name="_Toc15075"/>
      <w:bookmarkStart w:id="119" w:name="_Toc14659"/>
      <w:bookmarkStart w:id="120" w:name="_Toc17393"/>
      <w:bookmarkStart w:id="121" w:name="_Toc27918"/>
      <w:r>
        <w:rPr>
          <w:rFonts w:hint="eastAsia" w:eastAsia="仿宋"/>
          <w:snapToGrid w:val="0"/>
          <w:color w:val="auto"/>
          <w:sz w:val="28"/>
          <w:szCs w:val="28"/>
          <w:lang w:val="en-US" w:eastAsia="zh-CN"/>
        </w:rPr>
        <w:t>3.2</w:t>
      </w:r>
      <w:r>
        <w:rPr>
          <w:rFonts w:hint="default" w:eastAsia="仿宋"/>
          <w:snapToGrid w:val="0"/>
          <w:color w:val="auto"/>
          <w:sz w:val="28"/>
          <w:szCs w:val="28"/>
          <w:lang w:val="en-US" w:eastAsia="zh-CN"/>
        </w:rPr>
        <w:t>.1国家发展战略带来的政策机遇</w:t>
      </w:r>
      <w:bookmarkEnd w:id="116"/>
      <w:bookmarkEnd w:id="117"/>
      <w:bookmarkEnd w:id="118"/>
      <w:bookmarkEnd w:id="119"/>
      <w:bookmarkEnd w:id="120"/>
      <w:bookmarkEnd w:id="121"/>
    </w:p>
    <w:p w14:paraId="11D757DC">
      <w:pPr>
        <w:keepNext w:val="0"/>
        <w:keepLines w:val="0"/>
        <w:pageBreakBefore w:val="0"/>
        <w:widowControl/>
        <w:suppressLineNumbers w:val="0"/>
        <w:kinsoku/>
        <w:wordWrap/>
        <w:overflowPunct/>
        <w:topLinePunct w:val="0"/>
        <w:autoSpaceDE/>
        <w:autoSpaceDN/>
        <w:bidi w:val="0"/>
        <w:adjustRightInd/>
        <w:snapToGrid/>
        <w:spacing w:line="500" w:lineRule="exact"/>
        <w:ind w:firstLine="560" w:firstLineChars="200"/>
        <w:jc w:val="left"/>
        <w:textAlignment w:val="auto"/>
        <w:rPr>
          <w:rFonts w:hint="default" w:ascii="Times New Roman" w:hAnsi="Times New Roman" w:eastAsia="方正仿宋_GBK" w:cs="方正仿宋_GBK"/>
          <w:b w:val="0"/>
          <w:bCs w:val="0"/>
          <w:color w:val="auto"/>
          <w:sz w:val="28"/>
          <w:szCs w:val="28"/>
          <w:lang w:val="en-US" w:eastAsia="zh-CN"/>
        </w:rPr>
      </w:pPr>
      <w:bookmarkStart w:id="122" w:name="_Toc21473"/>
      <w:bookmarkStart w:id="123" w:name="_Toc10323"/>
      <w:bookmarkStart w:id="124" w:name="_Toc1982"/>
      <w:bookmarkStart w:id="125" w:name="_Toc25896"/>
      <w:r>
        <w:rPr>
          <w:rFonts w:hint="default" w:ascii="Times New Roman" w:hAnsi="Times New Roman" w:eastAsia="方正仿宋_GBK" w:cs="方正仿宋_GBK"/>
          <w:b w:val="0"/>
          <w:bCs w:val="0"/>
          <w:color w:val="auto"/>
          <w:sz w:val="28"/>
          <w:szCs w:val="28"/>
          <w:lang w:val="en-US" w:eastAsia="zh-CN"/>
        </w:rPr>
        <w:t>生态文明建设迈向新征程的机遇：党的二十大报告提出，必须牢固树立和践行绿水青山就是金山银山的理念，站在人与自然和谐共生的高度谋划发展。我国迈上全面建设社会主义现代化国家新征程，生态文明建设也进入了以降碳为重要战略方向，减污降碳协同增效、实现生态环境质量根本性变化的新阶段。在此背景下，生态文明建设的深入推进将对新平县产业结构调整、污染治理、生态保护、应对气候变化等方面带来新的要求和机遇，为实现协同推进降碳、减污、扩绿、增长打下基础，助力全县建设人与自然和谐共生的美丽家园。</w:t>
      </w:r>
    </w:p>
    <w:p w14:paraId="4D55FC8E">
      <w:pPr>
        <w:keepNext w:val="0"/>
        <w:keepLines w:val="0"/>
        <w:pageBreakBefore w:val="0"/>
        <w:widowControl/>
        <w:suppressLineNumbers w:val="0"/>
        <w:kinsoku/>
        <w:wordWrap/>
        <w:overflowPunct/>
        <w:topLinePunct w:val="0"/>
        <w:autoSpaceDE/>
        <w:autoSpaceDN/>
        <w:bidi w:val="0"/>
        <w:adjustRightInd/>
        <w:snapToGrid/>
        <w:spacing w:line="500" w:lineRule="exact"/>
        <w:ind w:firstLine="560" w:firstLineChars="200"/>
        <w:jc w:val="left"/>
        <w:textAlignment w:val="auto"/>
        <w:rPr>
          <w:rFonts w:hint="default" w:ascii="Times New Roman" w:hAnsi="Times New Roman" w:eastAsia="方正仿宋_GBK" w:cs="方正仿宋_GBK"/>
          <w:b w:val="0"/>
          <w:bCs w:val="0"/>
          <w:color w:val="auto"/>
          <w:sz w:val="28"/>
          <w:szCs w:val="28"/>
          <w:lang w:val="en-US" w:eastAsia="zh-CN"/>
        </w:rPr>
      </w:pPr>
      <w:r>
        <w:rPr>
          <w:rFonts w:hint="default" w:ascii="Times New Roman" w:hAnsi="Times New Roman" w:eastAsia="方正仿宋_GBK" w:cs="方正仿宋_GBK"/>
          <w:b w:val="0"/>
          <w:bCs w:val="0"/>
          <w:color w:val="auto"/>
          <w:sz w:val="28"/>
          <w:szCs w:val="28"/>
          <w:lang w:val="en-US" w:eastAsia="zh-CN"/>
        </w:rPr>
        <w:t>新时代推进西部大开发形成新格局：中共中央、国务院发布《关于新时代推进西部大开发形成新格局的指导意见》，提出打好三大攻坚战、不断提升创新发展能力、推动形成现代化产业体系等36条具体意见。在国家、省级政府大力支持新时代西部大开发的新格局下，新平县社会经济、城乡建设、基础设施等将会得到更大的提升，综合实力将不断增强，为生态文明建设奠定物质和社会基础。</w:t>
      </w:r>
    </w:p>
    <w:p w14:paraId="10A4EF33">
      <w:pPr>
        <w:keepNext w:val="0"/>
        <w:keepLines w:val="0"/>
        <w:pageBreakBefore w:val="0"/>
        <w:widowControl/>
        <w:suppressLineNumbers w:val="0"/>
        <w:kinsoku/>
        <w:wordWrap/>
        <w:overflowPunct/>
        <w:topLinePunct w:val="0"/>
        <w:autoSpaceDE/>
        <w:autoSpaceDN/>
        <w:bidi w:val="0"/>
        <w:adjustRightInd/>
        <w:snapToGrid/>
        <w:spacing w:line="500" w:lineRule="exact"/>
        <w:ind w:firstLine="560" w:firstLineChars="200"/>
        <w:jc w:val="left"/>
        <w:textAlignment w:val="auto"/>
        <w:rPr>
          <w:rFonts w:hint="default" w:ascii="Times New Roman" w:hAnsi="Times New Roman" w:eastAsia="方正仿宋_GBK" w:cs="方正仿宋_GBK"/>
          <w:b w:val="0"/>
          <w:bCs w:val="0"/>
          <w:color w:val="auto"/>
          <w:sz w:val="28"/>
          <w:szCs w:val="28"/>
          <w:lang w:val="en-US" w:eastAsia="zh-CN"/>
        </w:rPr>
      </w:pPr>
      <w:r>
        <w:rPr>
          <w:rFonts w:hint="default" w:ascii="Times New Roman" w:hAnsi="Times New Roman" w:eastAsia="方正仿宋_GBK" w:cs="方正仿宋_GBK"/>
          <w:b w:val="0"/>
          <w:bCs w:val="0"/>
          <w:color w:val="auto"/>
          <w:sz w:val="28"/>
          <w:szCs w:val="28"/>
          <w:lang w:val="en-US" w:eastAsia="zh-CN"/>
        </w:rPr>
        <w:t>全面推进乡村振兴的机遇：党的十九届五中全会审议通过的《中共中央关于制定国民经济和社会发展第十四个五年规划和二〇三五年远景目标的建议》，对新发展阶段优先发展农业农村、全面推进乡村振兴作出总体部署，为做好当前和今后一个时期“三农”工作指明了方向。近年来，新平县以实施乡村振兴战略为总抓手，紧紧围绕中央和省、市党委、政府关于“三农”工作的决策部署，强化政策融合、深化改革融合、细化产业融合，助推乡村振兴，取得了良好的成果。乡村战略的持续实施将推动全县农业全面升级、农村全面进步、农民全面发展，推进巩固脱贫成果与乡村振兴的有效衔接，为农村基础设施建设、人居环境提升、农民增收带来新的机遇。</w:t>
      </w:r>
    </w:p>
    <w:p w14:paraId="28E7A74A">
      <w:pPr>
        <w:pStyle w:val="5"/>
        <w:pageBreakBefore w:val="0"/>
        <w:kinsoku/>
        <w:wordWrap/>
        <w:overflowPunct/>
        <w:topLinePunct w:val="0"/>
        <w:autoSpaceDE/>
        <w:autoSpaceDN/>
        <w:bidi w:val="0"/>
        <w:spacing w:before="120" w:after="120" w:line="500" w:lineRule="exact"/>
        <w:ind w:firstLine="0" w:firstLineChars="0"/>
        <w:textAlignment w:val="auto"/>
        <w:rPr>
          <w:rFonts w:hint="default" w:eastAsia="仿宋"/>
          <w:snapToGrid w:val="0"/>
          <w:color w:val="auto"/>
          <w:sz w:val="28"/>
          <w:szCs w:val="28"/>
          <w:lang w:val="en-US" w:eastAsia="zh-CN"/>
        </w:rPr>
      </w:pPr>
      <w:bookmarkStart w:id="126" w:name="_Toc3650"/>
      <w:r>
        <w:rPr>
          <w:rFonts w:hint="eastAsia" w:eastAsia="仿宋"/>
          <w:snapToGrid w:val="0"/>
          <w:color w:val="auto"/>
          <w:sz w:val="28"/>
          <w:szCs w:val="28"/>
          <w:lang w:val="en-US" w:eastAsia="zh-CN"/>
        </w:rPr>
        <w:t>3.2</w:t>
      </w:r>
      <w:r>
        <w:rPr>
          <w:rFonts w:hint="default" w:eastAsia="仿宋"/>
          <w:snapToGrid w:val="0"/>
          <w:color w:val="auto"/>
          <w:sz w:val="28"/>
          <w:szCs w:val="28"/>
          <w:lang w:val="en-US" w:eastAsia="zh-CN"/>
        </w:rPr>
        <w:t>.2云南省发展战略带来的机遇</w:t>
      </w:r>
      <w:bookmarkEnd w:id="122"/>
      <w:bookmarkEnd w:id="123"/>
      <w:bookmarkEnd w:id="124"/>
      <w:bookmarkEnd w:id="125"/>
      <w:bookmarkEnd w:id="126"/>
    </w:p>
    <w:p w14:paraId="0525A48B">
      <w:pPr>
        <w:keepNext w:val="0"/>
        <w:keepLines w:val="0"/>
        <w:pageBreakBefore w:val="0"/>
        <w:widowControl/>
        <w:suppressLineNumbers w:val="0"/>
        <w:kinsoku/>
        <w:wordWrap/>
        <w:overflowPunct/>
        <w:topLinePunct w:val="0"/>
        <w:autoSpaceDE/>
        <w:autoSpaceDN/>
        <w:bidi w:val="0"/>
        <w:adjustRightInd/>
        <w:snapToGrid/>
        <w:spacing w:line="500" w:lineRule="exact"/>
        <w:ind w:firstLine="560" w:firstLineChars="200"/>
        <w:jc w:val="left"/>
        <w:textAlignment w:val="auto"/>
        <w:rPr>
          <w:rFonts w:hint="default" w:ascii="Times New Roman" w:hAnsi="Times New Roman" w:eastAsia="方正仿宋_GBK" w:cs="方正仿宋_GBK"/>
          <w:b w:val="0"/>
          <w:bCs w:val="0"/>
          <w:color w:val="auto"/>
          <w:sz w:val="28"/>
          <w:szCs w:val="28"/>
          <w:lang w:val="en-US" w:eastAsia="zh-CN"/>
        </w:rPr>
      </w:pPr>
      <w:r>
        <w:rPr>
          <w:rFonts w:hint="default" w:ascii="Times New Roman" w:hAnsi="Times New Roman" w:eastAsia="方正仿宋_GBK" w:cs="方正仿宋_GBK"/>
          <w:b w:val="0"/>
          <w:bCs w:val="0"/>
          <w:color w:val="auto"/>
          <w:sz w:val="28"/>
          <w:szCs w:val="28"/>
          <w:lang w:val="en-US" w:eastAsia="zh-CN"/>
        </w:rPr>
        <w:t>云南省加快构建现代化产业体系</w:t>
      </w:r>
      <w:r>
        <w:rPr>
          <w:rFonts w:hint="eastAsia" w:ascii="Times New Roman" w:hAnsi="Times New Roman" w:eastAsia="方正仿宋_GBK" w:cs="方正仿宋_GBK"/>
          <w:b w:val="0"/>
          <w:bCs w:val="0"/>
          <w:color w:val="auto"/>
          <w:sz w:val="28"/>
          <w:szCs w:val="28"/>
          <w:lang w:val="en-US" w:eastAsia="zh-CN"/>
        </w:rPr>
        <w:t>，</w:t>
      </w:r>
      <w:r>
        <w:rPr>
          <w:rFonts w:hint="default" w:ascii="Times New Roman" w:hAnsi="Times New Roman" w:eastAsia="方正仿宋_GBK" w:cs="方正仿宋_GBK"/>
          <w:b w:val="0"/>
          <w:bCs w:val="0"/>
          <w:color w:val="auto"/>
          <w:sz w:val="28"/>
          <w:szCs w:val="28"/>
          <w:lang w:val="en-US" w:eastAsia="zh-CN"/>
        </w:rPr>
        <w:t>不断优化八大产业结构，深化“三张牌”内涵，培育先进制造业、文化旅游业、高原特色现代农业、现代物流、健康服务等若干万亿级产业，绿色能源、数字经济、生物医药、新材料、环保产业、金融服务业等若干千亿级产业，巩固提升房地产、烟草等传统产业，玉溪市加快产业转型升级，建设“云南省绿色钢城”，都将极大地激活潜力，为新平县建设绿色矿冶集聚区、高原特色农业示范区、中国花腰傣旅游目的地，实现产业转型升级和高质量发展创造良好条件。</w:t>
      </w:r>
    </w:p>
    <w:p w14:paraId="633FF324">
      <w:pPr>
        <w:pStyle w:val="5"/>
        <w:pageBreakBefore w:val="0"/>
        <w:kinsoku/>
        <w:wordWrap/>
        <w:overflowPunct/>
        <w:topLinePunct w:val="0"/>
        <w:autoSpaceDE/>
        <w:autoSpaceDN/>
        <w:bidi w:val="0"/>
        <w:spacing w:before="120" w:after="120" w:line="500" w:lineRule="exact"/>
        <w:ind w:firstLine="0" w:firstLineChars="0"/>
        <w:textAlignment w:val="auto"/>
        <w:rPr>
          <w:rFonts w:hint="default" w:eastAsia="仿宋"/>
          <w:snapToGrid w:val="0"/>
          <w:color w:val="auto"/>
          <w:sz w:val="28"/>
          <w:szCs w:val="28"/>
          <w:lang w:val="en-US" w:eastAsia="zh-CN"/>
        </w:rPr>
      </w:pPr>
      <w:bookmarkStart w:id="127" w:name="_Toc5004"/>
      <w:r>
        <w:rPr>
          <w:rFonts w:hint="eastAsia" w:eastAsia="仿宋"/>
          <w:snapToGrid w:val="0"/>
          <w:color w:val="auto"/>
          <w:sz w:val="28"/>
          <w:szCs w:val="28"/>
          <w:lang w:val="en-US" w:eastAsia="zh-CN"/>
        </w:rPr>
        <w:t>3.2</w:t>
      </w:r>
      <w:r>
        <w:rPr>
          <w:rFonts w:hint="default" w:eastAsia="仿宋"/>
          <w:snapToGrid w:val="0"/>
          <w:color w:val="auto"/>
          <w:sz w:val="28"/>
          <w:szCs w:val="28"/>
          <w:lang w:val="en-US" w:eastAsia="zh-CN"/>
        </w:rPr>
        <w:t>.3滇中城市群发展带来的机遇</w:t>
      </w:r>
      <w:bookmarkEnd w:id="127"/>
    </w:p>
    <w:p w14:paraId="43045F61">
      <w:pPr>
        <w:keepNext w:val="0"/>
        <w:keepLines w:val="0"/>
        <w:pageBreakBefore w:val="0"/>
        <w:widowControl/>
        <w:suppressLineNumbers w:val="0"/>
        <w:kinsoku/>
        <w:wordWrap/>
        <w:overflowPunct/>
        <w:topLinePunct w:val="0"/>
        <w:autoSpaceDE/>
        <w:autoSpaceDN/>
        <w:bidi w:val="0"/>
        <w:adjustRightInd/>
        <w:snapToGrid/>
        <w:spacing w:line="500" w:lineRule="exact"/>
        <w:ind w:firstLine="560" w:firstLineChars="200"/>
        <w:jc w:val="left"/>
        <w:textAlignment w:val="auto"/>
        <w:rPr>
          <w:rFonts w:hint="default" w:ascii="Times New Roman" w:hAnsi="Times New Roman" w:eastAsia="方正仿宋_GBK" w:cs="方正仿宋_GBK"/>
          <w:b w:val="0"/>
          <w:bCs w:val="0"/>
          <w:color w:val="auto"/>
          <w:sz w:val="28"/>
          <w:szCs w:val="28"/>
          <w:lang w:val="en-US" w:eastAsia="zh-CN"/>
        </w:rPr>
      </w:pPr>
      <w:r>
        <w:rPr>
          <w:rFonts w:hint="default" w:ascii="Times New Roman" w:hAnsi="Times New Roman" w:eastAsia="方正仿宋_GBK" w:cs="方正仿宋_GBK"/>
          <w:b w:val="0"/>
          <w:bCs w:val="0"/>
          <w:color w:val="auto"/>
          <w:sz w:val="28"/>
          <w:szCs w:val="28"/>
          <w:lang w:val="en-US" w:eastAsia="zh-CN"/>
        </w:rPr>
        <w:t>“滇中崛起、沿边开放、滇东北开发、滇西一体化”，是云南省“十四五”规划和二〇三五年远景目标中，推动区域协调发展的关键布局，特别是“滇中崛起”，发挥好核心带动作用、成为强大的动力引擎，对于要努力与全国同步基本实现社会主义现代化的云南。云南省“滇中崛起”区域战略落实，《滇中城市群发展规划》推进实施，昆玉同城化加速步伐，以及玉临高速、永金高速、新平（扬武）—墨江（孟弄）高速、玉磨铁路建设，新平在融入滇中城市群发展、扩大对内对外开放、推进区域协调发展、搭建生态环境保护平台等方面将迎来更为广阔的发展空间。</w:t>
      </w:r>
    </w:p>
    <w:p w14:paraId="6C23E88B">
      <w:pPr>
        <w:pStyle w:val="5"/>
        <w:pageBreakBefore w:val="0"/>
        <w:kinsoku/>
        <w:wordWrap/>
        <w:overflowPunct/>
        <w:topLinePunct w:val="0"/>
        <w:autoSpaceDE/>
        <w:autoSpaceDN/>
        <w:bidi w:val="0"/>
        <w:spacing w:before="120" w:after="120" w:line="500" w:lineRule="exact"/>
        <w:ind w:firstLine="0" w:firstLineChars="0"/>
        <w:textAlignment w:val="auto"/>
        <w:rPr>
          <w:rFonts w:hint="default" w:eastAsia="仿宋"/>
          <w:snapToGrid w:val="0"/>
          <w:color w:val="auto"/>
          <w:sz w:val="28"/>
          <w:szCs w:val="28"/>
          <w:lang w:val="en-US" w:eastAsia="zh-CN"/>
        </w:rPr>
      </w:pPr>
      <w:bookmarkStart w:id="128" w:name="_Toc9464"/>
      <w:bookmarkStart w:id="129" w:name="_Toc16238"/>
      <w:bookmarkStart w:id="130" w:name="_Toc2545"/>
      <w:r>
        <w:rPr>
          <w:rFonts w:hint="eastAsia" w:eastAsia="仿宋"/>
          <w:snapToGrid w:val="0"/>
          <w:color w:val="auto"/>
          <w:sz w:val="28"/>
          <w:szCs w:val="28"/>
          <w:lang w:val="en-US" w:eastAsia="zh-CN"/>
        </w:rPr>
        <w:t>3.2</w:t>
      </w:r>
      <w:r>
        <w:rPr>
          <w:rFonts w:hint="default" w:eastAsia="仿宋"/>
          <w:snapToGrid w:val="0"/>
          <w:color w:val="auto"/>
          <w:sz w:val="28"/>
          <w:szCs w:val="28"/>
          <w:lang w:val="en-US" w:eastAsia="zh-CN"/>
        </w:rPr>
        <w:t>.4玉溪市生态建设和环境保护带来的发展机遇</w:t>
      </w:r>
      <w:bookmarkEnd w:id="128"/>
      <w:bookmarkEnd w:id="129"/>
      <w:bookmarkEnd w:id="130"/>
    </w:p>
    <w:p w14:paraId="64EA9DA8">
      <w:pPr>
        <w:keepNext w:val="0"/>
        <w:keepLines w:val="0"/>
        <w:pageBreakBefore w:val="0"/>
        <w:widowControl/>
        <w:suppressLineNumbers w:val="0"/>
        <w:kinsoku/>
        <w:wordWrap/>
        <w:overflowPunct/>
        <w:topLinePunct w:val="0"/>
        <w:autoSpaceDE/>
        <w:autoSpaceDN/>
        <w:bidi w:val="0"/>
        <w:adjustRightInd/>
        <w:snapToGrid/>
        <w:spacing w:line="500" w:lineRule="exact"/>
        <w:ind w:firstLine="560" w:firstLineChars="200"/>
        <w:jc w:val="left"/>
        <w:textAlignment w:val="auto"/>
        <w:rPr>
          <w:rFonts w:hint="default" w:ascii="Times New Roman" w:hAnsi="Times New Roman" w:eastAsia="方正仿宋_GBK" w:cs="方正仿宋_GBK"/>
          <w:b w:val="0"/>
          <w:bCs w:val="0"/>
          <w:color w:val="auto"/>
          <w:sz w:val="28"/>
          <w:szCs w:val="28"/>
          <w:lang w:val="en-US" w:eastAsia="zh-CN"/>
        </w:rPr>
      </w:pPr>
      <w:r>
        <w:rPr>
          <w:rFonts w:hint="default" w:ascii="Times New Roman" w:hAnsi="Times New Roman" w:eastAsia="方正仿宋_GBK" w:cs="方正仿宋_GBK"/>
          <w:b w:val="0"/>
          <w:bCs w:val="0"/>
          <w:color w:val="auto"/>
          <w:sz w:val="28"/>
          <w:szCs w:val="28"/>
          <w:lang w:val="en-US" w:eastAsia="zh-CN"/>
        </w:rPr>
        <w:t>玉溪市深入贯彻习近平生态文明思想，立足新发展阶段，完整、准确、全面贯彻新发展理念，构建新发展格局，以实现减污降碳协同增效为总抓手，以改善生态环境质量为核心，以精准治污、科学治污、依法治污为工作方针，统筹污染治理、生态保护、应对气候变化，保持力度、延伸深度、拓宽广度，以更高标准打好蓝天、碧水、净土保卫战；把碳达峰、碳中和纳入经济社会发展全局，以经济社会发展全面绿色转型为引领，以高水平保护推动高质量发展、创造高品质生活，努力建设人与自然和谐共生的美丽玉溪。玉溪生态建设和环境保护为新平县环境美丽宜居宜业、城乡居民收入水平提高、产业绿色发展、社会环境共建共治、公共服务优质共享等方面带来了新的重大机遇。</w:t>
      </w:r>
    </w:p>
    <w:p w14:paraId="48940E40">
      <w:pPr>
        <w:pStyle w:val="4"/>
        <w:pageBreakBefore w:val="0"/>
        <w:kinsoku/>
        <w:wordWrap/>
        <w:overflowPunct/>
        <w:topLinePunct w:val="0"/>
        <w:autoSpaceDE/>
        <w:autoSpaceDN/>
        <w:bidi w:val="0"/>
        <w:spacing w:before="260" w:after="260" w:line="500" w:lineRule="exact"/>
        <w:ind w:firstLine="0"/>
        <w:textAlignment w:val="auto"/>
        <w:rPr>
          <w:rFonts w:hint="default" w:ascii="Times New Roman" w:hAnsi="Times New Roman" w:eastAsia="仿宋" w:cs="Times New Roman"/>
          <w:color w:val="auto"/>
          <w:sz w:val="32"/>
          <w:lang w:val="en-US" w:eastAsia="zh-CN"/>
        </w:rPr>
      </w:pPr>
      <w:bookmarkStart w:id="131" w:name="_Toc32484"/>
      <w:bookmarkStart w:id="132" w:name="_Toc21890"/>
      <w:bookmarkStart w:id="133" w:name="_Toc8267"/>
      <w:bookmarkStart w:id="134" w:name="_Toc11454"/>
      <w:bookmarkStart w:id="135" w:name="_Toc6842"/>
      <w:bookmarkStart w:id="136" w:name="_Toc17584"/>
      <w:bookmarkStart w:id="137" w:name="_Toc14192"/>
      <w:bookmarkStart w:id="138" w:name="_Toc22361"/>
      <w:bookmarkStart w:id="139" w:name="_Toc13595"/>
      <w:bookmarkStart w:id="140" w:name="_Toc30477"/>
      <w:r>
        <w:rPr>
          <w:rFonts w:hint="eastAsia" w:ascii="Times New Roman" w:hAnsi="Times New Roman" w:eastAsia="仿宋" w:cs="Times New Roman"/>
          <w:color w:val="auto"/>
          <w:sz w:val="32"/>
          <w:lang w:val="en-US" w:eastAsia="zh-CN"/>
        </w:rPr>
        <w:t>3.3</w:t>
      </w:r>
      <w:r>
        <w:rPr>
          <w:rFonts w:hint="default" w:ascii="Times New Roman" w:hAnsi="Times New Roman" w:eastAsia="仿宋" w:cs="Times New Roman"/>
          <w:color w:val="auto"/>
          <w:sz w:val="32"/>
          <w:lang w:val="en-US" w:eastAsia="zh-CN"/>
        </w:rPr>
        <w:t>挑战</w:t>
      </w:r>
      <w:bookmarkEnd w:id="131"/>
      <w:bookmarkEnd w:id="132"/>
      <w:bookmarkEnd w:id="133"/>
      <w:bookmarkEnd w:id="134"/>
      <w:bookmarkEnd w:id="135"/>
      <w:bookmarkEnd w:id="136"/>
      <w:bookmarkEnd w:id="137"/>
      <w:bookmarkEnd w:id="138"/>
      <w:bookmarkEnd w:id="139"/>
      <w:bookmarkEnd w:id="140"/>
    </w:p>
    <w:p w14:paraId="541DECA3">
      <w:pPr>
        <w:pStyle w:val="5"/>
        <w:pageBreakBefore w:val="0"/>
        <w:kinsoku/>
        <w:wordWrap/>
        <w:overflowPunct/>
        <w:topLinePunct w:val="0"/>
        <w:autoSpaceDE/>
        <w:autoSpaceDN/>
        <w:bidi w:val="0"/>
        <w:spacing w:before="120" w:after="120" w:line="500" w:lineRule="exact"/>
        <w:ind w:firstLine="0" w:firstLineChars="0"/>
        <w:textAlignment w:val="auto"/>
        <w:rPr>
          <w:rFonts w:hint="default" w:eastAsia="仿宋"/>
          <w:snapToGrid w:val="0"/>
          <w:color w:val="auto"/>
          <w:sz w:val="28"/>
          <w:szCs w:val="28"/>
          <w:lang w:val="en-US" w:eastAsia="zh-CN"/>
        </w:rPr>
      </w:pPr>
      <w:bookmarkStart w:id="141" w:name="_Toc15870"/>
      <w:bookmarkStart w:id="142" w:name="_Toc1494"/>
      <w:bookmarkStart w:id="143" w:name="_Toc20321"/>
      <w:bookmarkStart w:id="144" w:name="_Toc4854"/>
      <w:bookmarkStart w:id="145" w:name="_Toc30059"/>
      <w:bookmarkStart w:id="146" w:name="_Toc4526"/>
      <w:r>
        <w:rPr>
          <w:rFonts w:hint="eastAsia" w:eastAsia="仿宋"/>
          <w:snapToGrid w:val="0"/>
          <w:color w:val="auto"/>
          <w:sz w:val="28"/>
          <w:szCs w:val="28"/>
          <w:lang w:val="en-US" w:eastAsia="zh-CN"/>
        </w:rPr>
        <w:t>3.3</w:t>
      </w:r>
      <w:r>
        <w:rPr>
          <w:rFonts w:hint="default" w:eastAsia="仿宋"/>
          <w:snapToGrid w:val="0"/>
          <w:color w:val="auto"/>
          <w:sz w:val="28"/>
          <w:szCs w:val="28"/>
          <w:lang w:val="en-US" w:eastAsia="zh-CN"/>
        </w:rPr>
        <w:t>.1</w:t>
      </w:r>
      <w:bookmarkEnd w:id="141"/>
      <w:bookmarkEnd w:id="142"/>
      <w:bookmarkEnd w:id="143"/>
      <w:r>
        <w:rPr>
          <w:rFonts w:hint="default" w:eastAsia="仿宋"/>
          <w:snapToGrid w:val="0"/>
          <w:color w:val="auto"/>
          <w:sz w:val="28"/>
          <w:szCs w:val="28"/>
          <w:lang w:val="en-US" w:eastAsia="zh-CN"/>
        </w:rPr>
        <w:t>产业转型升级，绿色高质量发展的挑战</w:t>
      </w:r>
      <w:bookmarkEnd w:id="144"/>
      <w:bookmarkEnd w:id="145"/>
      <w:bookmarkEnd w:id="146"/>
    </w:p>
    <w:p w14:paraId="06CBD9A3">
      <w:pPr>
        <w:keepNext w:val="0"/>
        <w:keepLines w:val="0"/>
        <w:pageBreakBefore w:val="0"/>
        <w:widowControl/>
        <w:suppressLineNumbers w:val="0"/>
        <w:kinsoku/>
        <w:wordWrap/>
        <w:overflowPunct/>
        <w:topLinePunct w:val="0"/>
        <w:autoSpaceDE/>
        <w:autoSpaceDN/>
        <w:bidi w:val="0"/>
        <w:adjustRightInd/>
        <w:snapToGrid/>
        <w:spacing w:line="500" w:lineRule="exact"/>
        <w:ind w:firstLine="560" w:firstLineChars="200"/>
        <w:jc w:val="left"/>
        <w:textAlignment w:val="auto"/>
        <w:rPr>
          <w:rFonts w:hint="default" w:ascii="Times New Roman" w:hAnsi="Times New Roman" w:eastAsia="方正仿宋_GBK" w:cs="方正仿宋_GBK"/>
          <w:b w:val="0"/>
          <w:bCs w:val="0"/>
          <w:color w:val="auto"/>
          <w:sz w:val="28"/>
          <w:szCs w:val="28"/>
          <w:lang w:val="en-US" w:eastAsia="zh-CN"/>
        </w:rPr>
      </w:pPr>
      <w:r>
        <w:rPr>
          <w:rFonts w:hint="default" w:ascii="Times New Roman" w:hAnsi="Times New Roman" w:eastAsia="方正仿宋_GBK" w:cs="方正仿宋_GBK"/>
          <w:b w:val="0"/>
          <w:bCs w:val="0"/>
          <w:color w:val="auto"/>
          <w:sz w:val="28"/>
          <w:szCs w:val="28"/>
          <w:lang w:val="en-US" w:eastAsia="zh-CN"/>
        </w:rPr>
        <w:t>新平县经济增长对矿冶产业依赖度过高，而矿冶属于“两高”产业，且矿冶产业处于产业链前端和价值链低端，亟待转型升级，经济结构不尽合理；农业产业链短，精深加工能力，绿色化水平有待提升；文化旅游产业综合效益不高、竞争力偏弱，新兴产业发展缓慢。新平正处于转变发展方式、优化经济结构的关键阶段，如何以“生态+”为引领，牢固树立和坚持“绿水青山就是金山银山”发展理念，坚定不移推进“四化”融合，深入实施“五大战略”，坚定不移推进改革攻坚，实现结构调整和经济转型，实施产业转型升级，推动创新发展，走向绿色高质量发展之路将面临着巨大考验。</w:t>
      </w:r>
    </w:p>
    <w:p w14:paraId="411D02E9">
      <w:pPr>
        <w:pStyle w:val="5"/>
        <w:pageBreakBefore w:val="0"/>
        <w:kinsoku/>
        <w:wordWrap/>
        <w:overflowPunct/>
        <w:topLinePunct w:val="0"/>
        <w:autoSpaceDE/>
        <w:autoSpaceDN/>
        <w:bidi w:val="0"/>
        <w:spacing w:before="120" w:after="120" w:line="500" w:lineRule="exact"/>
        <w:ind w:firstLine="0" w:firstLineChars="0"/>
        <w:textAlignment w:val="auto"/>
        <w:rPr>
          <w:rFonts w:hint="default" w:eastAsia="仿宋"/>
          <w:snapToGrid w:val="0"/>
          <w:color w:val="auto"/>
          <w:sz w:val="28"/>
          <w:szCs w:val="28"/>
          <w:lang w:val="en-US" w:eastAsia="zh-CN"/>
        </w:rPr>
      </w:pPr>
      <w:bookmarkStart w:id="147" w:name="_Toc26887"/>
      <w:bookmarkStart w:id="148" w:name="_Toc12422"/>
      <w:bookmarkStart w:id="149" w:name="_Toc17224"/>
      <w:r>
        <w:rPr>
          <w:rFonts w:hint="eastAsia" w:eastAsia="仿宋"/>
          <w:snapToGrid w:val="0"/>
          <w:color w:val="auto"/>
          <w:sz w:val="28"/>
          <w:szCs w:val="28"/>
          <w:lang w:val="en-US" w:eastAsia="zh-CN"/>
        </w:rPr>
        <w:t>3.3</w:t>
      </w:r>
      <w:r>
        <w:rPr>
          <w:rFonts w:hint="default" w:eastAsia="仿宋"/>
          <w:snapToGrid w:val="0"/>
          <w:color w:val="auto"/>
          <w:sz w:val="28"/>
          <w:szCs w:val="28"/>
          <w:lang w:val="en-US" w:eastAsia="zh-CN"/>
        </w:rPr>
        <w:t>.</w:t>
      </w:r>
      <w:bookmarkEnd w:id="147"/>
      <w:r>
        <w:rPr>
          <w:rFonts w:hint="default" w:eastAsia="仿宋"/>
          <w:snapToGrid w:val="0"/>
          <w:color w:val="auto"/>
          <w:sz w:val="28"/>
          <w:szCs w:val="28"/>
          <w:lang w:val="en-US" w:eastAsia="zh-CN"/>
        </w:rPr>
        <w:t>2</w:t>
      </w:r>
      <w:bookmarkEnd w:id="148"/>
      <w:r>
        <w:rPr>
          <w:rFonts w:hint="default" w:eastAsia="仿宋"/>
          <w:snapToGrid w:val="0"/>
          <w:color w:val="auto"/>
          <w:sz w:val="28"/>
          <w:szCs w:val="28"/>
          <w:lang w:val="en-US" w:eastAsia="zh-CN"/>
        </w:rPr>
        <w:t>生态保护与经济发展的挑战</w:t>
      </w:r>
      <w:bookmarkEnd w:id="149"/>
    </w:p>
    <w:p w14:paraId="22A8F281">
      <w:pPr>
        <w:keepNext w:val="0"/>
        <w:keepLines w:val="0"/>
        <w:pageBreakBefore w:val="0"/>
        <w:widowControl/>
        <w:suppressLineNumbers w:val="0"/>
        <w:kinsoku/>
        <w:wordWrap/>
        <w:overflowPunct/>
        <w:topLinePunct w:val="0"/>
        <w:autoSpaceDE/>
        <w:autoSpaceDN/>
        <w:bidi w:val="0"/>
        <w:adjustRightInd/>
        <w:snapToGrid/>
        <w:spacing w:line="500" w:lineRule="exact"/>
        <w:ind w:firstLine="560" w:firstLineChars="200"/>
        <w:jc w:val="left"/>
        <w:textAlignment w:val="auto"/>
        <w:rPr>
          <w:rFonts w:hint="default" w:ascii="Times New Roman" w:hAnsi="Times New Roman" w:eastAsia="方正仿宋_GBK" w:cs="方正仿宋_GBK"/>
          <w:b w:val="0"/>
          <w:bCs w:val="0"/>
          <w:color w:val="auto"/>
          <w:sz w:val="28"/>
          <w:szCs w:val="28"/>
          <w:lang w:val="en-US" w:eastAsia="zh-CN"/>
        </w:rPr>
      </w:pPr>
      <w:r>
        <w:rPr>
          <w:rFonts w:hint="default" w:ascii="Times New Roman" w:hAnsi="Times New Roman" w:eastAsia="方正仿宋_GBK" w:cs="方正仿宋_GBK"/>
          <w:b w:val="0"/>
          <w:bCs w:val="0"/>
          <w:color w:val="auto"/>
          <w:sz w:val="28"/>
          <w:szCs w:val="28"/>
          <w:lang w:val="en-US" w:eastAsia="zh-CN"/>
        </w:rPr>
        <w:t>《新平县国民经济和社会发展第十四个五年规划和二〇三五年远景目标》要求新平县县域经济高质量发展走在全省前列，到2025年，地区生产总值年均增速达7%以上，力争到2025年突破300亿元，人均地区生产总值达到9.8万元以上。同时，也提出深入主体功能区战略实施，国土空间开发保护格局基本形成，山水林田湖草得到系统治理，矿区生态环境逐步修复，哀牢山、磨盘山、红河谷等重点生态功能区保护不断加强，生产生活方式实现绿色转型的目标。在保护与发展的要求下，新平县建设云南绿色矿冶集聚区、云南高原特色现代农业示范区、打造中国花腰傣文化旅游目的地为主攻方向的现代产业体系，将减污降碳、农村面源污染、生态系统保护与修复、生态空间管控等方面带来压力，生态环境保护和社会经济持续增长的矛盾将会更加凸显。总的来说，新平县发展处于重要战略机遇期，经济发展是必然要求，如何平衡生态环境保护与社会发展成为新平面临的首要挑战。</w:t>
      </w:r>
    </w:p>
    <w:p w14:paraId="1ADBD05E">
      <w:pPr>
        <w:pStyle w:val="5"/>
        <w:pageBreakBefore w:val="0"/>
        <w:kinsoku/>
        <w:wordWrap/>
        <w:overflowPunct/>
        <w:topLinePunct w:val="0"/>
        <w:autoSpaceDE/>
        <w:autoSpaceDN/>
        <w:bidi w:val="0"/>
        <w:spacing w:before="120" w:after="120" w:line="500" w:lineRule="exact"/>
        <w:ind w:firstLine="0" w:firstLineChars="0"/>
        <w:textAlignment w:val="auto"/>
        <w:rPr>
          <w:rFonts w:hint="default" w:eastAsia="仿宋"/>
          <w:snapToGrid w:val="0"/>
          <w:color w:val="auto"/>
          <w:sz w:val="28"/>
          <w:szCs w:val="28"/>
          <w:lang w:val="en-US" w:eastAsia="zh-CN"/>
        </w:rPr>
      </w:pPr>
      <w:bookmarkStart w:id="150" w:name="_Toc5330"/>
      <w:r>
        <w:rPr>
          <w:rFonts w:hint="eastAsia" w:eastAsia="仿宋"/>
          <w:snapToGrid w:val="0"/>
          <w:color w:val="auto"/>
          <w:sz w:val="28"/>
          <w:szCs w:val="28"/>
          <w:lang w:val="en-US" w:eastAsia="zh-CN"/>
        </w:rPr>
        <w:t>3.3</w:t>
      </w:r>
      <w:r>
        <w:rPr>
          <w:rFonts w:hint="default" w:eastAsia="仿宋"/>
          <w:snapToGrid w:val="0"/>
          <w:color w:val="auto"/>
          <w:sz w:val="28"/>
          <w:szCs w:val="28"/>
          <w:lang w:val="en-US" w:eastAsia="zh-CN"/>
        </w:rPr>
        <w:t>.3实现碳达峰碳中和的挑战</w:t>
      </w:r>
      <w:bookmarkEnd w:id="150"/>
    </w:p>
    <w:p w14:paraId="034EA061">
      <w:pPr>
        <w:keepNext w:val="0"/>
        <w:keepLines w:val="0"/>
        <w:pageBreakBefore w:val="0"/>
        <w:widowControl/>
        <w:suppressLineNumbers w:val="0"/>
        <w:kinsoku/>
        <w:wordWrap/>
        <w:overflowPunct/>
        <w:topLinePunct w:val="0"/>
        <w:autoSpaceDE/>
        <w:autoSpaceDN/>
        <w:bidi w:val="0"/>
        <w:adjustRightInd/>
        <w:snapToGrid/>
        <w:spacing w:line="500" w:lineRule="exact"/>
        <w:ind w:firstLine="560" w:firstLineChars="200"/>
        <w:jc w:val="left"/>
        <w:textAlignment w:val="auto"/>
        <w:rPr>
          <w:rFonts w:hint="default" w:ascii="Times New Roman" w:hAnsi="Times New Roman" w:eastAsia="方正仿宋_GBK" w:cs="方正仿宋_GBK"/>
          <w:b w:val="0"/>
          <w:bCs w:val="0"/>
          <w:color w:val="auto"/>
          <w:sz w:val="28"/>
          <w:szCs w:val="28"/>
          <w:lang w:val="en-US" w:eastAsia="zh-CN"/>
        </w:rPr>
      </w:pPr>
      <w:r>
        <w:rPr>
          <w:rFonts w:hint="default" w:ascii="Times New Roman" w:hAnsi="Times New Roman" w:eastAsia="方正仿宋_GBK" w:cs="方正仿宋_GBK"/>
          <w:b w:val="0"/>
          <w:bCs w:val="0"/>
          <w:color w:val="auto"/>
          <w:sz w:val="28"/>
          <w:szCs w:val="28"/>
          <w:lang w:val="en-US" w:eastAsia="zh-CN"/>
        </w:rPr>
        <w:t>在中国共产党第二十次全国代表大会上，习近平总书记明确提出要积极稳妥推进碳达峰碳中和，要完善能源消耗总量和强度调控，逐步转向碳排放总量和强度“双控”制度；推进工业、建筑、交通等领域清洁低碳转型；提升生态系统碳汇能力。在《中共云南省委云南省人民政府关于完整准确全面贯彻新发展理念做好碳达峰碳中和工作的实施意见》，提出到2030年，经济社会发展全面绿色低碳转型取得显著成效，绿色能源强省建设取得显著成效，城乡扩绿增汇水平走在全国前列；单位地区生产总值能耗大幅下降，单位地区生产总值二氧化碳排放持续下降。到2060年，绿色低碳循环发展的经济体系和清洁低碳安全高效的能源体系全面建立，非化石能源消费比重达到80%以上，城乡扩绿增汇领先全国，碳中和目标顺利实现，生态文明建设取得丰硕成果。“十三五”末全县总能耗是230.59万吨标煤，工业能耗占83.5%，能源消费总量和碳排放总量呈现刚性增长，“十三五”期间玉溪市能耗指标未完成，仙福公司焦化、带钢等高耗能项目能评将受到直接影响；“十四五”期间，随着仙福技改、瀛洲水泥技改、红山球团恢复生产以及下一步计划实施南恩公司技改搬迁、仙福公司焦化等项目，到2025年新平县工业能耗预计将增加70万吨以上。尽管总体来看能源消费总量和碳排放增长趋缓，能源消费结构趋于清洁化、低碳化，但以目前的发展速度短期内难以达到峰值并下降，要在不到10年的时间里实现碳达峰，最终达到碳中和，对新平县而言也是一大挑战。</w:t>
      </w:r>
    </w:p>
    <w:p w14:paraId="5860B845">
      <w:pPr>
        <w:pStyle w:val="5"/>
        <w:pageBreakBefore w:val="0"/>
        <w:kinsoku/>
        <w:wordWrap/>
        <w:overflowPunct/>
        <w:topLinePunct w:val="0"/>
        <w:autoSpaceDE/>
        <w:autoSpaceDN/>
        <w:bidi w:val="0"/>
        <w:spacing w:before="120" w:after="120" w:line="500" w:lineRule="exact"/>
        <w:ind w:firstLine="0" w:firstLineChars="0"/>
        <w:textAlignment w:val="auto"/>
        <w:rPr>
          <w:rFonts w:hint="default" w:eastAsia="仿宋"/>
          <w:snapToGrid w:val="0"/>
          <w:color w:val="auto"/>
          <w:sz w:val="28"/>
          <w:szCs w:val="28"/>
          <w:lang w:val="en-US" w:eastAsia="zh-CN"/>
        </w:rPr>
      </w:pPr>
      <w:bookmarkStart w:id="151" w:name="_Toc12296"/>
      <w:r>
        <w:rPr>
          <w:rFonts w:hint="eastAsia" w:eastAsia="仿宋"/>
          <w:snapToGrid w:val="0"/>
          <w:color w:val="auto"/>
          <w:sz w:val="28"/>
          <w:szCs w:val="28"/>
          <w:lang w:val="en-US" w:eastAsia="zh-CN"/>
        </w:rPr>
        <w:t>3.3</w:t>
      </w:r>
      <w:r>
        <w:rPr>
          <w:rFonts w:hint="default" w:eastAsia="仿宋"/>
          <w:snapToGrid w:val="0"/>
          <w:color w:val="auto"/>
          <w:sz w:val="28"/>
          <w:szCs w:val="28"/>
          <w:lang w:val="en-US" w:eastAsia="zh-CN"/>
        </w:rPr>
        <w:t>.4生物多样性保护面临的挑战</w:t>
      </w:r>
      <w:bookmarkEnd w:id="151"/>
    </w:p>
    <w:p w14:paraId="63099BD9">
      <w:pPr>
        <w:keepNext w:val="0"/>
        <w:keepLines w:val="0"/>
        <w:pageBreakBefore w:val="0"/>
        <w:widowControl/>
        <w:suppressLineNumbers w:val="0"/>
        <w:kinsoku/>
        <w:wordWrap/>
        <w:overflowPunct/>
        <w:topLinePunct w:val="0"/>
        <w:autoSpaceDE/>
        <w:autoSpaceDN/>
        <w:bidi w:val="0"/>
        <w:adjustRightInd/>
        <w:snapToGrid/>
        <w:spacing w:line="500" w:lineRule="exact"/>
        <w:ind w:firstLine="560" w:firstLineChars="200"/>
        <w:jc w:val="left"/>
        <w:textAlignment w:val="auto"/>
        <w:rPr>
          <w:rFonts w:hint="eastAsia" w:ascii="Times New Roman" w:hAnsi="Times New Roman" w:eastAsia="方正仿宋_GBK" w:cs="方正仿宋_GBK"/>
          <w:b w:val="0"/>
          <w:bCs w:val="0"/>
          <w:color w:val="auto"/>
          <w:sz w:val="28"/>
          <w:szCs w:val="28"/>
          <w:lang w:val="en-US" w:eastAsia="zh-CN"/>
        </w:rPr>
      </w:pPr>
      <w:bookmarkStart w:id="152" w:name="_Toc18049"/>
      <w:bookmarkStart w:id="153" w:name="_Toc29497"/>
      <w:bookmarkStart w:id="154" w:name="_Toc514661255"/>
      <w:bookmarkStart w:id="155" w:name="_Toc1361"/>
      <w:bookmarkStart w:id="156" w:name="_Toc35697761"/>
      <w:bookmarkStart w:id="157" w:name="_Toc29139"/>
      <w:bookmarkStart w:id="158" w:name="_Toc9516103"/>
      <w:bookmarkStart w:id="159" w:name="_Toc302"/>
      <w:bookmarkStart w:id="160" w:name="_Toc22204"/>
      <w:bookmarkStart w:id="161" w:name="_Toc8111"/>
      <w:bookmarkStart w:id="162" w:name="_Toc18150"/>
      <w:bookmarkStart w:id="163" w:name="_Toc18892"/>
      <w:r>
        <w:rPr>
          <w:rFonts w:hint="default" w:ascii="Times New Roman" w:hAnsi="Times New Roman" w:eastAsia="方正仿宋_GBK" w:cs="方正仿宋_GBK"/>
          <w:b w:val="0"/>
          <w:bCs w:val="0"/>
          <w:color w:val="auto"/>
          <w:sz w:val="28"/>
          <w:szCs w:val="28"/>
          <w:lang w:val="en-US" w:eastAsia="zh-CN"/>
        </w:rPr>
        <w:t>新平县区位独特，光热条件较好，具备亚热带、温带、高山寒带等多种气候类型，适宜多种生物的生长发育。县域境内有云南省哀牢山国家级自然保护区（新平段）、玉白顶林场市级自然保护区、哀牢山县级自然保护区、磨盘山县级自然保护区和磨盘山国家级森林公园5个自然保护地，动、植物资源丰富。但目前境内自然保护地建设及管护投入不足，野生动植物保护及科研人才缺乏，野生动植物资源保护缺乏长效机制，加之新平县正处于发展阶段，矿产资源开发、公路、水利工程等建设活动显著增加，矿产资源开发、公路、水利工程建设使野生动植物栖息环境遭到破坏，动植物种群长期繁衍面临着较大威胁。另外，矿产资源开发和水利工程设施建设使得河流水系连通性下降，对水生生物产生一定的影响。生物多样性的保护关系到生态平衡的维持，保护好县域的生物多样性不仅对国家社会经济持续发展具有重要意义，对全球的环境保护和促进人类社会进步也会产生深远的影响</w:t>
      </w:r>
      <w:r>
        <w:rPr>
          <w:rFonts w:hint="eastAsia" w:ascii="Times New Roman" w:hAnsi="Times New Roman" w:eastAsia="方正仿宋_GBK" w:cs="方正仿宋_GBK"/>
          <w:b w:val="0"/>
          <w:bCs w:val="0"/>
          <w:color w:val="auto"/>
          <w:sz w:val="28"/>
          <w:szCs w:val="28"/>
          <w:lang w:val="en-US" w:eastAsia="zh-CN"/>
        </w:rPr>
        <w:t>。</w:t>
      </w:r>
    </w:p>
    <w:p w14:paraId="2B8457AA">
      <w:pPr>
        <w:pStyle w:val="3"/>
        <w:pageBreakBefore w:val="0"/>
        <w:kinsoku/>
        <w:wordWrap/>
        <w:overflowPunct/>
        <w:topLinePunct w:val="0"/>
        <w:autoSpaceDE/>
        <w:autoSpaceDN/>
        <w:bidi w:val="0"/>
        <w:spacing w:before="0" w:after="0" w:line="500" w:lineRule="exact"/>
        <w:jc w:val="center"/>
        <w:textAlignment w:val="auto"/>
        <w:rPr>
          <w:rFonts w:hint="default" w:ascii="Times New Roman" w:hAnsi="Times New Roman" w:eastAsia="仿宋" w:cs="Times New Roman"/>
          <w:color w:val="auto"/>
          <w:sz w:val="44"/>
          <w:lang w:val="en-US" w:eastAsia="zh-CN"/>
        </w:rPr>
        <w:sectPr>
          <w:footerReference r:id="rId8" w:type="default"/>
          <w:pgSz w:w="11906" w:h="16838"/>
          <w:pgMar w:top="1440" w:right="1800" w:bottom="1440" w:left="1800" w:header="851" w:footer="992" w:gutter="0"/>
          <w:pgNumType w:fmt="decimal" w:start="1"/>
          <w:cols w:space="425" w:num="1"/>
          <w:docGrid w:type="lines" w:linePitch="312" w:charSpace="0"/>
        </w:sectPr>
      </w:pPr>
    </w:p>
    <w:p w14:paraId="0B96248B">
      <w:pPr>
        <w:pStyle w:val="3"/>
        <w:pageBreakBefore w:val="0"/>
        <w:kinsoku/>
        <w:wordWrap/>
        <w:overflowPunct/>
        <w:topLinePunct w:val="0"/>
        <w:autoSpaceDE/>
        <w:autoSpaceDN/>
        <w:bidi w:val="0"/>
        <w:spacing w:before="0" w:after="0" w:line="500" w:lineRule="exact"/>
        <w:jc w:val="center"/>
        <w:textAlignment w:val="auto"/>
        <w:rPr>
          <w:rFonts w:hint="default" w:ascii="Times New Roman" w:hAnsi="Times New Roman" w:eastAsia="仿宋" w:cs="Times New Roman"/>
          <w:color w:val="auto"/>
          <w:sz w:val="44"/>
          <w:lang w:val="en-US" w:eastAsia="zh-CN"/>
        </w:rPr>
      </w:pPr>
      <w:bookmarkStart w:id="164" w:name="_Toc11095"/>
      <w:r>
        <w:rPr>
          <w:rFonts w:hint="default" w:ascii="Times New Roman" w:hAnsi="Times New Roman" w:eastAsia="仿宋" w:cs="Times New Roman"/>
          <w:color w:val="auto"/>
          <w:sz w:val="44"/>
          <w:lang w:val="en-US" w:eastAsia="zh-CN"/>
        </w:rPr>
        <w:t>4规划总则</w:t>
      </w:r>
      <w:bookmarkEnd w:id="152"/>
      <w:bookmarkEnd w:id="153"/>
      <w:bookmarkEnd w:id="154"/>
      <w:bookmarkEnd w:id="155"/>
      <w:bookmarkEnd w:id="156"/>
      <w:bookmarkEnd w:id="157"/>
      <w:bookmarkEnd w:id="158"/>
      <w:bookmarkEnd w:id="159"/>
      <w:bookmarkEnd w:id="160"/>
      <w:bookmarkEnd w:id="161"/>
      <w:bookmarkEnd w:id="162"/>
      <w:bookmarkEnd w:id="163"/>
      <w:bookmarkEnd w:id="164"/>
    </w:p>
    <w:p w14:paraId="67FAA0B3">
      <w:pPr>
        <w:pStyle w:val="4"/>
        <w:pageBreakBefore w:val="0"/>
        <w:kinsoku/>
        <w:wordWrap/>
        <w:overflowPunct/>
        <w:topLinePunct w:val="0"/>
        <w:autoSpaceDE/>
        <w:autoSpaceDN/>
        <w:bidi w:val="0"/>
        <w:spacing w:before="260" w:after="260" w:line="500" w:lineRule="exact"/>
        <w:ind w:firstLine="0"/>
        <w:textAlignment w:val="auto"/>
        <w:rPr>
          <w:rFonts w:hint="default" w:ascii="Times New Roman" w:hAnsi="Times New Roman" w:eastAsia="仿宋" w:cs="Times New Roman"/>
          <w:color w:val="auto"/>
          <w:sz w:val="32"/>
          <w:lang w:val="en-US" w:eastAsia="zh-CN"/>
        </w:rPr>
      </w:pPr>
      <w:bookmarkStart w:id="165" w:name="_Toc15548"/>
      <w:bookmarkStart w:id="166" w:name="_Toc7491"/>
      <w:bookmarkStart w:id="167" w:name="_Toc6160"/>
      <w:r>
        <w:rPr>
          <w:rFonts w:hint="default" w:ascii="Times New Roman" w:hAnsi="Times New Roman" w:eastAsia="仿宋" w:cs="Times New Roman"/>
          <w:color w:val="auto"/>
          <w:sz w:val="32"/>
          <w:lang w:val="en-US" w:eastAsia="zh-CN"/>
        </w:rPr>
        <w:t>4.1指导思想</w:t>
      </w:r>
      <w:bookmarkEnd w:id="165"/>
      <w:bookmarkEnd w:id="166"/>
      <w:bookmarkEnd w:id="167"/>
    </w:p>
    <w:p w14:paraId="2D353E5D">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Times New Roman"/>
          <w:color w:val="auto"/>
          <w:kern w:val="2"/>
          <w:sz w:val="32"/>
          <w:szCs w:val="32"/>
          <w:lang w:val="en-US" w:eastAsia="zh-CN" w:bidi="ar-SA"/>
        </w:rPr>
      </w:pPr>
      <w:bookmarkStart w:id="168" w:name="_Toc8847"/>
      <w:bookmarkStart w:id="169" w:name="_Toc32402"/>
      <w:r>
        <w:rPr>
          <w:rFonts w:hint="default" w:ascii="Times New Roman" w:hAnsi="Times New Roman" w:eastAsia="方正仿宋_GBK" w:cs="方正仿宋_GBK"/>
          <w:b w:val="0"/>
          <w:bCs w:val="0"/>
          <w:color w:val="auto"/>
          <w:kern w:val="2"/>
          <w:sz w:val="28"/>
          <w:szCs w:val="28"/>
          <w:lang w:val="en-US" w:eastAsia="zh-CN" w:bidi="ar-SA"/>
        </w:rPr>
        <w:t>坚持以习近平生态文明思想和习近平总书记考察云南重要讲话精神为指引，全面贯彻党的十九大、十九届历次全会和</w:t>
      </w:r>
      <w:r>
        <w:rPr>
          <w:rFonts w:hint="eastAsia" w:ascii="Times New Roman" w:hAnsi="Times New Roman" w:eastAsia="方正仿宋_GBK" w:cs="方正仿宋_GBK"/>
          <w:b w:val="0"/>
          <w:bCs w:val="0"/>
          <w:color w:val="auto"/>
          <w:kern w:val="2"/>
          <w:sz w:val="28"/>
          <w:szCs w:val="28"/>
          <w:lang w:val="en-US" w:eastAsia="zh-CN" w:bidi="ar-SA"/>
        </w:rPr>
        <w:t>党的</w:t>
      </w:r>
      <w:r>
        <w:rPr>
          <w:rFonts w:hint="default" w:ascii="Times New Roman" w:hAnsi="Times New Roman" w:eastAsia="方正仿宋_GBK" w:cs="方正仿宋_GBK"/>
          <w:b w:val="0"/>
          <w:bCs w:val="0"/>
          <w:color w:val="auto"/>
          <w:kern w:val="2"/>
          <w:sz w:val="28"/>
          <w:szCs w:val="28"/>
          <w:lang w:val="en-US" w:eastAsia="zh-CN" w:bidi="ar-SA"/>
        </w:rPr>
        <w:t>二十大精神，牢固树立“绿水青山就是金山银山”的理念，扎实践行绿色发展理念，坚持尊重自然、顺应自然、保护自然，坚持节约优先、保护优先、自然恢复为主，以实现减污降碳协同增效为导向，坚持“生态立县”发展战略，围绕县委打造“滇中绿谷”发展目标和落实“12345”发展战略，紧扣云南绿色矿冶集聚区、云南高原特色现代农业示范区、中国花腰傣文化旅游目的地三大发展定位，通过加快发展方式绿色转型、深入推进环境污染防治、提升生态系统多样性</w:t>
      </w:r>
      <w:r>
        <w:rPr>
          <w:rFonts w:hint="eastAsia" w:ascii="Times New Roman" w:hAnsi="Times New Roman" w:eastAsia="方正仿宋_GBK" w:cs="方正仿宋_GBK"/>
          <w:b w:val="0"/>
          <w:bCs w:val="0"/>
          <w:color w:val="auto"/>
          <w:kern w:val="2"/>
          <w:sz w:val="28"/>
          <w:szCs w:val="28"/>
          <w:lang w:val="en-US" w:eastAsia="zh-CN" w:bidi="ar-SA"/>
        </w:rPr>
        <w:t>和</w:t>
      </w:r>
      <w:r>
        <w:rPr>
          <w:rFonts w:hint="default" w:ascii="Times New Roman" w:hAnsi="Times New Roman" w:eastAsia="方正仿宋_GBK" w:cs="方正仿宋_GBK"/>
          <w:b w:val="0"/>
          <w:bCs w:val="0"/>
          <w:color w:val="auto"/>
          <w:kern w:val="2"/>
          <w:sz w:val="28"/>
          <w:szCs w:val="28"/>
          <w:lang w:val="en-US" w:eastAsia="zh-CN" w:bidi="ar-SA"/>
        </w:rPr>
        <w:t>持续性、积极稳妥推进碳达峰碳中和、</w:t>
      </w:r>
      <w:r>
        <w:rPr>
          <w:rFonts w:hint="eastAsia" w:ascii="Times New Roman" w:hAnsi="Times New Roman" w:eastAsia="方正仿宋_GBK" w:cs="方正仿宋_GBK"/>
          <w:b w:val="0"/>
          <w:bCs w:val="0"/>
          <w:color w:val="auto"/>
          <w:kern w:val="2"/>
          <w:sz w:val="28"/>
          <w:szCs w:val="28"/>
          <w:lang w:val="en-US" w:eastAsia="zh-CN" w:bidi="ar-SA"/>
        </w:rPr>
        <w:t>持续提升城乡人居环境、弘扬民族生态文化</w:t>
      </w:r>
      <w:r>
        <w:rPr>
          <w:rFonts w:hint="default" w:ascii="Times New Roman" w:hAnsi="Times New Roman" w:eastAsia="方正仿宋_GBK" w:cs="方正仿宋_GBK"/>
          <w:b w:val="0"/>
          <w:bCs w:val="0"/>
          <w:color w:val="auto"/>
          <w:kern w:val="2"/>
          <w:sz w:val="28"/>
          <w:szCs w:val="28"/>
          <w:lang w:val="en-US" w:eastAsia="zh-CN" w:bidi="ar-SA"/>
        </w:rPr>
        <w:t>等，努力建设生态新平、富强新平、活力新平、文化新平、美丽新平、和谐新平</w:t>
      </w:r>
      <w:r>
        <w:rPr>
          <w:rFonts w:hint="eastAsia" w:ascii="Times New Roman" w:hAnsi="Times New Roman" w:eastAsia="方正仿宋_GBK" w:cs="方正仿宋_GBK"/>
          <w:b w:val="0"/>
          <w:bCs w:val="0"/>
          <w:color w:val="auto"/>
          <w:kern w:val="2"/>
          <w:sz w:val="28"/>
          <w:szCs w:val="28"/>
          <w:lang w:val="en-US" w:eastAsia="zh-CN" w:bidi="ar-SA"/>
        </w:rPr>
        <w:t>，</w:t>
      </w:r>
      <w:r>
        <w:rPr>
          <w:rFonts w:hint="default" w:ascii="Times New Roman" w:hAnsi="Times New Roman" w:eastAsia="方正仿宋_GBK" w:cs="方正仿宋_GBK"/>
          <w:b w:val="0"/>
          <w:bCs w:val="0"/>
          <w:color w:val="auto"/>
          <w:kern w:val="2"/>
          <w:sz w:val="28"/>
          <w:szCs w:val="28"/>
          <w:lang w:val="en-US" w:eastAsia="zh-CN" w:bidi="ar-SA"/>
        </w:rPr>
        <w:t>力争成为全市绿色引领发展和生态文明建设的先行区和示范区。</w:t>
      </w:r>
    </w:p>
    <w:p w14:paraId="53851DD5">
      <w:pPr>
        <w:pStyle w:val="4"/>
        <w:pageBreakBefore w:val="0"/>
        <w:kinsoku/>
        <w:wordWrap/>
        <w:overflowPunct/>
        <w:topLinePunct w:val="0"/>
        <w:autoSpaceDE/>
        <w:autoSpaceDN/>
        <w:bidi w:val="0"/>
        <w:spacing w:before="260" w:after="260" w:line="500" w:lineRule="exact"/>
        <w:ind w:firstLine="0"/>
        <w:textAlignment w:val="auto"/>
        <w:rPr>
          <w:rFonts w:hint="default" w:ascii="Times New Roman" w:hAnsi="Times New Roman" w:eastAsia="仿宋" w:cs="Times New Roman"/>
          <w:color w:val="auto"/>
          <w:sz w:val="32"/>
          <w:lang w:val="en-US" w:eastAsia="zh-CN"/>
        </w:rPr>
      </w:pPr>
      <w:bookmarkStart w:id="170" w:name="_Toc31720"/>
      <w:r>
        <w:rPr>
          <w:rFonts w:hint="default" w:ascii="Times New Roman" w:hAnsi="Times New Roman" w:eastAsia="仿宋" w:cs="Times New Roman"/>
          <w:color w:val="auto"/>
          <w:sz w:val="32"/>
          <w:lang w:val="en-US" w:eastAsia="zh-CN"/>
        </w:rPr>
        <w:t>4.2规划原则</w:t>
      </w:r>
      <w:bookmarkEnd w:id="168"/>
      <w:bookmarkEnd w:id="169"/>
      <w:bookmarkEnd w:id="170"/>
    </w:p>
    <w:p w14:paraId="469FDCFE">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坚持生态优先，绿色发展。深入践行“绿水青山就是金山银山”的理念，坚持山水林田湖草系统治理，以筑牢哀牢山生态屏障为重点，保持生态文明战略定力，持续深入打好污染防治攻坚战，推进矿山生态修复和重点区域环境治理，开展全域国土综合整治，完善自然保护地体系，加强生物多样性保护，推进绿色发展方式和生活方式，加快构建绿色循环低碳发展产业体系，确保“滇中绿谷”建设取得突破进展。</w:t>
      </w:r>
    </w:p>
    <w:p w14:paraId="12A35307">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坚持典型引领，重点突破。以争当全市生态文明建设排头兵为目标，努力在生物多样性保护、环境治理、减碳增汇、“两山”创建等方面创先争优。针对重点难点和突出问题，在环境风险防范等重点领域取得新突破，带动生态环境保护整体推进。</w:t>
      </w:r>
    </w:p>
    <w:p w14:paraId="231FF765">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坚持系统治理，统筹推进。树牢系统观念，坚持精准、科学、依法治污，预防和治理相结合，减污和增容并重，追根溯源、综合施策，加强山水林田湖草保护修复，统筹推进生态保护与环境治理、城市治理与乡村建设，推动生态环境源头治理、整体治理。</w:t>
      </w:r>
    </w:p>
    <w:p w14:paraId="2929A28C">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坚持改革创新，开拓进取。积极适应加快提升生态环境治理现代化的要求，在全面落实国家、省、市改革任务的基础上，结合实际加大改革创新力度。</w:t>
      </w:r>
    </w:p>
    <w:p w14:paraId="39860C8E">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坚持共治共享，多方互动。综合运用政府“有形之手”、市场“无形之手”和社会“自治之手”，建立健全紧密联系的制度框架，对政府、企业和社会的生态环境行为进行有效规范、引导和监督。加强政府和企事业单位环境信息公开，强化环境监管执法，构筑多渠道公众参与机制，形成政府、企业和社会多元主体参与及多方互动的“共治共享”的生态环境治理模式。</w:t>
      </w:r>
    </w:p>
    <w:p w14:paraId="3429927F">
      <w:pPr>
        <w:pStyle w:val="4"/>
        <w:pageBreakBefore w:val="0"/>
        <w:kinsoku/>
        <w:wordWrap/>
        <w:overflowPunct/>
        <w:topLinePunct w:val="0"/>
        <w:autoSpaceDE/>
        <w:autoSpaceDN/>
        <w:bidi w:val="0"/>
        <w:spacing w:before="260" w:after="260" w:line="500" w:lineRule="exact"/>
        <w:ind w:firstLine="0"/>
        <w:textAlignment w:val="auto"/>
        <w:rPr>
          <w:rFonts w:hint="default" w:ascii="Times New Roman" w:hAnsi="Times New Roman" w:eastAsia="仿宋" w:cs="Times New Roman"/>
          <w:color w:val="auto"/>
          <w:sz w:val="32"/>
          <w:lang w:val="en-US" w:eastAsia="zh-CN"/>
        </w:rPr>
      </w:pPr>
      <w:bookmarkStart w:id="171" w:name="_Toc25323"/>
      <w:bookmarkStart w:id="172" w:name="_Toc3616"/>
      <w:bookmarkStart w:id="173" w:name="_Toc9315"/>
      <w:r>
        <w:rPr>
          <w:rFonts w:hint="default" w:ascii="Times New Roman" w:hAnsi="Times New Roman" w:eastAsia="仿宋" w:cs="Times New Roman"/>
          <w:color w:val="auto"/>
          <w:sz w:val="32"/>
          <w:lang w:val="en-US" w:eastAsia="zh-CN"/>
        </w:rPr>
        <w:t>4.3编制依据</w:t>
      </w:r>
      <w:bookmarkEnd w:id="171"/>
      <w:bookmarkEnd w:id="172"/>
      <w:bookmarkEnd w:id="173"/>
    </w:p>
    <w:p w14:paraId="64269C28">
      <w:pPr>
        <w:pStyle w:val="5"/>
        <w:pageBreakBefore w:val="0"/>
        <w:kinsoku/>
        <w:wordWrap/>
        <w:overflowPunct/>
        <w:topLinePunct w:val="0"/>
        <w:autoSpaceDE/>
        <w:autoSpaceDN/>
        <w:bidi w:val="0"/>
        <w:spacing w:before="120" w:after="120" w:line="500" w:lineRule="exact"/>
        <w:ind w:firstLine="0" w:firstLineChars="0"/>
        <w:textAlignment w:val="auto"/>
        <w:rPr>
          <w:rFonts w:hint="default" w:eastAsia="仿宋"/>
          <w:snapToGrid w:val="0"/>
          <w:color w:val="auto"/>
          <w:sz w:val="28"/>
          <w:szCs w:val="28"/>
          <w:lang w:val="en-US" w:eastAsia="zh-CN"/>
        </w:rPr>
      </w:pPr>
      <w:bookmarkStart w:id="174" w:name="_Toc1149"/>
      <w:bookmarkStart w:id="175" w:name="_Toc14451"/>
      <w:bookmarkStart w:id="176" w:name="_Toc23973"/>
      <w:r>
        <w:rPr>
          <w:rFonts w:hint="default" w:eastAsia="仿宋"/>
          <w:snapToGrid w:val="0"/>
          <w:color w:val="auto"/>
          <w:sz w:val="28"/>
          <w:szCs w:val="28"/>
          <w:lang w:val="en-US" w:eastAsia="zh-CN"/>
        </w:rPr>
        <w:t>4.3.1法律法规</w:t>
      </w:r>
      <w:bookmarkEnd w:id="174"/>
      <w:bookmarkEnd w:id="175"/>
      <w:bookmarkEnd w:id="176"/>
    </w:p>
    <w:p w14:paraId="1968F2CB">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1</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《中华人民共和国环境保护法》（2015年1月1日施行）；</w:t>
      </w:r>
    </w:p>
    <w:p w14:paraId="07FCC139">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2</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中华人民共和国森林法》（2019年12月28日修订）；</w:t>
      </w:r>
    </w:p>
    <w:p w14:paraId="44A8D288">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3</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《中华人民共和国水污染防治法》（2017年6月27日修正）；</w:t>
      </w:r>
    </w:p>
    <w:p w14:paraId="1F0C8B6F">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4</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《中华人民共和国大气污染防治法》（2018年10月26日修正）；</w:t>
      </w:r>
    </w:p>
    <w:p w14:paraId="18CD3749">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5</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《中华人民共和国土壤污染防治法》（2018年1月1日施行）；</w:t>
      </w:r>
    </w:p>
    <w:p w14:paraId="5199396F">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6</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《中华人民共和国固体废物污染环境防治法》（2020年4月29日修订）；</w:t>
      </w:r>
    </w:p>
    <w:p w14:paraId="5CBBE705">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7</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《中华人民共和国噪声污染防治法》（2021年12月24日修正）；</w:t>
      </w:r>
    </w:p>
    <w:p w14:paraId="4E69F073">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8</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《中华人民共和国矿产资源法》（2009年8月27日修订）；</w:t>
      </w:r>
    </w:p>
    <w:p w14:paraId="5C4F926D">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9</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《中华人民共和国水法》（2016年7月修订）；</w:t>
      </w:r>
    </w:p>
    <w:p w14:paraId="72AAC4BE">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10</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《中华人民共和国土地管理法》（2019年8月26日修正）；</w:t>
      </w:r>
    </w:p>
    <w:p w14:paraId="5E766F0A">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11</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《中华人民共和国节约能源法》（2018年10月26日修正）；</w:t>
      </w:r>
    </w:p>
    <w:p w14:paraId="070FAD16">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12</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《中华人民共和国水土保持法》（2010年12月25日修订）；</w:t>
      </w:r>
    </w:p>
    <w:p w14:paraId="07A41945">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13</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《中华人民共和国循环经济促进法》（2018年10月26日修正）；</w:t>
      </w:r>
    </w:p>
    <w:p w14:paraId="7E1286B9">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14</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《中华人民共和国清洁生产促进法》（2012年2月29日修正）；</w:t>
      </w:r>
    </w:p>
    <w:p w14:paraId="019BD661">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15</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《中华人民共和国城乡规划法》（2019年4月23日修正）；</w:t>
      </w:r>
    </w:p>
    <w:p w14:paraId="2D57B92E">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16</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《中华人民共和国乡村振兴促进法》（2021年6月1日施行）；</w:t>
      </w:r>
    </w:p>
    <w:p w14:paraId="1703A762">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17</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《地下水管理条例》（2021年12月1日施行）；</w:t>
      </w:r>
    </w:p>
    <w:p w14:paraId="5FA26675">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18</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《中国生物多样性保护战略与行动计划》（2011年）；</w:t>
      </w:r>
    </w:p>
    <w:p w14:paraId="6B252DAA">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19</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中共中央办公厅、国务院办公厅印发《党政领导干部生态环境损害责任追究办法（试行）》（2015年8月9日）；</w:t>
      </w:r>
    </w:p>
    <w:p w14:paraId="1CF252F5">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20</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《云南省创建生态文明建设排头兵促进条例》（2020年7月1日起施行）；</w:t>
      </w:r>
    </w:p>
    <w:p w14:paraId="0CD4F502">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21</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《云南省大气污染防治条例》（2018年）；</w:t>
      </w:r>
    </w:p>
    <w:p w14:paraId="03E9EBBA">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22</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《云南省生物多样性保护条例》（2019年）；</w:t>
      </w:r>
    </w:p>
    <w:p w14:paraId="6465F692">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23</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《云南省土壤污染防治条例》（2022年5月1日起施行）；</w:t>
      </w:r>
    </w:p>
    <w:p w14:paraId="1F9B9ECA">
      <w:pPr>
        <w:pStyle w:val="5"/>
        <w:pageBreakBefore w:val="0"/>
        <w:kinsoku/>
        <w:wordWrap/>
        <w:overflowPunct/>
        <w:topLinePunct w:val="0"/>
        <w:autoSpaceDE/>
        <w:autoSpaceDN/>
        <w:bidi w:val="0"/>
        <w:spacing w:before="120" w:after="120" w:line="500" w:lineRule="exact"/>
        <w:ind w:firstLine="0" w:firstLineChars="0"/>
        <w:textAlignment w:val="auto"/>
        <w:rPr>
          <w:rFonts w:hint="default" w:eastAsia="仿宋"/>
          <w:snapToGrid w:val="0"/>
          <w:color w:val="auto"/>
          <w:sz w:val="28"/>
          <w:szCs w:val="28"/>
          <w:lang w:val="en-US" w:eastAsia="zh-CN"/>
        </w:rPr>
      </w:pPr>
      <w:bookmarkStart w:id="177" w:name="_Toc2005"/>
      <w:bookmarkStart w:id="178" w:name="_Toc11183"/>
      <w:bookmarkStart w:id="179" w:name="_Toc15779"/>
      <w:r>
        <w:rPr>
          <w:rFonts w:hint="default" w:eastAsia="仿宋"/>
          <w:snapToGrid w:val="0"/>
          <w:color w:val="auto"/>
          <w:sz w:val="28"/>
          <w:szCs w:val="28"/>
          <w:lang w:val="en-US" w:eastAsia="zh-CN"/>
        </w:rPr>
        <w:t>4.3.2政策文件</w:t>
      </w:r>
      <w:bookmarkEnd w:id="177"/>
      <w:bookmarkEnd w:id="178"/>
      <w:bookmarkEnd w:id="179"/>
    </w:p>
    <w:p w14:paraId="1086FF0E">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1</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中共中央、国务院《关于加快推进生态文明建设的意见》（中发〔2015〕12号）；</w:t>
      </w:r>
    </w:p>
    <w:p w14:paraId="01BE69CA">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2</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中共中央、国务院印发《生态文明体制改革总体方案》（中发〔2015〕25号）；</w:t>
      </w:r>
    </w:p>
    <w:p w14:paraId="0BCC813A">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3</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中共中央办公厅、国务院办公厅印发《关于全面推行河长制的意见》（2016年12月11日）；</w:t>
      </w:r>
    </w:p>
    <w:p w14:paraId="5A991B2B">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4</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中共中央、国务院《关于全面加强生态环境保护坚决打好污染防治攻坚战的意见》（2018年6月）；</w:t>
      </w:r>
    </w:p>
    <w:p w14:paraId="2662C009">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5</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中共中央、国务院《关于建立国土空间规划体系并监督实施的若干意见》（2019年5月）；</w:t>
      </w:r>
    </w:p>
    <w:p w14:paraId="3BC651CC">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6</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中共中央办公厅</w:t>
      </w:r>
      <w:r>
        <w:rPr>
          <w:rFonts w:hint="default" w:ascii="Times New Roman" w:hAnsi="Times New Roman" w:eastAsia="方正仿宋_GBK" w:cs="方正仿宋_GBK"/>
          <w:b w:val="0"/>
          <w:bCs w:val="0"/>
          <w:color w:val="auto"/>
          <w:kern w:val="2"/>
          <w:sz w:val="28"/>
          <w:szCs w:val="28"/>
          <w:lang w:val="en-US" w:eastAsia="zh-CN" w:bidi="ar-SA"/>
        </w:rPr>
        <w:t>、</w:t>
      </w:r>
      <w:r>
        <w:rPr>
          <w:rFonts w:hint="default" w:ascii="Times New Roman" w:hAnsi="Times New Roman" w:eastAsia="方正仿宋_GBK" w:cs="方正仿宋_GBK"/>
          <w:b w:val="0"/>
          <w:bCs w:val="0"/>
          <w:color w:val="auto"/>
          <w:kern w:val="2"/>
          <w:sz w:val="28"/>
          <w:szCs w:val="28"/>
          <w:lang w:val="zh-CN" w:eastAsia="zh-CN" w:bidi="ar-SA"/>
        </w:rPr>
        <w:t>国务院办公厅</w:t>
      </w:r>
      <w:r>
        <w:rPr>
          <w:rFonts w:hint="default" w:ascii="Times New Roman" w:hAnsi="Times New Roman" w:eastAsia="方正仿宋_GBK" w:cs="方正仿宋_GBK"/>
          <w:b w:val="0"/>
          <w:bCs w:val="0"/>
          <w:color w:val="auto"/>
          <w:kern w:val="2"/>
          <w:sz w:val="28"/>
          <w:szCs w:val="28"/>
          <w:lang w:val="en-US" w:eastAsia="zh-CN" w:bidi="ar-SA"/>
        </w:rPr>
        <w:t>印发</w:t>
      </w:r>
      <w:r>
        <w:rPr>
          <w:rFonts w:hint="default" w:ascii="Times New Roman" w:hAnsi="Times New Roman" w:eastAsia="方正仿宋_GBK" w:cs="方正仿宋_GBK"/>
          <w:b w:val="0"/>
          <w:bCs w:val="0"/>
          <w:color w:val="auto"/>
          <w:kern w:val="2"/>
          <w:sz w:val="28"/>
          <w:szCs w:val="28"/>
          <w:lang w:val="zh-CN" w:eastAsia="zh-CN" w:bidi="ar-SA"/>
        </w:rPr>
        <w:t>《关于构建现代环境治理体系的指导意见》（2020年3月）；</w:t>
      </w:r>
    </w:p>
    <w:p w14:paraId="376D9996">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7</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《关于“十四五”大宗固体废弃物综合利用的指导意见》（发改环资〔2021〕381号）；</w:t>
      </w:r>
    </w:p>
    <w:p w14:paraId="005F7257">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8</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中共中央办公厅、国务院办公厅印发《关于全面推行林长制的意见》（</w:t>
      </w:r>
      <w:r>
        <w:rPr>
          <w:rFonts w:hint="default" w:ascii="Times New Roman" w:hAnsi="Times New Roman" w:eastAsia="方正仿宋_GBK" w:cs="方正仿宋_GBK"/>
          <w:b w:val="0"/>
          <w:bCs w:val="0"/>
          <w:color w:val="auto"/>
          <w:kern w:val="2"/>
          <w:sz w:val="28"/>
          <w:szCs w:val="28"/>
          <w:lang w:val="en-US" w:eastAsia="zh-CN" w:bidi="ar-SA"/>
        </w:rPr>
        <w:t>2021年1月</w:t>
      </w:r>
      <w:r>
        <w:rPr>
          <w:rFonts w:hint="default" w:ascii="Times New Roman" w:hAnsi="Times New Roman" w:eastAsia="方正仿宋_GBK" w:cs="方正仿宋_GBK"/>
          <w:b w:val="0"/>
          <w:bCs w:val="0"/>
          <w:color w:val="auto"/>
          <w:kern w:val="2"/>
          <w:sz w:val="28"/>
          <w:szCs w:val="28"/>
          <w:lang w:val="zh-CN" w:eastAsia="zh-CN" w:bidi="ar-SA"/>
        </w:rPr>
        <w:t>）；</w:t>
      </w:r>
    </w:p>
    <w:p w14:paraId="3E6D4D52">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9</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中共中央办公厅、国务院办公厅印发《关于进一步加强生物多样性保护的意见》（2021年8月）；</w:t>
      </w:r>
    </w:p>
    <w:p w14:paraId="049E7D7C">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10</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中共中央、国务院《关于深入打好污染防治攻坚战的意见》（2021年11月）；</w:t>
      </w:r>
    </w:p>
    <w:p w14:paraId="0D20061B">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11</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中共中央办公厅、国务院办公厅印发《关于深化生态保护补偿制度改革的意见》（2021年5月）；</w:t>
      </w:r>
    </w:p>
    <w:p w14:paraId="04B1619D">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12</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《“十四五”全国清洁生产推行方案》（发改环资〔2021〕1524号）；</w:t>
      </w:r>
    </w:p>
    <w:p w14:paraId="2A46993E">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13</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《关于加强产融合作推动工业绿色发展的指导意见》（工信部联财〔2021〕159号）；</w:t>
      </w:r>
    </w:p>
    <w:p w14:paraId="52B68083">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14</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国务院《关于加快建立健全绿色低碳循环发展经济体系的指导意见》（国发〔2021〕4号）；</w:t>
      </w:r>
    </w:p>
    <w:p w14:paraId="32B3267F">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15</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中共中央办公厅、国务院办公厅印发《关于建立健全生态产品价值实现机制的意见》（2021年2月）；</w:t>
      </w:r>
    </w:p>
    <w:p w14:paraId="741C41B2">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16</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中共中央、国务院发布《关于完整准确全面贯彻新发展理念做好碳达峰碳中和工作的意见》（2021年10月24日）；</w:t>
      </w:r>
    </w:p>
    <w:p w14:paraId="52561C6F">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17</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国务院关于印发《2030年前碳达峰行动方案的通知》（2021年10月24日）；</w:t>
      </w:r>
    </w:p>
    <w:p w14:paraId="7B78FEF0">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18</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中共中央办公厅、国务院印发《农村人居环境整治提升五年行动方案（2021－2025年）》（2021年）；</w:t>
      </w:r>
    </w:p>
    <w:p w14:paraId="13AD4E83">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19</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《关于实施“三线一单”生态环境分区管控的指导意见（试行）》（环环评〔2021〕108号）（环监测〔2021〕99号）；</w:t>
      </w:r>
    </w:p>
    <w:p w14:paraId="65110F1D">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20</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《“十四五”时期“无废城市”建设工作方案》（环固体〔2021〕114号）；</w:t>
      </w:r>
    </w:p>
    <w:p w14:paraId="03854F6F">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21</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《关于深化生态环境领域依法行政持续强化依法治污的指导意见》（环法规〔2021〕107号）；</w:t>
      </w:r>
    </w:p>
    <w:p w14:paraId="7BB41F19">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22</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《关于加强国家重点生态功能区环境保护和管理的意见》（国发〔2011〕35号）；</w:t>
      </w:r>
    </w:p>
    <w:p w14:paraId="2252F02E">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23</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中共云南省委办公厅、云南省人民政府办公厅关于印发《云南省全面深化生态文明体制改革总体实施方案》的通知（云办发〔2014〕49号）；</w:t>
      </w:r>
    </w:p>
    <w:p w14:paraId="2BAE4F1E">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24</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中共云南省委《关于深入贯彻落实习近平总书记考察云南重要讲话精神闯出跨越式发展路子的决定》（云发〔2015〕9号）；</w:t>
      </w:r>
    </w:p>
    <w:p w14:paraId="6C5E30EB">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25</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中共云南省委、云南省人民政府《关于争当生态文明建设排头兵的决定》（云发〔2013〕11号）；</w:t>
      </w:r>
    </w:p>
    <w:p w14:paraId="3014AFA8">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26</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中共云南省委、云南省人民政府《关于努力成为生态文明建设排头兵的实施意见》（云发〔2015〕23号）；</w:t>
      </w:r>
    </w:p>
    <w:p w14:paraId="436C2BC4">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27</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中共云南省委云南省人民政府《关于贯彻落实生态文明体制改革总体方案的实施意见》（云发〔2016〕22号）；</w:t>
      </w:r>
    </w:p>
    <w:p w14:paraId="1683B055">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28</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《云南省人民政府关于发布云南省生态保护红线的通知》（云政发〔2018〕32号）；</w:t>
      </w:r>
    </w:p>
    <w:p w14:paraId="6781BF91">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29</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《关于印发〈云南省生态保护红线划定方案〉的通知》（云环发〔2018〕28号）；</w:t>
      </w:r>
    </w:p>
    <w:p w14:paraId="14C67F9C">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30</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《云南省农业农村污染治理攻坚战作战方案》（云环发〔2018〕44号）；</w:t>
      </w:r>
    </w:p>
    <w:p w14:paraId="42CADA92">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31</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《云南省固体废物污染治理攻坚战实施方案》（云环发〔2018〕46号）；</w:t>
      </w:r>
    </w:p>
    <w:p w14:paraId="21E15E18">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32</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《云南省水源地保护攻坚战实施方案》（云环发〔2019〕4号）；</w:t>
      </w:r>
    </w:p>
    <w:p w14:paraId="3068B46C">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33</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中共云南省委办公厅、云南省人民政府办公厅《关于努力将云南建设成为中国最美丽省份的指导意见》（2019年）；</w:t>
      </w:r>
    </w:p>
    <w:p w14:paraId="7A056C9A">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34</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中共云南省委、云南省人民政府《关于全面加强生态环境保护坚决打好污染防治攻坚战的实施意见》（云发〔2018〕16号）；</w:t>
      </w:r>
    </w:p>
    <w:p w14:paraId="777EEE99">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35</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《云南省生态保护修复攻坚战实施方案》（云林联发〔2019〕8号）</w:t>
      </w:r>
    </w:p>
    <w:p w14:paraId="0F69C346">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36</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《云南省各类开发区优化提升总体方案》（云委〔2020〕287号）；</w:t>
      </w:r>
    </w:p>
    <w:p w14:paraId="04439E19">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37</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《云南省创建生态文明建设排头兵促进条例实施细则》（云政规〔2021〕2号）；</w:t>
      </w:r>
    </w:p>
    <w:p w14:paraId="16649DB2">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38</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中共云南省委、云南省人民政府《关于全面推进乡村振兴加快农业农村现代化的实施意见》（云发〔2021〕1号）；</w:t>
      </w:r>
    </w:p>
    <w:p w14:paraId="52A561EF">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39</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云南省人民政府《关于实施“三线一单”生态环境分区管控的意见》（云政发〔2020〕29号）；</w:t>
      </w:r>
    </w:p>
    <w:p w14:paraId="09651F24">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40</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云南省人民政府办公厅《关于加强草原保护修复的实施意见》（云政办发〔2021〕41号）；</w:t>
      </w:r>
    </w:p>
    <w:p w14:paraId="0A11A008">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41</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中共云南省委、云南省人民政府《关于贯彻发展理念推动各州市高质量跨越式发展的指导意见》（2021年10月8日）；</w:t>
      </w:r>
    </w:p>
    <w:p w14:paraId="5AA0757B">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42</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中共云南省委、云南省人民政府《关于“湖泊革命”攻坚战的实施意见》（2021年9月27日）；</w:t>
      </w:r>
    </w:p>
    <w:p w14:paraId="3EABCE06">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43</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《云南省农村人居环境整治工作领导小组关于扎实推进云南省“十四五”农村厕所革命的实施意见的通知》（云农人居〔2021〕1号）；</w:t>
      </w:r>
    </w:p>
    <w:p w14:paraId="1377D1B9">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44</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《关于推进云南省农村生活污水治理的实施意见》（云农人居办〔2020〕1号）；</w:t>
      </w:r>
    </w:p>
    <w:p w14:paraId="24C1C604">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45</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云南省生态环境厅《关于推进农村环境整治工作的通知》（云环通〔2020〕51号）；</w:t>
      </w:r>
    </w:p>
    <w:p w14:paraId="0F4F583D">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46</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中共云南省委办公厅、云南省人民政府办公厅印发《关于全面推行林长制的实施意见》（云厅字〔2021〕11号）；</w:t>
      </w:r>
    </w:p>
    <w:p w14:paraId="76D3CBD0">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47</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云南省人民政府办公厅《关于科学绿化的实施意见》（云政办发〔2021〕60号）；</w:t>
      </w:r>
    </w:p>
    <w:p w14:paraId="735738A7">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48</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云南省委办公厅、云南省人民政府办公厅联合印发《云南省城乡绿化美化三年行动（2022—2024年）》</w:t>
      </w:r>
    </w:p>
    <w:p w14:paraId="65EDF979">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49</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en-US" w:eastAsia="zh-CN" w:bidi="ar-SA"/>
        </w:rPr>
        <w:t>《中共云南省委云南省人民政府关于完整准确全面贯彻新发展理念做好碳达峰碳中和工作的实施意见》</w:t>
      </w:r>
      <w:r>
        <w:rPr>
          <w:rFonts w:hint="default" w:ascii="Times New Roman" w:hAnsi="Times New Roman" w:eastAsia="方正仿宋_GBK" w:cs="方正仿宋_GBK"/>
          <w:b w:val="0"/>
          <w:bCs w:val="0"/>
          <w:color w:val="auto"/>
          <w:kern w:val="2"/>
          <w:sz w:val="28"/>
          <w:szCs w:val="28"/>
          <w:lang w:val="zh-CN" w:eastAsia="zh-CN" w:bidi="ar-SA"/>
        </w:rPr>
        <w:t>（2022年）；</w:t>
      </w:r>
    </w:p>
    <w:p w14:paraId="3CB0403A">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50</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中共玉溪市委、玉溪市人民政府《关于全面加强生态环境保护坚决打好污染防治攻坚战的实施意见》；</w:t>
      </w:r>
    </w:p>
    <w:p w14:paraId="2F899164">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51</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中共玉溪市委、玉溪市人民政府《关于争当生态保护修复排头兵的实施意见》（</w:t>
      </w:r>
      <w:r>
        <w:rPr>
          <w:rFonts w:hint="default" w:ascii="Times New Roman" w:hAnsi="Times New Roman" w:eastAsia="方正仿宋_GBK" w:cs="方正仿宋_GBK"/>
          <w:b w:val="0"/>
          <w:bCs w:val="0"/>
          <w:color w:val="auto"/>
          <w:kern w:val="2"/>
          <w:sz w:val="28"/>
          <w:szCs w:val="28"/>
          <w:lang w:val="en-US" w:eastAsia="zh-CN" w:bidi="ar-SA"/>
        </w:rPr>
        <w:t>2021年</w:t>
      </w:r>
      <w:r>
        <w:rPr>
          <w:rFonts w:hint="default" w:ascii="Times New Roman" w:hAnsi="Times New Roman" w:eastAsia="方正仿宋_GBK" w:cs="方正仿宋_GBK"/>
          <w:b w:val="0"/>
          <w:bCs w:val="0"/>
          <w:color w:val="auto"/>
          <w:kern w:val="2"/>
          <w:sz w:val="28"/>
          <w:szCs w:val="28"/>
          <w:lang w:val="zh-CN" w:eastAsia="zh-CN" w:bidi="ar-SA"/>
        </w:rPr>
        <w:t>）；</w:t>
      </w:r>
    </w:p>
    <w:p w14:paraId="7696C248">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52</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《新平县创建乡村振兴示范区实施意见》（</w:t>
      </w:r>
      <w:r>
        <w:rPr>
          <w:rFonts w:hint="default" w:ascii="Times New Roman" w:hAnsi="Times New Roman" w:eastAsia="方正仿宋_GBK" w:cs="方正仿宋_GBK"/>
          <w:b w:val="0"/>
          <w:bCs w:val="0"/>
          <w:color w:val="auto"/>
          <w:kern w:val="2"/>
          <w:sz w:val="28"/>
          <w:szCs w:val="28"/>
          <w:lang w:val="en-US" w:eastAsia="zh-CN" w:bidi="ar-SA"/>
        </w:rPr>
        <w:t>2021年</w:t>
      </w:r>
      <w:r>
        <w:rPr>
          <w:rFonts w:hint="default" w:ascii="Times New Roman" w:hAnsi="Times New Roman" w:eastAsia="方正仿宋_GBK" w:cs="方正仿宋_GBK"/>
          <w:b w:val="0"/>
          <w:bCs w:val="0"/>
          <w:color w:val="auto"/>
          <w:kern w:val="2"/>
          <w:sz w:val="28"/>
          <w:szCs w:val="28"/>
          <w:lang w:val="zh-CN" w:eastAsia="zh-CN" w:bidi="ar-SA"/>
        </w:rPr>
        <w:t>）；</w:t>
      </w:r>
    </w:p>
    <w:p w14:paraId="45F149B8">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53</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《新平“一县一业”示范创建实施方案》（</w:t>
      </w:r>
      <w:r>
        <w:rPr>
          <w:rFonts w:hint="default" w:ascii="Times New Roman" w:hAnsi="Times New Roman" w:eastAsia="方正仿宋_GBK" w:cs="方正仿宋_GBK"/>
          <w:b w:val="0"/>
          <w:bCs w:val="0"/>
          <w:color w:val="auto"/>
          <w:kern w:val="2"/>
          <w:sz w:val="28"/>
          <w:szCs w:val="28"/>
          <w:lang w:val="en-US" w:eastAsia="zh-CN" w:bidi="ar-SA"/>
        </w:rPr>
        <w:t>2021年</w:t>
      </w:r>
      <w:r>
        <w:rPr>
          <w:rFonts w:hint="default" w:ascii="Times New Roman" w:hAnsi="Times New Roman" w:eastAsia="方正仿宋_GBK" w:cs="方正仿宋_GBK"/>
          <w:b w:val="0"/>
          <w:bCs w:val="0"/>
          <w:color w:val="auto"/>
          <w:kern w:val="2"/>
          <w:sz w:val="28"/>
          <w:szCs w:val="28"/>
          <w:lang w:val="zh-CN" w:eastAsia="zh-CN" w:bidi="ar-SA"/>
        </w:rPr>
        <w:t>）。</w:t>
      </w:r>
    </w:p>
    <w:p w14:paraId="16D2F321">
      <w:pPr>
        <w:pStyle w:val="5"/>
        <w:pageBreakBefore w:val="0"/>
        <w:kinsoku/>
        <w:wordWrap/>
        <w:overflowPunct/>
        <w:topLinePunct w:val="0"/>
        <w:autoSpaceDE/>
        <w:autoSpaceDN/>
        <w:bidi w:val="0"/>
        <w:spacing w:before="120" w:after="120" w:line="500" w:lineRule="exact"/>
        <w:ind w:firstLine="0" w:firstLineChars="0"/>
        <w:textAlignment w:val="auto"/>
        <w:rPr>
          <w:rFonts w:hint="default" w:eastAsia="仿宋"/>
          <w:snapToGrid w:val="0"/>
          <w:color w:val="auto"/>
          <w:sz w:val="28"/>
          <w:szCs w:val="28"/>
          <w:lang w:val="en-US" w:eastAsia="zh-CN"/>
        </w:rPr>
      </w:pPr>
      <w:bookmarkStart w:id="180" w:name="_Toc11853"/>
      <w:bookmarkStart w:id="181" w:name="_Toc20871"/>
      <w:bookmarkStart w:id="182" w:name="_Toc5011"/>
      <w:r>
        <w:rPr>
          <w:rFonts w:hint="default" w:eastAsia="仿宋"/>
          <w:snapToGrid w:val="0"/>
          <w:color w:val="auto"/>
          <w:sz w:val="28"/>
          <w:szCs w:val="28"/>
          <w:lang w:val="en-US" w:eastAsia="zh-CN"/>
        </w:rPr>
        <w:t>4.3.3规划计划</w:t>
      </w:r>
      <w:bookmarkEnd w:id="180"/>
      <w:bookmarkEnd w:id="181"/>
      <w:bookmarkEnd w:id="182"/>
    </w:p>
    <w:p w14:paraId="1A56B669">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1</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《全国主体功能区规划》（2010年）；</w:t>
      </w:r>
    </w:p>
    <w:p w14:paraId="70CCBCB4">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2</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《“美丽中国，我是行动者”提升公民生态文明意识行动计划（2021</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2025年）》（环宣教〔2021〕19号）；</w:t>
      </w:r>
    </w:p>
    <w:p w14:paraId="39A137C7">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3</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《“十四五”城镇污水处理及资源化利用发展规划》（发改环资〔2021〕827号）；</w:t>
      </w:r>
    </w:p>
    <w:p w14:paraId="2899C074">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4</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《云南省生态功能区划》（2009年）；</w:t>
      </w:r>
    </w:p>
    <w:p w14:paraId="66B4995A">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5</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《云南省主体功能区规划》（2014年）；</w:t>
      </w:r>
    </w:p>
    <w:p w14:paraId="7FFC8257">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6</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《云南省国民经济和社会发展第十四个五年规划和二〇三五年远景目标纲要》；</w:t>
      </w:r>
    </w:p>
    <w:p w14:paraId="01D79E69">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7</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《云南省农村人居环境整治三年行动实施方案（2018</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2020年）》（云办发〔2018〕15号）；</w:t>
      </w:r>
    </w:p>
    <w:p w14:paraId="573A2BB7">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8</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《云南省城镇生活垃圾分类和处理设施建设“十四五”规划》（2021年11月）；</w:t>
      </w:r>
    </w:p>
    <w:p w14:paraId="0ABA62D6">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9</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《云南省工业绿色发展“十四五”规划》；</w:t>
      </w:r>
    </w:p>
    <w:p w14:paraId="10873250">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10</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《云南省“十四五”高原特色现代农业发展规划》；</w:t>
      </w:r>
    </w:p>
    <w:p w14:paraId="4E750D2B">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11</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《云南省乡村振兴战略规划（2018</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2022年）》；</w:t>
      </w:r>
    </w:p>
    <w:p w14:paraId="4F9DDA7E">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12</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《云南省人民政府关于印发云南省“十四五”科技创新规划的通知》（云政发〔2021〕22号）；</w:t>
      </w:r>
    </w:p>
    <w:p w14:paraId="6B187F5B">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13</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《云南省“十四五”现代服务业发展规划》（云政办发〔2022〕12号）；</w:t>
      </w:r>
    </w:p>
    <w:p w14:paraId="3EC6C4EF">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14</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《云南省“十四五”农业农村现代化发展规划》（云政发〔2022〕22号）；</w:t>
      </w:r>
    </w:p>
    <w:p w14:paraId="59C40462">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15</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《云南省“十四五”林草产业发展规划》（2022年3月）；</w:t>
      </w:r>
    </w:p>
    <w:p w14:paraId="6D226EDF">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16</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《云南省农村人居环境整治提升五年行动实施方案（2021</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2025年）》（2022年4月）；</w:t>
      </w:r>
    </w:p>
    <w:p w14:paraId="63855E6B">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17</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《云南省“十四五”质量发展规划》（2021年9月）；</w:t>
      </w:r>
    </w:p>
    <w:p w14:paraId="29388C34">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18</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《云南省“十四五”生态环境保护规划》（云环发〔2022〕13号）；</w:t>
      </w:r>
    </w:p>
    <w:p w14:paraId="4EAC14F7">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19</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《云南省生态文明建设排头兵规划（2021</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2025年）》</w:t>
      </w:r>
    </w:p>
    <w:p w14:paraId="2056D127">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20</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《玉溪市国民经济和社会发展第十四个五年规划纲要》（</w:t>
      </w:r>
      <w:r>
        <w:rPr>
          <w:rFonts w:hint="default" w:ascii="Times New Roman" w:hAnsi="Times New Roman" w:eastAsia="方正仿宋_GBK" w:cs="方正仿宋_GBK"/>
          <w:b w:val="0"/>
          <w:bCs w:val="0"/>
          <w:color w:val="auto"/>
          <w:kern w:val="2"/>
          <w:sz w:val="28"/>
          <w:szCs w:val="28"/>
          <w:lang w:val="en-US" w:eastAsia="zh-CN" w:bidi="ar-SA"/>
        </w:rPr>
        <w:t>2021年</w:t>
      </w:r>
      <w:r>
        <w:rPr>
          <w:rFonts w:hint="default" w:ascii="Times New Roman" w:hAnsi="Times New Roman" w:eastAsia="方正仿宋_GBK" w:cs="方正仿宋_GBK"/>
          <w:b w:val="0"/>
          <w:bCs w:val="0"/>
          <w:color w:val="auto"/>
          <w:kern w:val="2"/>
          <w:sz w:val="28"/>
          <w:szCs w:val="28"/>
          <w:lang w:val="zh-CN" w:eastAsia="zh-CN" w:bidi="ar-SA"/>
        </w:rPr>
        <w:t>）；</w:t>
      </w:r>
    </w:p>
    <w:p w14:paraId="72D95072">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21</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《玉溪市“三线一单”研究报告》（2019年）</w:t>
      </w:r>
    </w:p>
    <w:p w14:paraId="3A5770CC">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22</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《玉溪市生态建设和环境保护规划（2021—2025年）》；</w:t>
      </w:r>
    </w:p>
    <w:p w14:paraId="785F756F">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23</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《新平县国民经济和社会发展第十四个五年规划纲要》（</w:t>
      </w:r>
      <w:r>
        <w:rPr>
          <w:rFonts w:hint="default" w:ascii="Times New Roman" w:hAnsi="Times New Roman" w:eastAsia="方正仿宋_GBK" w:cs="方正仿宋_GBK"/>
          <w:b w:val="0"/>
          <w:bCs w:val="0"/>
          <w:color w:val="auto"/>
          <w:kern w:val="2"/>
          <w:sz w:val="28"/>
          <w:szCs w:val="28"/>
          <w:lang w:val="en-US" w:eastAsia="zh-CN" w:bidi="ar-SA"/>
        </w:rPr>
        <w:t>2021年</w:t>
      </w:r>
      <w:r>
        <w:rPr>
          <w:rFonts w:hint="default" w:ascii="Times New Roman" w:hAnsi="Times New Roman" w:eastAsia="方正仿宋_GBK" w:cs="方正仿宋_GBK"/>
          <w:b w:val="0"/>
          <w:bCs w:val="0"/>
          <w:color w:val="auto"/>
          <w:kern w:val="2"/>
          <w:sz w:val="28"/>
          <w:szCs w:val="28"/>
          <w:lang w:val="zh-CN" w:eastAsia="zh-CN" w:bidi="ar-SA"/>
        </w:rPr>
        <w:t>）；</w:t>
      </w:r>
    </w:p>
    <w:p w14:paraId="237D18C4">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24</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《新平县国土空间总体规划（202</w:t>
      </w:r>
      <w:r>
        <w:rPr>
          <w:rFonts w:hint="eastAsia" w:ascii="Times New Roman" w:hAnsi="Times New Roman" w:eastAsia="方正仿宋_GBK" w:cs="方正仿宋_GBK"/>
          <w:b w:val="0"/>
          <w:bCs w:val="0"/>
          <w:color w:val="auto"/>
          <w:kern w:val="2"/>
          <w:sz w:val="28"/>
          <w:szCs w:val="28"/>
          <w:lang w:val="en-US" w:eastAsia="zh-CN" w:bidi="ar-SA"/>
        </w:rPr>
        <w:t>1—</w:t>
      </w:r>
      <w:r>
        <w:rPr>
          <w:rFonts w:hint="default" w:ascii="Times New Roman" w:hAnsi="Times New Roman" w:eastAsia="方正仿宋_GBK" w:cs="方正仿宋_GBK"/>
          <w:b w:val="0"/>
          <w:bCs w:val="0"/>
          <w:color w:val="auto"/>
          <w:kern w:val="2"/>
          <w:sz w:val="28"/>
          <w:szCs w:val="28"/>
          <w:lang w:val="zh-CN" w:eastAsia="zh-CN" w:bidi="ar-SA"/>
        </w:rPr>
        <w:t>2035年）》；</w:t>
      </w:r>
    </w:p>
    <w:p w14:paraId="21811BB1">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25</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《新平县</w:t>
      </w:r>
      <w:r>
        <w:rPr>
          <w:rFonts w:hint="default" w:ascii="Times New Roman" w:hAnsi="Times New Roman" w:eastAsia="方正仿宋_GBK" w:cs="方正仿宋_GBK"/>
          <w:b w:val="0"/>
          <w:bCs w:val="0"/>
          <w:color w:val="auto"/>
          <w:kern w:val="2"/>
          <w:sz w:val="28"/>
          <w:szCs w:val="28"/>
          <w:lang w:val="en-US" w:eastAsia="zh-CN" w:bidi="ar-SA"/>
        </w:rPr>
        <w:t>城市</w:t>
      </w:r>
      <w:r>
        <w:rPr>
          <w:rFonts w:hint="default" w:ascii="Times New Roman" w:hAnsi="Times New Roman" w:eastAsia="方正仿宋_GBK" w:cs="方正仿宋_GBK"/>
          <w:b w:val="0"/>
          <w:bCs w:val="0"/>
          <w:color w:val="auto"/>
          <w:kern w:val="2"/>
          <w:sz w:val="28"/>
          <w:szCs w:val="28"/>
          <w:lang w:val="zh-CN" w:eastAsia="zh-CN" w:bidi="ar-SA"/>
        </w:rPr>
        <w:t>总体规划》；</w:t>
      </w:r>
    </w:p>
    <w:p w14:paraId="523BD371">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26</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《新平县城镇（乡）供水、污水和生活垃圾处理设施体系规划（2014</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2030年）》；</w:t>
      </w:r>
    </w:p>
    <w:p w14:paraId="63FCCC1D">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27</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《新平县水资源利用规划》；</w:t>
      </w:r>
    </w:p>
    <w:p w14:paraId="01BB3666">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28</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《新平县“十三五”环境保护规划（2016</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2020年）》；</w:t>
      </w:r>
    </w:p>
    <w:p w14:paraId="71E290AA">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29</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《新平县“十四五”旅游文化发展规划（2021</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2025年）》；</w:t>
      </w:r>
    </w:p>
    <w:p w14:paraId="39A6634F">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30</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《新平县住房和城乡建设“十四五”专项规划》；</w:t>
      </w:r>
    </w:p>
    <w:p w14:paraId="54B30885">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Times New Roman"/>
          <w:color w:val="auto"/>
          <w:kern w:val="2"/>
          <w:sz w:val="32"/>
          <w:szCs w:val="32"/>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31</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《新平县“十四五”生态环境保护规划（2021</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2025年）》。</w:t>
      </w:r>
    </w:p>
    <w:p w14:paraId="06CE17F5">
      <w:pPr>
        <w:pStyle w:val="5"/>
        <w:pageBreakBefore w:val="0"/>
        <w:kinsoku/>
        <w:wordWrap/>
        <w:overflowPunct/>
        <w:topLinePunct w:val="0"/>
        <w:autoSpaceDE/>
        <w:autoSpaceDN/>
        <w:bidi w:val="0"/>
        <w:spacing w:before="120" w:after="120" w:line="500" w:lineRule="exact"/>
        <w:ind w:firstLine="0" w:firstLineChars="0"/>
        <w:textAlignment w:val="auto"/>
        <w:rPr>
          <w:rFonts w:hint="default" w:eastAsia="仿宋"/>
          <w:snapToGrid w:val="0"/>
          <w:color w:val="auto"/>
          <w:sz w:val="28"/>
          <w:szCs w:val="28"/>
          <w:lang w:val="en-US" w:eastAsia="zh-CN"/>
        </w:rPr>
      </w:pPr>
      <w:bookmarkStart w:id="183" w:name="_Toc15874"/>
      <w:bookmarkStart w:id="184" w:name="_Toc25137"/>
      <w:bookmarkStart w:id="185" w:name="_Toc15564"/>
      <w:r>
        <w:rPr>
          <w:rFonts w:hint="default" w:eastAsia="仿宋"/>
          <w:snapToGrid w:val="0"/>
          <w:color w:val="auto"/>
          <w:sz w:val="28"/>
          <w:szCs w:val="28"/>
          <w:lang w:val="en-US" w:eastAsia="zh-CN"/>
        </w:rPr>
        <w:t>4.3.4相关技术文件</w:t>
      </w:r>
      <w:bookmarkEnd w:id="183"/>
      <w:bookmarkEnd w:id="184"/>
      <w:bookmarkEnd w:id="185"/>
    </w:p>
    <w:p w14:paraId="34C72B54">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1</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《国家生态文明建设示范区建设指标（修订版）》（2021年）；</w:t>
      </w:r>
    </w:p>
    <w:p w14:paraId="29082B5B">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2</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《国家生态文明建设示范区管理规程（修订版）》（2021年）；</w:t>
      </w:r>
    </w:p>
    <w:p w14:paraId="2D3F87E5">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3</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《国家生态文明建设示范区规划编制指南（试行）》（2021年）；</w:t>
      </w:r>
    </w:p>
    <w:p w14:paraId="6168C8CC">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4</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《云南省省级生态文明建设示范区管理规程》（2022年）；</w:t>
      </w:r>
    </w:p>
    <w:p w14:paraId="14133309">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5</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《云南省省级生态文明建设示范区建设指标》（2022年）；</w:t>
      </w:r>
    </w:p>
    <w:p w14:paraId="44CD85C4">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6</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《区域生态质量评价办法（试行）》；</w:t>
      </w:r>
    </w:p>
    <w:p w14:paraId="50489D60">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7</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《国家重点保护野生动物名录》（2021版）；</w:t>
      </w:r>
    </w:p>
    <w:p w14:paraId="0901E158">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8</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《国家重点保护野生植物名录》（2021版）；</w:t>
      </w:r>
    </w:p>
    <w:p w14:paraId="3C579A13">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w:t>
      </w:r>
      <w:r>
        <w:rPr>
          <w:rFonts w:hint="eastAsia" w:ascii="Times New Roman" w:hAnsi="Times New Roman" w:eastAsia="方正仿宋_GBK" w:cs="方正仿宋_GBK"/>
          <w:b w:val="0"/>
          <w:bCs w:val="0"/>
          <w:color w:val="auto"/>
          <w:kern w:val="2"/>
          <w:sz w:val="28"/>
          <w:szCs w:val="28"/>
          <w:lang w:val="en-US" w:eastAsia="zh-CN" w:bidi="ar-SA"/>
        </w:rPr>
        <w:t>9</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《云南省外来入侵物种名录（2019版）》。</w:t>
      </w:r>
    </w:p>
    <w:p w14:paraId="2BADE202">
      <w:pPr>
        <w:pStyle w:val="4"/>
        <w:pageBreakBefore w:val="0"/>
        <w:kinsoku/>
        <w:wordWrap/>
        <w:overflowPunct/>
        <w:topLinePunct w:val="0"/>
        <w:autoSpaceDE/>
        <w:autoSpaceDN/>
        <w:bidi w:val="0"/>
        <w:spacing w:before="260" w:after="260" w:line="500" w:lineRule="exact"/>
        <w:ind w:firstLine="0"/>
        <w:textAlignment w:val="auto"/>
        <w:rPr>
          <w:rFonts w:hint="default" w:ascii="Times New Roman" w:hAnsi="Times New Roman" w:eastAsia="仿宋" w:cs="Times New Roman"/>
          <w:color w:val="auto"/>
          <w:sz w:val="32"/>
          <w:lang w:val="en-US" w:eastAsia="zh-CN"/>
        </w:rPr>
      </w:pPr>
      <w:bookmarkStart w:id="186" w:name="_Toc29298"/>
      <w:bookmarkStart w:id="187" w:name="_Toc698"/>
      <w:bookmarkStart w:id="188" w:name="_Toc3682"/>
      <w:r>
        <w:rPr>
          <w:rFonts w:hint="default" w:ascii="Times New Roman" w:hAnsi="Times New Roman" w:eastAsia="仿宋" w:cs="Times New Roman"/>
          <w:color w:val="auto"/>
          <w:sz w:val="32"/>
          <w:lang w:val="en-US" w:eastAsia="zh-CN"/>
        </w:rPr>
        <w:t>4.4规划范围与期限</w:t>
      </w:r>
      <w:bookmarkEnd w:id="186"/>
      <w:bookmarkEnd w:id="187"/>
      <w:bookmarkEnd w:id="188"/>
    </w:p>
    <w:p w14:paraId="350CC0BA">
      <w:pPr>
        <w:pStyle w:val="5"/>
        <w:pageBreakBefore w:val="0"/>
        <w:kinsoku/>
        <w:wordWrap/>
        <w:overflowPunct/>
        <w:topLinePunct w:val="0"/>
        <w:autoSpaceDE/>
        <w:autoSpaceDN/>
        <w:bidi w:val="0"/>
        <w:spacing w:before="120" w:after="120" w:line="500" w:lineRule="exact"/>
        <w:ind w:firstLine="0" w:firstLineChars="0"/>
        <w:textAlignment w:val="auto"/>
        <w:rPr>
          <w:rFonts w:hint="default" w:eastAsia="仿宋"/>
          <w:snapToGrid w:val="0"/>
          <w:color w:val="auto"/>
          <w:sz w:val="28"/>
          <w:szCs w:val="28"/>
          <w:lang w:val="en-US" w:eastAsia="zh-CN"/>
        </w:rPr>
      </w:pPr>
      <w:bookmarkStart w:id="189" w:name="_Toc28787"/>
      <w:bookmarkStart w:id="190" w:name="_Toc8571"/>
      <w:bookmarkStart w:id="191" w:name="_Toc26169"/>
      <w:r>
        <w:rPr>
          <w:rFonts w:hint="default" w:eastAsia="仿宋"/>
          <w:snapToGrid w:val="0"/>
          <w:color w:val="auto"/>
          <w:sz w:val="28"/>
          <w:szCs w:val="28"/>
          <w:lang w:val="en-US" w:eastAsia="zh-CN"/>
        </w:rPr>
        <w:t>4.4.1规划范围</w:t>
      </w:r>
      <w:bookmarkEnd w:id="189"/>
      <w:bookmarkEnd w:id="190"/>
      <w:bookmarkEnd w:id="191"/>
    </w:p>
    <w:p w14:paraId="7368F38D">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default" w:ascii="Times New Roman" w:hAnsi="Times New Roman" w:eastAsia="方正仿宋_GBK" w:cs="方正仿宋_GBK"/>
          <w:b w:val="0"/>
          <w:bCs w:val="0"/>
          <w:color w:val="auto"/>
          <w:kern w:val="2"/>
          <w:sz w:val="28"/>
          <w:szCs w:val="28"/>
          <w:lang w:val="zh-CN" w:eastAsia="zh-CN" w:bidi="ar-SA"/>
        </w:rPr>
        <w:t>本规划编制范围为新平县行政管辖的</w:t>
      </w:r>
      <w:r>
        <w:rPr>
          <w:rFonts w:hint="default" w:ascii="Times New Roman" w:hAnsi="Times New Roman" w:eastAsia="方正仿宋_GBK" w:cs="方正仿宋_GBK"/>
          <w:b w:val="0"/>
          <w:bCs w:val="0"/>
          <w:color w:val="auto"/>
          <w:kern w:val="2"/>
          <w:sz w:val="28"/>
          <w:szCs w:val="28"/>
          <w:lang w:val="en-US" w:eastAsia="zh-CN" w:bidi="ar-SA"/>
        </w:rPr>
        <w:t>2个街道4镇6乡，即桂山街道、古城街道、扬武镇、漠沙镇、戛洒镇、水塘镇及平甸乡、新化乡、老厂乡、建兴乡、平掌乡、者竜乡，</w:t>
      </w:r>
      <w:r>
        <w:rPr>
          <w:rFonts w:hint="default" w:ascii="Times New Roman" w:hAnsi="Times New Roman" w:eastAsia="方正仿宋_GBK" w:cs="方正仿宋_GBK"/>
          <w:b w:val="0"/>
          <w:bCs w:val="0"/>
          <w:color w:val="auto"/>
          <w:kern w:val="2"/>
          <w:sz w:val="28"/>
          <w:szCs w:val="28"/>
          <w:lang w:val="zh-CN" w:eastAsia="zh-CN" w:bidi="ar-SA"/>
        </w:rPr>
        <w:t>行政区划总面积</w:t>
      </w:r>
      <w:r>
        <w:rPr>
          <w:rFonts w:hint="default" w:ascii="Times New Roman" w:hAnsi="Times New Roman" w:eastAsia="方正仿宋_GBK" w:cs="方正仿宋_GBK"/>
          <w:b w:val="0"/>
          <w:bCs w:val="0"/>
          <w:color w:val="auto"/>
          <w:kern w:val="2"/>
          <w:sz w:val="28"/>
          <w:szCs w:val="28"/>
          <w:lang w:val="en-US" w:eastAsia="zh-CN" w:bidi="ar-SA"/>
        </w:rPr>
        <w:t>4223</w:t>
      </w:r>
      <w:r>
        <w:rPr>
          <w:rFonts w:hint="default" w:ascii="Times New Roman" w:hAnsi="Times New Roman" w:eastAsia="方正仿宋_GBK" w:cs="方正仿宋_GBK"/>
          <w:b w:val="0"/>
          <w:bCs w:val="0"/>
          <w:color w:val="auto"/>
          <w:kern w:val="2"/>
          <w:sz w:val="28"/>
          <w:szCs w:val="28"/>
          <w:lang w:val="zh-CN" w:eastAsia="zh-CN" w:bidi="ar-SA"/>
        </w:rPr>
        <w:t>平方千米。</w:t>
      </w:r>
    </w:p>
    <w:p w14:paraId="2825CF7A">
      <w:pPr>
        <w:pStyle w:val="5"/>
        <w:pageBreakBefore w:val="0"/>
        <w:kinsoku/>
        <w:wordWrap/>
        <w:overflowPunct/>
        <w:topLinePunct w:val="0"/>
        <w:autoSpaceDE/>
        <w:autoSpaceDN/>
        <w:bidi w:val="0"/>
        <w:spacing w:before="120" w:after="120" w:line="500" w:lineRule="exact"/>
        <w:ind w:firstLine="0" w:firstLineChars="0"/>
        <w:textAlignment w:val="auto"/>
        <w:rPr>
          <w:rFonts w:hint="default" w:eastAsia="仿宋"/>
          <w:snapToGrid w:val="0"/>
          <w:color w:val="auto"/>
          <w:sz w:val="28"/>
          <w:szCs w:val="28"/>
          <w:lang w:val="en-US" w:eastAsia="zh-CN"/>
        </w:rPr>
      </w:pPr>
      <w:bookmarkStart w:id="192" w:name="_Toc25899"/>
      <w:bookmarkStart w:id="193" w:name="_Toc21188"/>
      <w:bookmarkStart w:id="194" w:name="_Toc4779"/>
      <w:r>
        <w:rPr>
          <w:rFonts w:hint="default" w:eastAsia="仿宋"/>
          <w:snapToGrid w:val="0"/>
          <w:color w:val="auto"/>
          <w:sz w:val="28"/>
          <w:szCs w:val="28"/>
          <w:lang w:val="en-US" w:eastAsia="zh-CN"/>
        </w:rPr>
        <w:t>4.4.2规划时限</w:t>
      </w:r>
      <w:bookmarkEnd w:id="192"/>
      <w:bookmarkEnd w:id="193"/>
      <w:bookmarkEnd w:id="194"/>
    </w:p>
    <w:p w14:paraId="5EFB6235">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default" w:ascii="Times New Roman" w:hAnsi="Times New Roman" w:eastAsia="方正仿宋_GBK" w:cs="方正仿宋_GBK"/>
          <w:b w:val="0"/>
          <w:bCs w:val="0"/>
          <w:color w:val="auto"/>
          <w:kern w:val="2"/>
          <w:sz w:val="28"/>
          <w:szCs w:val="28"/>
          <w:lang w:val="zh-CN" w:eastAsia="zh-CN" w:bidi="ar-SA"/>
        </w:rPr>
        <w:t>规划期限为</w:t>
      </w:r>
      <w:r>
        <w:rPr>
          <w:rFonts w:hint="eastAsia" w:ascii="Times New Roman" w:hAnsi="Times New Roman" w:eastAsia="方正仿宋_GBK" w:cs="方正仿宋_GBK"/>
          <w:b w:val="0"/>
          <w:bCs w:val="0"/>
          <w:color w:val="auto"/>
          <w:kern w:val="2"/>
          <w:sz w:val="28"/>
          <w:szCs w:val="28"/>
          <w:lang w:val="en-US" w:eastAsia="zh-CN" w:bidi="ar-SA"/>
        </w:rPr>
        <w:t>14</w:t>
      </w:r>
      <w:r>
        <w:rPr>
          <w:rFonts w:hint="default" w:ascii="Times New Roman" w:hAnsi="Times New Roman" w:eastAsia="方正仿宋_GBK" w:cs="方正仿宋_GBK"/>
          <w:b w:val="0"/>
          <w:bCs w:val="0"/>
          <w:color w:val="auto"/>
          <w:kern w:val="2"/>
          <w:sz w:val="28"/>
          <w:szCs w:val="28"/>
          <w:lang w:val="zh-CN" w:eastAsia="zh-CN" w:bidi="ar-SA"/>
        </w:rPr>
        <w:t>年，202</w:t>
      </w:r>
      <w:r>
        <w:rPr>
          <w:rFonts w:hint="default" w:ascii="Times New Roman" w:hAnsi="Times New Roman" w:eastAsia="方正仿宋_GBK" w:cs="方正仿宋_GBK"/>
          <w:b w:val="0"/>
          <w:bCs w:val="0"/>
          <w:color w:val="auto"/>
          <w:kern w:val="2"/>
          <w:sz w:val="28"/>
          <w:szCs w:val="28"/>
          <w:lang w:val="en-US" w:eastAsia="zh-CN" w:bidi="ar-SA"/>
        </w:rPr>
        <w:t>1</w:t>
      </w:r>
      <w:r>
        <w:rPr>
          <w:rFonts w:hint="default" w:ascii="Times New Roman" w:hAnsi="Times New Roman" w:eastAsia="方正仿宋_GBK" w:cs="方正仿宋_GBK"/>
          <w:b w:val="0"/>
          <w:bCs w:val="0"/>
          <w:color w:val="auto"/>
          <w:kern w:val="2"/>
          <w:sz w:val="28"/>
          <w:szCs w:val="28"/>
          <w:lang w:val="zh-CN" w:eastAsia="zh-CN" w:bidi="ar-SA"/>
        </w:rPr>
        <w:t>年为规划基准年。规划期：202</w:t>
      </w:r>
      <w:r>
        <w:rPr>
          <w:rFonts w:hint="default" w:ascii="Times New Roman" w:hAnsi="Times New Roman" w:eastAsia="方正仿宋_GBK" w:cs="方正仿宋_GBK"/>
          <w:b w:val="0"/>
          <w:bCs w:val="0"/>
          <w:color w:val="auto"/>
          <w:kern w:val="2"/>
          <w:sz w:val="28"/>
          <w:szCs w:val="28"/>
          <w:lang w:val="en-US" w:eastAsia="zh-CN" w:bidi="ar-SA"/>
        </w:rPr>
        <w:t>2</w:t>
      </w:r>
      <w:r>
        <w:rPr>
          <w:rFonts w:hint="eastAsia" w:ascii="Times New Roman" w:hAnsi="Times New Roman" w:eastAsia="方正仿宋_GBK" w:cs="方正仿宋_GBK"/>
          <w:b w:val="0"/>
          <w:bCs w:val="0"/>
          <w:color w:val="auto"/>
          <w:kern w:val="2"/>
          <w:sz w:val="28"/>
          <w:szCs w:val="28"/>
          <w:lang w:val="en-US" w:eastAsia="zh-CN" w:bidi="ar-SA"/>
        </w:rPr>
        <w:t>—</w:t>
      </w:r>
      <w:r>
        <w:rPr>
          <w:rFonts w:hint="default" w:ascii="Times New Roman" w:hAnsi="Times New Roman" w:eastAsia="方正仿宋_GBK" w:cs="方正仿宋_GBK"/>
          <w:b w:val="0"/>
          <w:bCs w:val="0"/>
          <w:color w:val="auto"/>
          <w:kern w:val="2"/>
          <w:sz w:val="28"/>
          <w:szCs w:val="28"/>
          <w:lang w:val="zh-CN" w:eastAsia="zh-CN" w:bidi="ar-SA"/>
        </w:rPr>
        <w:t>203</w:t>
      </w:r>
      <w:r>
        <w:rPr>
          <w:rFonts w:hint="eastAsia" w:ascii="Times New Roman" w:hAnsi="Times New Roman" w:eastAsia="方正仿宋_GBK" w:cs="方正仿宋_GBK"/>
          <w:b w:val="0"/>
          <w:bCs w:val="0"/>
          <w:color w:val="auto"/>
          <w:kern w:val="2"/>
          <w:sz w:val="28"/>
          <w:szCs w:val="28"/>
          <w:lang w:val="en-US" w:eastAsia="zh-CN" w:bidi="ar-SA"/>
        </w:rPr>
        <w:t>5</w:t>
      </w:r>
      <w:r>
        <w:rPr>
          <w:rFonts w:hint="default" w:ascii="Times New Roman" w:hAnsi="Times New Roman" w:eastAsia="方正仿宋_GBK" w:cs="方正仿宋_GBK"/>
          <w:b w:val="0"/>
          <w:bCs w:val="0"/>
          <w:color w:val="auto"/>
          <w:kern w:val="2"/>
          <w:sz w:val="28"/>
          <w:szCs w:val="28"/>
          <w:lang w:val="zh-CN" w:eastAsia="zh-CN" w:bidi="ar-SA"/>
        </w:rPr>
        <w:t>年。</w:t>
      </w:r>
    </w:p>
    <w:p w14:paraId="18BEA5EC">
      <w:pPr>
        <w:pStyle w:val="4"/>
        <w:pageBreakBefore w:val="0"/>
        <w:kinsoku/>
        <w:wordWrap/>
        <w:overflowPunct/>
        <w:topLinePunct w:val="0"/>
        <w:autoSpaceDE/>
        <w:autoSpaceDN/>
        <w:bidi w:val="0"/>
        <w:spacing w:before="260" w:after="260" w:line="500" w:lineRule="exact"/>
        <w:ind w:firstLine="0"/>
        <w:textAlignment w:val="auto"/>
        <w:rPr>
          <w:rFonts w:hint="default" w:ascii="Times New Roman" w:hAnsi="Times New Roman" w:eastAsia="仿宋" w:cs="Times New Roman"/>
          <w:color w:val="auto"/>
          <w:sz w:val="32"/>
          <w:lang w:val="en-US" w:eastAsia="zh-CN"/>
        </w:rPr>
      </w:pPr>
      <w:bookmarkStart w:id="195" w:name="_Toc25653"/>
      <w:bookmarkStart w:id="196" w:name="_Toc7415"/>
      <w:bookmarkStart w:id="197" w:name="_Toc15105"/>
      <w:r>
        <w:rPr>
          <w:rFonts w:hint="default" w:ascii="Times New Roman" w:hAnsi="Times New Roman" w:eastAsia="仿宋" w:cs="Times New Roman"/>
          <w:color w:val="auto"/>
          <w:sz w:val="32"/>
          <w:lang w:val="en-US" w:eastAsia="zh-CN"/>
        </w:rPr>
        <w:t>4.5定位分析</w:t>
      </w:r>
      <w:bookmarkEnd w:id="195"/>
      <w:bookmarkEnd w:id="196"/>
      <w:bookmarkEnd w:id="197"/>
    </w:p>
    <w:p w14:paraId="16C8A5E1">
      <w:pPr>
        <w:pStyle w:val="5"/>
        <w:pageBreakBefore w:val="0"/>
        <w:kinsoku/>
        <w:wordWrap/>
        <w:overflowPunct/>
        <w:topLinePunct w:val="0"/>
        <w:autoSpaceDE/>
        <w:autoSpaceDN/>
        <w:bidi w:val="0"/>
        <w:spacing w:before="120" w:after="120" w:line="500" w:lineRule="exact"/>
        <w:ind w:firstLine="0" w:firstLineChars="0"/>
        <w:textAlignment w:val="auto"/>
        <w:rPr>
          <w:rFonts w:hint="default" w:eastAsia="仿宋"/>
          <w:snapToGrid w:val="0"/>
          <w:color w:val="auto"/>
          <w:sz w:val="28"/>
          <w:szCs w:val="28"/>
          <w:lang w:val="en-US" w:eastAsia="zh-CN"/>
        </w:rPr>
      </w:pPr>
      <w:bookmarkStart w:id="198" w:name="_Toc88"/>
      <w:bookmarkStart w:id="199" w:name="_Toc24683"/>
      <w:bookmarkStart w:id="200" w:name="_Toc2775"/>
      <w:r>
        <w:rPr>
          <w:rFonts w:hint="default" w:eastAsia="仿宋"/>
          <w:snapToGrid w:val="0"/>
          <w:color w:val="auto"/>
          <w:sz w:val="28"/>
          <w:szCs w:val="28"/>
          <w:lang w:val="en-US" w:eastAsia="zh-CN"/>
        </w:rPr>
        <w:t>4.5.1上位规划</w:t>
      </w:r>
      <w:bookmarkEnd w:id="198"/>
      <w:bookmarkEnd w:id="199"/>
      <w:bookmarkEnd w:id="200"/>
    </w:p>
    <w:p w14:paraId="2666CA09">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default" w:ascii="Times New Roman" w:hAnsi="Times New Roman" w:eastAsia="方正仿宋_GBK" w:cs="方正仿宋_GBK"/>
          <w:b w:val="0"/>
          <w:bCs w:val="0"/>
          <w:color w:val="auto"/>
          <w:kern w:val="2"/>
          <w:sz w:val="28"/>
          <w:szCs w:val="28"/>
          <w:lang w:val="zh-CN" w:eastAsia="zh-CN" w:bidi="ar-SA"/>
        </w:rPr>
        <w:t>《云南省主体功能区划》：</w:t>
      </w:r>
      <w:r>
        <w:rPr>
          <w:rFonts w:hint="default" w:ascii="Times New Roman" w:hAnsi="Times New Roman" w:eastAsia="方正仿宋_GBK" w:cs="方正仿宋_GBK"/>
          <w:b w:val="0"/>
          <w:bCs w:val="0"/>
          <w:color w:val="auto"/>
          <w:kern w:val="2"/>
          <w:sz w:val="28"/>
          <w:szCs w:val="28"/>
          <w:lang w:val="en-US" w:eastAsia="zh-CN" w:bidi="ar-SA"/>
        </w:rPr>
        <w:t>新平县</w:t>
      </w:r>
      <w:r>
        <w:rPr>
          <w:rFonts w:hint="default" w:ascii="Times New Roman" w:hAnsi="Times New Roman" w:eastAsia="方正仿宋_GBK" w:cs="方正仿宋_GBK"/>
          <w:b w:val="0"/>
          <w:bCs w:val="0"/>
          <w:color w:val="auto"/>
          <w:kern w:val="2"/>
          <w:sz w:val="28"/>
          <w:szCs w:val="28"/>
          <w:lang w:val="zh-CN" w:eastAsia="zh-CN" w:bidi="ar-SA"/>
        </w:rPr>
        <w:t>属于农产品主产区，重点开发小镇有嘎洒镇、杨武镇。禁止开发区域有哀牢山自然保护区，主要保护对象为以云南特有树种为优势的中山湿性常绿阔叶林生态系统和黑冠长臂猿等珍稀动植物、候鸟迁徙地；磨盘山县级自然保护区，主要保护对象中山湿润常绿阔叶林、云南松林；新平哀牢山县级自然保护区，主要保护对象中山湿性常绿阔叶林、半湿性常绿阔叶林。</w:t>
      </w:r>
    </w:p>
    <w:p w14:paraId="66263512">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default" w:ascii="Times New Roman" w:hAnsi="Times New Roman" w:eastAsia="方正仿宋_GBK" w:cs="方正仿宋_GBK"/>
          <w:b w:val="0"/>
          <w:bCs w:val="0"/>
          <w:color w:val="auto"/>
          <w:kern w:val="2"/>
          <w:sz w:val="28"/>
          <w:szCs w:val="28"/>
          <w:lang w:val="zh-CN" w:eastAsia="zh-CN" w:bidi="ar-SA"/>
        </w:rPr>
        <w:t>《云南省生态文明建设排头兵规划（2021</w:t>
      </w:r>
      <w:r>
        <w:rPr>
          <w:rFonts w:hint="eastAsia" w:ascii="Times New Roman" w:hAnsi="Times New Roman" w:eastAsia="方正仿宋_GBK" w:cs="方正仿宋_GBK"/>
          <w:b w:val="0"/>
          <w:bCs w:val="0"/>
          <w:color w:val="auto"/>
          <w:kern w:val="2"/>
          <w:sz w:val="28"/>
          <w:szCs w:val="28"/>
          <w:lang w:val="zh-CN" w:eastAsia="zh-CN" w:bidi="ar-SA"/>
        </w:rPr>
        <w:t>—</w:t>
      </w:r>
      <w:r>
        <w:rPr>
          <w:rFonts w:hint="default" w:ascii="Times New Roman" w:hAnsi="Times New Roman" w:eastAsia="方正仿宋_GBK" w:cs="方正仿宋_GBK"/>
          <w:b w:val="0"/>
          <w:bCs w:val="0"/>
          <w:color w:val="auto"/>
          <w:kern w:val="2"/>
          <w:sz w:val="28"/>
          <w:szCs w:val="28"/>
          <w:lang w:val="zh-CN" w:eastAsia="zh-CN" w:bidi="ar-SA"/>
        </w:rPr>
        <w:t>2025年）》：锚定二〇三五年远景目标，以争当生态文明建设排头兵为统领，补短板、树典型、创模式、推机制，推动实现绿色低碳循环发展经济体系达到新水平，生态环境质量得到新改善，生态安全得到新巩固，生态文明制度实现新突破，生态价值观念实现新提升。</w:t>
      </w:r>
    </w:p>
    <w:p w14:paraId="5E2A5B8F">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default" w:ascii="Times New Roman" w:hAnsi="Times New Roman" w:eastAsia="方正仿宋_GBK" w:cs="方正仿宋_GBK"/>
          <w:b w:val="0"/>
          <w:bCs w:val="0"/>
          <w:color w:val="auto"/>
          <w:kern w:val="2"/>
          <w:sz w:val="28"/>
          <w:szCs w:val="28"/>
          <w:lang w:val="zh-CN" w:eastAsia="zh-CN" w:bidi="ar-SA"/>
        </w:rPr>
        <w:t>《云南省“十四五”生态环境保护规划》：推动滇中地区高质量发展。充分发挥滇中地区对全省高质量发展、高水平保护的带动作用，加快滇中新区、各类开发区循环化、生态化、低碳化改造，提高资源能源利用效率，明显增强绿色竞争力。加强区域联防联控，实施重点区域大气污染分策治理，完善区域污染天气联合应对机制。建立统一、高效的环境监测体系以及跨区域环境联合防治协调机制、环境联合执法监督机制、规划环评会商机制。</w:t>
      </w:r>
    </w:p>
    <w:p w14:paraId="38F20CA5">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default" w:ascii="Times New Roman" w:hAnsi="Times New Roman" w:eastAsia="方正仿宋_GBK" w:cs="方正仿宋_GBK"/>
          <w:b w:val="0"/>
          <w:bCs w:val="0"/>
          <w:color w:val="auto"/>
          <w:kern w:val="2"/>
          <w:sz w:val="28"/>
          <w:szCs w:val="28"/>
          <w:lang w:val="zh-CN" w:eastAsia="zh-CN" w:bidi="ar-SA"/>
        </w:rPr>
        <w:t>《玉溪市国民经济和社会发展第十四个五年规划纲要》：提出玉溪市要深入贯彻落实新发展理念，立足高质量发展要求，落实“云南社会主义现代化建设先行区、全国绿色创新发展示范区、国际高品质康养旅居新高地”发展定位。提出新平县定位云南绿色矿冶集聚区、云南高原特色现代农业示范区、中国花腰傣旅游文化目的地。</w:t>
      </w:r>
    </w:p>
    <w:p w14:paraId="470CCA1B">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default" w:ascii="Times New Roman" w:hAnsi="Times New Roman" w:eastAsia="方正仿宋_GBK" w:cs="方正仿宋_GBK"/>
          <w:b w:val="0"/>
          <w:bCs w:val="0"/>
          <w:color w:val="auto"/>
          <w:kern w:val="2"/>
          <w:sz w:val="28"/>
          <w:szCs w:val="28"/>
          <w:lang w:val="zh-CN" w:eastAsia="zh-CN" w:bidi="ar-SA"/>
        </w:rPr>
        <w:t>《新平县国民经济和社会发展第十四个五年规划纲要》：</w:t>
      </w:r>
      <w:r>
        <w:rPr>
          <w:rFonts w:hint="default" w:ascii="Times New Roman" w:hAnsi="Times New Roman" w:eastAsia="方正仿宋_GBK" w:cs="方正仿宋_GBK"/>
          <w:b w:val="0"/>
          <w:bCs w:val="0"/>
          <w:color w:val="auto"/>
          <w:kern w:val="2"/>
          <w:sz w:val="28"/>
          <w:szCs w:val="28"/>
          <w:lang w:val="en-US" w:eastAsia="zh-CN" w:bidi="ar-SA"/>
        </w:rPr>
        <w:t>努力在产业转型升级、基础设施补短板、城乡融合发展、生态文明建设上取得重大突破，打造云南绿色矿冶集聚区、云南高原特色现代农业示范区和中国花腰傣文化旅游目的地，全力推动县域经济高质量发展走在全省前列。</w:t>
      </w:r>
    </w:p>
    <w:p w14:paraId="5047420C">
      <w:pPr>
        <w:pStyle w:val="5"/>
        <w:pageBreakBefore w:val="0"/>
        <w:kinsoku/>
        <w:wordWrap/>
        <w:overflowPunct/>
        <w:topLinePunct w:val="0"/>
        <w:autoSpaceDE/>
        <w:autoSpaceDN/>
        <w:bidi w:val="0"/>
        <w:spacing w:before="120" w:after="120" w:line="500" w:lineRule="exact"/>
        <w:ind w:firstLine="0" w:firstLineChars="0"/>
        <w:textAlignment w:val="auto"/>
        <w:rPr>
          <w:rFonts w:hint="default" w:eastAsia="仿宋"/>
          <w:snapToGrid w:val="0"/>
          <w:color w:val="auto"/>
          <w:sz w:val="28"/>
          <w:szCs w:val="28"/>
          <w:lang w:val="en-US" w:eastAsia="zh-CN"/>
        </w:rPr>
      </w:pPr>
      <w:bookmarkStart w:id="201" w:name="_Toc30971"/>
      <w:bookmarkStart w:id="202" w:name="_Toc15352"/>
      <w:bookmarkStart w:id="203" w:name="_Toc17080"/>
      <w:r>
        <w:rPr>
          <w:rFonts w:hint="default" w:eastAsia="仿宋"/>
          <w:snapToGrid w:val="0"/>
          <w:color w:val="auto"/>
          <w:sz w:val="28"/>
          <w:szCs w:val="28"/>
          <w:lang w:val="en-US" w:eastAsia="zh-CN"/>
        </w:rPr>
        <w:t>4.5.2示范创建定位</w:t>
      </w:r>
      <w:bookmarkEnd w:id="201"/>
      <w:bookmarkEnd w:id="202"/>
      <w:bookmarkEnd w:id="203"/>
    </w:p>
    <w:p w14:paraId="5F98CED2">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en-US" w:eastAsia="zh-CN" w:bidi="ar-SA"/>
        </w:rPr>
      </w:pPr>
      <w:bookmarkStart w:id="204" w:name="_Toc22467"/>
      <w:bookmarkStart w:id="205" w:name="_Toc2905"/>
      <w:r>
        <w:rPr>
          <w:rFonts w:hint="default" w:ascii="Times New Roman" w:hAnsi="Times New Roman" w:eastAsia="方正仿宋_GBK" w:cs="方正仿宋_GBK"/>
          <w:b w:val="0"/>
          <w:bCs w:val="0"/>
          <w:color w:val="auto"/>
          <w:kern w:val="2"/>
          <w:sz w:val="28"/>
          <w:szCs w:val="28"/>
          <w:lang w:val="en-US" w:eastAsia="zh-CN" w:bidi="ar-SA"/>
        </w:rPr>
        <w:t>云南绿色矿冶集聚区。立足新平丰富的矿产资源优势及矿冶产业发展基础，抓住玉溪市全产业链塑造绿色钢铁新优势契机，以云南绿色钢城为引领打造优势矿冶产业集群，加强原料资源保障能力，积极协调大红山两大国有铜、铁矿采选企业加大向仙福公司和红山球团公司等矿冶企业供给铁精矿产品力度。积极引导和支持仙福公司开发生产型钢、复合板材、管材、不锈钢及高性能合金钢等新产品，不断延伸产业链，提高产品附加值。推进企业“两化”深度融合，加快实施重大技改项目，力争规模以上矿冶企业实现生产经营管理全过程的信息化、现代化，推动矿冶产业向现代化、绿色化迈进，率先把新平打造为全省绿色矿冶集聚区。</w:t>
      </w:r>
    </w:p>
    <w:p w14:paraId="5A437942">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云南高原特色现代农业示范区。立足新平高原特色农业发展基础及优越的气候条件，以“绿色食品牌”打造为抓手，以农业增效、农民增收为中心任务，深入实施乡村振兴战略，加快红河谷—绿汁江热区产业经济带建设，打造高产、优质、高效、生态、安全的高原特色农产品主产区和现代农业品牌。开展农业“一二三”行动，在保障粮食安全生产的基础上，发展壮大优势特色产业，强化科技推广运用，着力补齐农业基础短板，构建完善农业经营体系，实现一产“接二连三”，不断提高现代农业综合效益、竞争力和影响力，率先把新平打造为云南高原特色农业示范区。</w:t>
      </w:r>
    </w:p>
    <w:p w14:paraId="271F9479">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default" w:ascii="Times New Roman" w:hAnsi="Times New Roman" w:eastAsia="方正仿宋_GBK" w:cs="方正仿宋_GBK"/>
          <w:b w:val="0"/>
          <w:bCs w:val="0"/>
          <w:color w:val="auto"/>
          <w:kern w:val="2"/>
          <w:sz w:val="28"/>
          <w:szCs w:val="28"/>
          <w:lang w:val="en-US" w:eastAsia="zh-CN" w:bidi="ar-SA"/>
        </w:rPr>
        <w:t>中国花腰傣文化旅游目的地。主打中国“花腰傣之乡”品牌，立足哀牢山、磨盘山、红河谷、戛洒花腰傣风情小镇、特色农产品等资源，以打造“健康生活目的地牌”为抓手，积极融入滇中核心旅游圈，着力推进服务业专业化，强化龙头带动，加强花腰傣等文化资源进行合理开发利用，加快乡村精品旅游、康体养生、现代物流、电子商务、数字经济等服务业融合发展，擦亮“花腰傣之乡”“中国天然氧吧”等名片，努力把新平打造为中国花腰傣文化旅游目的地。</w:t>
      </w:r>
    </w:p>
    <w:p w14:paraId="3A4777A0">
      <w:pPr>
        <w:pStyle w:val="4"/>
        <w:pageBreakBefore w:val="0"/>
        <w:kinsoku/>
        <w:wordWrap/>
        <w:overflowPunct/>
        <w:topLinePunct w:val="0"/>
        <w:autoSpaceDE/>
        <w:autoSpaceDN/>
        <w:bidi w:val="0"/>
        <w:spacing w:before="260" w:after="260" w:line="500" w:lineRule="exact"/>
        <w:ind w:firstLine="0"/>
        <w:textAlignment w:val="auto"/>
        <w:rPr>
          <w:rFonts w:hint="default" w:ascii="Times New Roman" w:hAnsi="Times New Roman" w:eastAsia="仿宋" w:cs="Times New Roman"/>
          <w:color w:val="auto"/>
          <w:sz w:val="32"/>
          <w:lang w:val="en-US" w:eastAsia="zh-CN"/>
        </w:rPr>
      </w:pPr>
      <w:bookmarkStart w:id="206" w:name="_Toc10400"/>
      <w:r>
        <w:rPr>
          <w:rFonts w:hint="default" w:ascii="Times New Roman" w:hAnsi="Times New Roman" w:eastAsia="仿宋" w:cs="Times New Roman"/>
          <w:color w:val="auto"/>
          <w:sz w:val="32"/>
          <w:lang w:val="en-US" w:eastAsia="zh-CN"/>
        </w:rPr>
        <w:t>4.6规划目标</w:t>
      </w:r>
      <w:bookmarkEnd w:id="204"/>
      <w:bookmarkEnd w:id="205"/>
      <w:bookmarkEnd w:id="206"/>
    </w:p>
    <w:p w14:paraId="33B3FFC9">
      <w:pPr>
        <w:pStyle w:val="5"/>
        <w:pageBreakBefore w:val="0"/>
        <w:kinsoku/>
        <w:wordWrap/>
        <w:overflowPunct/>
        <w:topLinePunct w:val="0"/>
        <w:autoSpaceDE/>
        <w:autoSpaceDN/>
        <w:bidi w:val="0"/>
        <w:spacing w:before="120" w:after="120" w:line="500" w:lineRule="exact"/>
        <w:ind w:firstLine="0" w:firstLineChars="0"/>
        <w:textAlignment w:val="auto"/>
        <w:rPr>
          <w:rFonts w:hint="default" w:eastAsia="仿宋"/>
          <w:snapToGrid w:val="0"/>
          <w:color w:val="auto"/>
          <w:sz w:val="28"/>
          <w:szCs w:val="28"/>
          <w:lang w:val="en-US" w:eastAsia="zh-CN"/>
        </w:rPr>
      </w:pPr>
      <w:bookmarkStart w:id="207" w:name="_Toc2786"/>
      <w:bookmarkStart w:id="208" w:name="_Toc28003"/>
      <w:bookmarkStart w:id="209" w:name="_Toc22669"/>
      <w:r>
        <w:rPr>
          <w:rFonts w:hint="default" w:eastAsia="仿宋"/>
          <w:snapToGrid w:val="0"/>
          <w:color w:val="auto"/>
          <w:sz w:val="28"/>
          <w:szCs w:val="28"/>
          <w:lang w:val="en-US" w:eastAsia="zh-CN"/>
        </w:rPr>
        <w:t>4.6.1总体目标</w:t>
      </w:r>
      <w:bookmarkEnd w:id="207"/>
      <w:bookmarkEnd w:id="208"/>
      <w:bookmarkEnd w:id="209"/>
    </w:p>
    <w:p w14:paraId="693B7670">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围绕县委打造“滇中绿谷”发展目标和落实“12345”发展战略，践行“绿水青山就是金山银山”理念，坚持保护优先，强化全域生态保护，统筹山水林田湖草系统治理，做好“生态+”融合文章，打通“绿水青山”向“金山银山”转换通道，促进全面发展绿色转型</w:t>
      </w:r>
      <w:r>
        <w:rPr>
          <w:rFonts w:hint="eastAsia" w:ascii="Times New Roman" w:hAnsi="Times New Roman" w:eastAsia="方正仿宋_GBK" w:cs="方正仿宋_GBK"/>
          <w:b w:val="0"/>
          <w:bCs w:val="0"/>
          <w:color w:val="auto"/>
          <w:kern w:val="2"/>
          <w:sz w:val="28"/>
          <w:szCs w:val="28"/>
          <w:lang w:val="en-US" w:eastAsia="zh-CN" w:bidi="ar-SA"/>
        </w:rPr>
        <w:t>；</w:t>
      </w:r>
      <w:r>
        <w:rPr>
          <w:rFonts w:hint="default" w:ascii="Times New Roman" w:hAnsi="Times New Roman" w:eastAsia="方正仿宋_GBK" w:cs="方正仿宋_GBK"/>
          <w:b w:val="0"/>
          <w:bCs w:val="0"/>
          <w:color w:val="auto"/>
          <w:kern w:val="2"/>
          <w:sz w:val="28"/>
          <w:szCs w:val="28"/>
          <w:lang w:val="en-US" w:eastAsia="zh-CN" w:bidi="ar-SA"/>
        </w:rPr>
        <w:t>产业结构更趋合理，资源利用效率进一步提升，资源节约型和环境友好型社会建设取得重大进展</w:t>
      </w:r>
      <w:r>
        <w:rPr>
          <w:rFonts w:hint="eastAsia" w:ascii="Times New Roman" w:hAnsi="Times New Roman" w:eastAsia="方正仿宋_GBK" w:cs="方正仿宋_GBK"/>
          <w:b w:val="0"/>
          <w:bCs w:val="0"/>
          <w:color w:val="auto"/>
          <w:kern w:val="2"/>
          <w:sz w:val="28"/>
          <w:szCs w:val="28"/>
          <w:lang w:val="en-US" w:eastAsia="zh-CN" w:bidi="ar-SA"/>
        </w:rPr>
        <w:t>；</w:t>
      </w:r>
      <w:r>
        <w:rPr>
          <w:rFonts w:hint="default" w:ascii="Times New Roman" w:hAnsi="Times New Roman" w:eastAsia="方正仿宋_GBK" w:cs="方正仿宋_GBK"/>
          <w:b w:val="0"/>
          <w:bCs w:val="0"/>
          <w:color w:val="auto"/>
          <w:kern w:val="2"/>
          <w:sz w:val="28"/>
          <w:szCs w:val="28"/>
          <w:lang w:val="en-US" w:eastAsia="zh-CN" w:bidi="ar-SA"/>
        </w:rPr>
        <w:t>国土空间开发格局更加优化，符合主体功能定位的空间开发格局全面形成，空间治理体系基本建立</w:t>
      </w:r>
      <w:r>
        <w:rPr>
          <w:rFonts w:hint="eastAsia" w:ascii="Times New Roman" w:hAnsi="Times New Roman" w:eastAsia="方正仿宋_GBK" w:cs="方正仿宋_GBK"/>
          <w:b w:val="0"/>
          <w:bCs w:val="0"/>
          <w:color w:val="auto"/>
          <w:kern w:val="2"/>
          <w:sz w:val="28"/>
          <w:szCs w:val="28"/>
          <w:lang w:val="en-US" w:eastAsia="zh-CN" w:bidi="ar-SA"/>
        </w:rPr>
        <w:t>；</w:t>
      </w:r>
      <w:r>
        <w:rPr>
          <w:rFonts w:hint="default" w:ascii="Times New Roman" w:hAnsi="Times New Roman" w:eastAsia="方正仿宋_GBK" w:cs="方正仿宋_GBK"/>
          <w:b w:val="0"/>
          <w:bCs w:val="0"/>
          <w:color w:val="auto"/>
          <w:kern w:val="2"/>
          <w:sz w:val="28"/>
          <w:szCs w:val="28"/>
          <w:lang w:val="en-US" w:eastAsia="zh-CN" w:bidi="ar-SA"/>
        </w:rPr>
        <w:t>严守生态保护红线，生态系统功能全面提升，生态安全进一步巩固</w:t>
      </w:r>
      <w:r>
        <w:rPr>
          <w:rFonts w:hint="eastAsia" w:ascii="Times New Roman" w:hAnsi="Times New Roman" w:eastAsia="方正仿宋_GBK" w:cs="方正仿宋_GBK"/>
          <w:b w:val="0"/>
          <w:bCs w:val="0"/>
          <w:color w:val="auto"/>
          <w:kern w:val="2"/>
          <w:sz w:val="28"/>
          <w:szCs w:val="28"/>
          <w:lang w:val="en-US" w:eastAsia="zh-CN" w:bidi="ar-SA"/>
        </w:rPr>
        <w:t>；</w:t>
      </w:r>
      <w:r>
        <w:rPr>
          <w:rFonts w:hint="default" w:ascii="Times New Roman" w:hAnsi="Times New Roman" w:eastAsia="方正仿宋_GBK" w:cs="方正仿宋_GBK"/>
          <w:b w:val="0"/>
          <w:bCs w:val="0"/>
          <w:color w:val="auto"/>
          <w:kern w:val="2"/>
          <w:sz w:val="28"/>
          <w:szCs w:val="28"/>
          <w:lang w:val="en-US" w:eastAsia="zh-CN" w:bidi="ar-SA"/>
        </w:rPr>
        <w:t>城市空气质量优良率不断提升，县城饮用水源地水环境质量持续保持稳定达标，土壤环境质量总体保持稳定，生态环境质量总体保持优良</w:t>
      </w:r>
      <w:r>
        <w:rPr>
          <w:rFonts w:hint="eastAsia" w:ascii="Times New Roman" w:hAnsi="Times New Roman" w:eastAsia="方正仿宋_GBK" w:cs="方正仿宋_GBK"/>
          <w:b w:val="0"/>
          <w:bCs w:val="0"/>
          <w:color w:val="auto"/>
          <w:kern w:val="2"/>
          <w:sz w:val="28"/>
          <w:szCs w:val="28"/>
          <w:lang w:val="en-US" w:eastAsia="zh-CN" w:bidi="ar-SA"/>
        </w:rPr>
        <w:t>；</w:t>
      </w:r>
      <w:r>
        <w:rPr>
          <w:rFonts w:hint="default" w:ascii="Times New Roman" w:hAnsi="Times New Roman" w:eastAsia="方正仿宋_GBK" w:cs="方正仿宋_GBK"/>
          <w:b w:val="0"/>
          <w:bCs w:val="0"/>
          <w:color w:val="auto"/>
          <w:kern w:val="2"/>
          <w:sz w:val="28"/>
          <w:szCs w:val="28"/>
          <w:lang w:val="en-US" w:eastAsia="zh-CN" w:bidi="ar-SA"/>
        </w:rPr>
        <w:t>环境安全得到有效保障，重点流域和重点区域环境质量明显改善，生态系统稳定性持续增强</w:t>
      </w:r>
      <w:r>
        <w:rPr>
          <w:rFonts w:hint="eastAsia" w:ascii="Times New Roman" w:hAnsi="Times New Roman" w:eastAsia="方正仿宋_GBK" w:cs="方正仿宋_GBK"/>
          <w:b w:val="0"/>
          <w:bCs w:val="0"/>
          <w:color w:val="auto"/>
          <w:kern w:val="2"/>
          <w:sz w:val="28"/>
          <w:szCs w:val="28"/>
          <w:lang w:val="en-US" w:eastAsia="zh-CN" w:bidi="ar-SA"/>
        </w:rPr>
        <w:t>，</w:t>
      </w:r>
      <w:r>
        <w:rPr>
          <w:rFonts w:hint="default" w:ascii="Times New Roman" w:hAnsi="Times New Roman" w:eastAsia="方正仿宋_GBK" w:cs="方正仿宋_GBK"/>
          <w:b w:val="0"/>
          <w:bCs w:val="0"/>
          <w:color w:val="auto"/>
          <w:kern w:val="2"/>
          <w:sz w:val="28"/>
          <w:szCs w:val="28"/>
          <w:lang w:val="en-US" w:eastAsia="zh-CN" w:bidi="ar-SA"/>
        </w:rPr>
        <w:t>成为全市绿色引领发展和生态文明建设的先行区和示范区。</w:t>
      </w:r>
    </w:p>
    <w:p w14:paraId="2BDA7BEB">
      <w:pPr>
        <w:pStyle w:val="5"/>
        <w:pageBreakBefore w:val="0"/>
        <w:kinsoku/>
        <w:wordWrap/>
        <w:overflowPunct/>
        <w:topLinePunct w:val="0"/>
        <w:autoSpaceDE/>
        <w:autoSpaceDN/>
        <w:bidi w:val="0"/>
        <w:spacing w:before="120" w:after="120" w:line="500" w:lineRule="exact"/>
        <w:ind w:firstLine="0" w:firstLineChars="0"/>
        <w:textAlignment w:val="auto"/>
        <w:rPr>
          <w:rFonts w:hint="default" w:eastAsia="仿宋"/>
          <w:snapToGrid w:val="0"/>
          <w:color w:val="auto"/>
          <w:sz w:val="28"/>
          <w:szCs w:val="28"/>
          <w:lang w:val="en-US" w:eastAsia="zh-CN"/>
        </w:rPr>
      </w:pPr>
      <w:bookmarkStart w:id="210" w:name="_Toc4591"/>
      <w:bookmarkStart w:id="211" w:name="_Toc14590"/>
      <w:bookmarkStart w:id="212" w:name="_Toc29857"/>
      <w:r>
        <w:rPr>
          <w:rFonts w:hint="default" w:eastAsia="仿宋"/>
          <w:snapToGrid w:val="0"/>
          <w:color w:val="auto"/>
          <w:sz w:val="28"/>
          <w:szCs w:val="28"/>
          <w:lang w:val="en-US" w:eastAsia="zh-CN"/>
        </w:rPr>
        <w:t>4.6.2阶段目标</w:t>
      </w:r>
      <w:bookmarkEnd w:id="210"/>
      <w:bookmarkEnd w:id="211"/>
      <w:bookmarkEnd w:id="212"/>
    </w:p>
    <w:p w14:paraId="62EA29C0">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en-US" w:eastAsia="zh-CN" w:bidi="ar-SA"/>
        </w:rPr>
      </w:pPr>
      <w:bookmarkStart w:id="213" w:name="_Toc9516114"/>
      <w:bookmarkStart w:id="214" w:name="_Toc16567"/>
      <w:bookmarkStart w:id="215" w:name="_Toc35697772"/>
      <w:bookmarkStart w:id="216" w:name="_Toc514661266"/>
      <w:bookmarkStart w:id="217" w:name="_Toc24102"/>
      <w:bookmarkStart w:id="218" w:name="_Toc19036"/>
      <w:bookmarkStart w:id="219" w:name="_Toc2304"/>
      <w:bookmarkStart w:id="220" w:name="_Toc25072"/>
      <w:bookmarkStart w:id="221" w:name="_Toc456"/>
      <w:bookmarkStart w:id="222" w:name="_Toc15353"/>
      <w:bookmarkStart w:id="223" w:name="_Toc21905"/>
      <w:bookmarkStart w:id="224" w:name="_Toc47"/>
      <w:r>
        <w:rPr>
          <w:rFonts w:hint="default" w:ascii="Times New Roman" w:hAnsi="Times New Roman" w:eastAsia="方正仿宋_GBK" w:cs="方正仿宋_GBK"/>
          <w:b w:val="0"/>
          <w:bCs w:val="0"/>
          <w:color w:val="auto"/>
          <w:kern w:val="2"/>
          <w:sz w:val="28"/>
          <w:szCs w:val="28"/>
          <w:lang w:val="en-US" w:eastAsia="zh-CN" w:bidi="ar-SA"/>
        </w:rPr>
        <w:t>近期目标：到2025年，力争各项指标达到国家生态文明建设示范区指标考核要求，力争创建为国家生态文明建设示范区。全面实现生态文明建设治理体系和治理能力现代化；全面完成省、市下达主要污染物减排、环境风险防控、生态空间管控等约束性指标，生态文明制度体系逐步完善；国控、省控地表水达到或优于Ⅲ类水质断面比例100%，大气环境指标稳中向好，空气优良率和控制因子达到上级下达目标；生物多样性保护效果显著；生态经济产业体系基本建立，将“绿水青山”真正转变为社会经济发展的“金山银山”，以优质的生态产品支撑全县各族人民的幸福感生态产品价值实现机制取得成效；村镇环境基础设施建设逐步完善，村庄环境综合整治基本完成，农村生活污水处理显著提高，美丽乡村建设成效明显；绿色生产生活方式逐步建立，居民生态文明满意度参与度稳步提升。</w:t>
      </w:r>
    </w:p>
    <w:p w14:paraId="29E1B32F">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远期规划：2026</w:t>
      </w:r>
      <w:r>
        <w:rPr>
          <w:rFonts w:hint="eastAsia" w:ascii="Times New Roman" w:hAnsi="Times New Roman" w:eastAsia="方正仿宋_GBK" w:cs="方正仿宋_GBK"/>
          <w:b w:val="0"/>
          <w:bCs w:val="0"/>
          <w:color w:val="auto"/>
          <w:kern w:val="2"/>
          <w:sz w:val="28"/>
          <w:szCs w:val="28"/>
          <w:lang w:val="en-US" w:eastAsia="zh-CN" w:bidi="ar-SA"/>
        </w:rPr>
        <w:t>—</w:t>
      </w:r>
      <w:r>
        <w:rPr>
          <w:rFonts w:hint="default" w:ascii="Times New Roman" w:hAnsi="Times New Roman" w:eastAsia="方正仿宋_GBK" w:cs="方正仿宋_GBK"/>
          <w:b w:val="0"/>
          <w:bCs w:val="0"/>
          <w:color w:val="auto"/>
          <w:kern w:val="2"/>
          <w:sz w:val="28"/>
          <w:szCs w:val="28"/>
          <w:lang w:val="en-US" w:eastAsia="zh-CN" w:bidi="ar-SA"/>
        </w:rPr>
        <w:t>2030年持续巩固提升国家生态文明建设示范区创建成果。创新生态文明体制机制，区域生态环境共保联治机制建设取得成效；土地集约节约利用，城乡布局合理，国土空间开发保护格局得到持续优化；空气质量保持优良，水环境质量保持稳定，水生态恢复取得明显成效，土壤环境安全得到有效保障；山水林田湖草生态系统服务功能总体恢复；建成以产业生态化和生态产业化为主体的现代化生态经济产业体系；城乡人居环境得到显著提升，生态文明建设成效更加显著</w:t>
      </w:r>
      <w:r>
        <w:rPr>
          <w:rFonts w:hint="eastAsia" w:ascii="Times New Roman" w:hAnsi="Times New Roman" w:eastAsia="方正仿宋_GBK" w:cs="方正仿宋_GBK"/>
          <w:b w:val="0"/>
          <w:bCs w:val="0"/>
          <w:color w:val="auto"/>
          <w:kern w:val="2"/>
          <w:sz w:val="28"/>
          <w:szCs w:val="28"/>
          <w:lang w:val="en-US" w:eastAsia="zh-CN" w:bidi="ar-SA"/>
        </w:rPr>
        <w:t>。</w:t>
      </w:r>
    </w:p>
    <w:p w14:paraId="59A458AE">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远景目标：到2035年，富强新平、活力新平、文化新平、美丽新平、和谐新平基本建成；基本实现新型工业化、信息化、城镇化、农业现代化，建成现代化绿色经济体系；基本实现环境治理体系和治理能力现代化；广泛形成绿色生产生活方式，生态环境根本好转；中等收入群体显著扩大，城乡区域发展差距和居民生活水平差距显著缩小；人民生活更加美好，人的全面发展、全体人民共同富裕取得更为明显的实质性进展，</w:t>
      </w:r>
      <w:r>
        <w:rPr>
          <w:rFonts w:hint="default" w:ascii="Times New Roman" w:hAnsi="Times New Roman" w:eastAsia="方正仿宋_GBK" w:cs="方正仿宋_GBK"/>
          <w:b w:val="0"/>
          <w:bCs w:val="0"/>
          <w:color w:val="auto"/>
          <w:kern w:val="2"/>
          <w:sz w:val="28"/>
          <w:szCs w:val="28"/>
          <w:lang w:val="en-US" w:eastAsia="zh-CN" w:bidi="ar-SA"/>
        </w:rPr>
        <w:t>成为全市绿色引领发展和生态文明建设的先行区和示范区。</w:t>
      </w:r>
    </w:p>
    <w:p w14:paraId="3BCAE1DC">
      <w:pPr>
        <w:pStyle w:val="4"/>
        <w:pageBreakBefore w:val="0"/>
        <w:kinsoku/>
        <w:wordWrap/>
        <w:overflowPunct/>
        <w:topLinePunct w:val="0"/>
        <w:autoSpaceDE/>
        <w:autoSpaceDN/>
        <w:bidi w:val="0"/>
        <w:spacing w:before="260" w:after="260" w:line="500" w:lineRule="exact"/>
        <w:ind w:firstLine="0"/>
        <w:textAlignment w:val="auto"/>
        <w:rPr>
          <w:rFonts w:hint="default" w:ascii="Times New Roman" w:hAnsi="Times New Roman" w:eastAsia="仿宋" w:cs="Times New Roman"/>
          <w:color w:val="auto"/>
          <w:sz w:val="32"/>
          <w:lang w:val="en-US" w:eastAsia="zh-CN"/>
        </w:rPr>
      </w:pPr>
      <w:bookmarkStart w:id="225" w:name="_Toc30389"/>
      <w:r>
        <w:rPr>
          <w:rFonts w:hint="default" w:ascii="Times New Roman" w:hAnsi="Times New Roman" w:eastAsia="仿宋" w:cs="Times New Roman"/>
          <w:color w:val="auto"/>
          <w:sz w:val="32"/>
          <w:lang w:val="en-US" w:eastAsia="zh-CN"/>
        </w:rPr>
        <w:t>4</w:t>
      </w:r>
      <w:bookmarkEnd w:id="213"/>
      <w:bookmarkEnd w:id="214"/>
      <w:bookmarkEnd w:id="215"/>
      <w:bookmarkEnd w:id="216"/>
      <w:r>
        <w:rPr>
          <w:rFonts w:hint="default" w:ascii="Times New Roman" w:hAnsi="Times New Roman" w:eastAsia="仿宋" w:cs="Times New Roman"/>
          <w:color w:val="auto"/>
          <w:sz w:val="32"/>
          <w:lang w:val="en-US" w:eastAsia="zh-CN"/>
        </w:rPr>
        <w:t>.7规划指标</w:t>
      </w:r>
      <w:bookmarkEnd w:id="217"/>
      <w:bookmarkEnd w:id="218"/>
      <w:bookmarkEnd w:id="219"/>
      <w:bookmarkEnd w:id="220"/>
      <w:bookmarkEnd w:id="221"/>
      <w:bookmarkEnd w:id="222"/>
      <w:bookmarkEnd w:id="223"/>
      <w:bookmarkEnd w:id="224"/>
      <w:bookmarkEnd w:id="225"/>
    </w:p>
    <w:bookmarkEnd w:id="21"/>
    <w:p w14:paraId="3B88F4FD">
      <w:pPr>
        <w:pStyle w:val="5"/>
        <w:pageBreakBefore w:val="0"/>
        <w:kinsoku/>
        <w:wordWrap/>
        <w:overflowPunct/>
        <w:topLinePunct w:val="0"/>
        <w:autoSpaceDE/>
        <w:autoSpaceDN/>
        <w:bidi w:val="0"/>
        <w:spacing w:before="120" w:after="120" w:line="500" w:lineRule="exact"/>
        <w:ind w:firstLine="0" w:firstLineChars="0"/>
        <w:textAlignment w:val="auto"/>
        <w:rPr>
          <w:rFonts w:hint="default" w:eastAsia="仿宋"/>
          <w:snapToGrid w:val="0"/>
          <w:color w:val="auto"/>
          <w:sz w:val="28"/>
          <w:szCs w:val="28"/>
          <w:lang w:val="en-US" w:eastAsia="zh-CN"/>
        </w:rPr>
      </w:pPr>
      <w:bookmarkStart w:id="226" w:name="_Toc20832"/>
      <w:r>
        <w:rPr>
          <w:rFonts w:hint="default" w:eastAsia="仿宋"/>
          <w:snapToGrid w:val="0"/>
          <w:color w:val="auto"/>
          <w:sz w:val="28"/>
          <w:szCs w:val="28"/>
          <w:lang w:val="en-US" w:eastAsia="zh-CN"/>
        </w:rPr>
        <w:t>4.</w:t>
      </w:r>
      <w:r>
        <w:rPr>
          <w:rFonts w:hint="eastAsia" w:eastAsia="仿宋"/>
          <w:snapToGrid w:val="0"/>
          <w:color w:val="auto"/>
          <w:sz w:val="28"/>
          <w:szCs w:val="28"/>
          <w:lang w:val="en-US" w:eastAsia="zh-CN"/>
        </w:rPr>
        <w:t>7</w:t>
      </w:r>
      <w:r>
        <w:rPr>
          <w:rFonts w:hint="default" w:eastAsia="仿宋"/>
          <w:snapToGrid w:val="0"/>
          <w:color w:val="auto"/>
          <w:sz w:val="28"/>
          <w:szCs w:val="28"/>
          <w:lang w:val="en-US" w:eastAsia="zh-CN"/>
        </w:rPr>
        <w:t>.1指标现状</w:t>
      </w:r>
      <w:bookmarkEnd w:id="226"/>
    </w:p>
    <w:p w14:paraId="7C29634F">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1、申报条件</w:t>
      </w:r>
    </w:p>
    <w:p w14:paraId="3ACE7826">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根据《国家生态文明建设示范区管理规程（修订版）》和《云南省省级生态文明建设示范区管理规程》（2022年），对申报条件进行分析。新平县印发《新平生态县建设规划》，2022年启动《新平县生态文明建设示范区规划（2022</w:t>
      </w:r>
      <w:r>
        <w:rPr>
          <w:rFonts w:hint="eastAsia" w:ascii="Times New Roman" w:hAnsi="Times New Roman" w:eastAsia="方正仿宋_GBK" w:cs="方正仿宋_GBK"/>
          <w:b w:val="0"/>
          <w:bCs w:val="0"/>
          <w:color w:val="auto"/>
          <w:kern w:val="2"/>
          <w:sz w:val="28"/>
          <w:szCs w:val="28"/>
          <w:lang w:val="en-US" w:eastAsia="zh-CN" w:bidi="ar-SA"/>
        </w:rPr>
        <w:t>—</w:t>
      </w:r>
      <w:r>
        <w:rPr>
          <w:rFonts w:hint="default" w:ascii="Times New Roman" w:hAnsi="Times New Roman" w:eastAsia="方正仿宋_GBK" w:cs="方正仿宋_GBK"/>
          <w:b w:val="0"/>
          <w:bCs w:val="0"/>
          <w:color w:val="auto"/>
          <w:kern w:val="2"/>
          <w:sz w:val="28"/>
          <w:szCs w:val="28"/>
          <w:lang w:val="en-US" w:eastAsia="zh-CN" w:bidi="ar-SA"/>
        </w:rPr>
        <w:t>2030年）》规划编制；相关法律法规得到严格落实；35项国家级指标中达标</w:t>
      </w:r>
      <w:r>
        <w:rPr>
          <w:rFonts w:hint="eastAsia" w:ascii="Times New Roman" w:hAnsi="Times New Roman" w:eastAsia="方正仿宋_GBK" w:cs="方正仿宋_GBK"/>
          <w:b w:val="0"/>
          <w:bCs w:val="0"/>
          <w:color w:val="auto"/>
          <w:kern w:val="2"/>
          <w:sz w:val="28"/>
          <w:szCs w:val="28"/>
          <w:lang w:val="en-US" w:eastAsia="zh-CN" w:bidi="ar-SA"/>
        </w:rPr>
        <w:t>32</w:t>
      </w:r>
      <w:r>
        <w:rPr>
          <w:rFonts w:hint="default" w:ascii="Times New Roman" w:hAnsi="Times New Roman" w:eastAsia="方正仿宋_GBK" w:cs="方正仿宋_GBK"/>
          <w:b w:val="0"/>
          <w:bCs w:val="0"/>
          <w:color w:val="auto"/>
          <w:kern w:val="2"/>
          <w:sz w:val="28"/>
          <w:szCs w:val="28"/>
          <w:lang w:val="en-US" w:eastAsia="zh-CN" w:bidi="ar-SA"/>
        </w:rPr>
        <w:t>项、39项省级指标中达标</w:t>
      </w:r>
      <w:r>
        <w:rPr>
          <w:rFonts w:hint="eastAsia" w:ascii="Times New Roman" w:hAnsi="Times New Roman" w:eastAsia="方正仿宋_GBK" w:cs="方正仿宋_GBK"/>
          <w:b w:val="0"/>
          <w:bCs w:val="0"/>
          <w:color w:val="auto"/>
          <w:kern w:val="2"/>
          <w:sz w:val="28"/>
          <w:szCs w:val="28"/>
          <w:lang w:val="en-US" w:eastAsia="zh-CN" w:bidi="ar-SA"/>
        </w:rPr>
        <w:t>38</w:t>
      </w:r>
      <w:r>
        <w:rPr>
          <w:rFonts w:hint="default" w:ascii="Times New Roman" w:hAnsi="Times New Roman" w:eastAsia="方正仿宋_GBK" w:cs="方正仿宋_GBK"/>
          <w:b w:val="0"/>
          <w:bCs w:val="0"/>
          <w:color w:val="auto"/>
          <w:kern w:val="2"/>
          <w:sz w:val="28"/>
          <w:szCs w:val="28"/>
          <w:lang w:val="en-US" w:eastAsia="zh-CN" w:bidi="ar-SA"/>
        </w:rPr>
        <w:t>项，国家级、省级建设指标未</w:t>
      </w:r>
      <w:r>
        <w:rPr>
          <w:rFonts w:hint="eastAsia" w:ascii="Times New Roman" w:hAnsi="Times New Roman" w:eastAsia="方正仿宋_GBK" w:cs="方正仿宋_GBK"/>
          <w:b w:val="0"/>
          <w:bCs w:val="0"/>
          <w:color w:val="auto"/>
          <w:kern w:val="2"/>
          <w:sz w:val="28"/>
          <w:szCs w:val="28"/>
          <w:lang w:val="en-US" w:eastAsia="zh-CN" w:bidi="ar-SA"/>
        </w:rPr>
        <w:t>达标率分别为91.43%、97.43%；</w:t>
      </w:r>
      <w:r>
        <w:rPr>
          <w:rFonts w:hint="default" w:ascii="Times New Roman" w:hAnsi="Times New Roman" w:eastAsia="方正仿宋_GBK" w:cs="方正仿宋_GBK"/>
          <w:b w:val="0"/>
          <w:bCs w:val="0"/>
          <w:color w:val="auto"/>
          <w:kern w:val="2"/>
          <w:sz w:val="28"/>
          <w:szCs w:val="28"/>
          <w:lang w:val="en-US" w:eastAsia="zh-CN" w:bidi="ar-SA"/>
        </w:rPr>
        <w:t>中央生态环境保护督察和生态环境部组织的各类专项督查中不存在重大问题，各级督查整改任务按计划进行；完成国家、省下达的生态环境质量、节能、减排、排污许可证核发等生态环境保护重点工作任务；近三年未发生重、特大突发环境事件或生态破坏事件，没有发生因重大生态环境问题被生态环境部约谈，无挂牌督办和区域限批问题；近三年，新平县生态环境案件办结率均为100%；2018</w:t>
      </w:r>
      <w:r>
        <w:rPr>
          <w:rFonts w:hint="eastAsia" w:ascii="Times New Roman" w:hAnsi="Times New Roman" w:eastAsia="方正仿宋_GBK" w:cs="方正仿宋_GBK"/>
          <w:b w:val="0"/>
          <w:bCs w:val="0"/>
          <w:color w:val="auto"/>
          <w:kern w:val="2"/>
          <w:sz w:val="28"/>
          <w:szCs w:val="28"/>
          <w:lang w:val="en-US" w:eastAsia="zh-CN" w:bidi="ar-SA"/>
        </w:rPr>
        <w:t>—</w:t>
      </w:r>
      <w:r>
        <w:rPr>
          <w:rFonts w:hint="default" w:ascii="Times New Roman" w:hAnsi="Times New Roman" w:eastAsia="方正仿宋_GBK" w:cs="方正仿宋_GBK"/>
          <w:b w:val="0"/>
          <w:bCs w:val="0"/>
          <w:color w:val="auto"/>
          <w:kern w:val="2"/>
          <w:sz w:val="28"/>
          <w:szCs w:val="28"/>
          <w:lang w:val="en-US" w:eastAsia="zh-CN" w:bidi="ar-SA"/>
        </w:rPr>
        <w:t>202</w:t>
      </w:r>
      <w:r>
        <w:rPr>
          <w:rFonts w:hint="eastAsia" w:ascii="Times New Roman" w:hAnsi="Times New Roman" w:eastAsia="方正仿宋_GBK" w:cs="方正仿宋_GBK"/>
          <w:b w:val="0"/>
          <w:bCs w:val="0"/>
          <w:color w:val="auto"/>
          <w:kern w:val="2"/>
          <w:sz w:val="28"/>
          <w:szCs w:val="28"/>
          <w:lang w:val="en-US" w:eastAsia="zh-CN" w:bidi="ar-SA"/>
        </w:rPr>
        <w:t>1</w:t>
      </w:r>
      <w:r>
        <w:rPr>
          <w:rFonts w:hint="default" w:ascii="Times New Roman" w:hAnsi="Times New Roman" w:eastAsia="方正仿宋_GBK" w:cs="方正仿宋_GBK"/>
          <w:b w:val="0"/>
          <w:bCs w:val="0"/>
          <w:color w:val="auto"/>
          <w:kern w:val="2"/>
          <w:sz w:val="28"/>
          <w:szCs w:val="28"/>
          <w:lang w:val="en-US" w:eastAsia="zh-CN" w:bidi="ar-SA"/>
        </w:rPr>
        <w:t>年云南省县域生态环境质量监测评价与考核结果均为“基本稳定”。</w:t>
      </w:r>
    </w:p>
    <w:p w14:paraId="35A45017">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2、建设指标现状值</w:t>
      </w:r>
    </w:p>
    <w:p w14:paraId="56DEF9F7">
      <w:pPr>
        <w:pStyle w:val="182"/>
        <w:keepNext w:val="0"/>
        <w:keepLines w:val="0"/>
        <w:pageBreakBefore w:val="0"/>
        <w:widowControl w:val="0"/>
        <w:tabs>
          <w:tab w:val="left" w:pos="900"/>
        </w:tabs>
        <w:kinsoku/>
        <w:wordWrap/>
        <w:overflowPunct/>
        <w:topLinePunct w:val="0"/>
        <w:autoSpaceDE/>
        <w:autoSpaceDN/>
        <w:bidi w:val="0"/>
        <w:adjustRightInd w:val="0"/>
        <w:snapToGrid w:val="0"/>
        <w:spacing w:before="0" w:line="500" w:lineRule="exact"/>
        <w:ind w:firstLine="490"/>
        <w:textAlignment w:val="auto"/>
        <w:rPr>
          <w:rFonts w:hint="default" w:ascii="Times New Roman" w:hAnsi="Times New Roman" w:eastAsia="仿宋" w:cs="Times New Roman"/>
          <w:color w:val="auto"/>
          <w:kern w:val="2"/>
          <w:sz w:val="32"/>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根据《国家生态文明建设示范区建设指标（修订版）》《云南省省级生态文明建设示范区建设指标》（2022），国家生态文明建设示范区指标考核新平县的共有35项，35项指标中已达标</w:t>
      </w:r>
      <w:r>
        <w:rPr>
          <w:rFonts w:hint="eastAsia" w:ascii="Times New Roman" w:hAnsi="Times New Roman" w:eastAsia="方正仿宋_GBK" w:cs="方正仿宋_GBK"/>
          <w:b w:val="0"/>
          <w:bCs w:val="0"/>
          <w:color w:val="auto"/>
          <w:kern w:val="2"/>
          <w:sz w:val="28"/>
          <w:szCs w:val="28"/>
          <w:lang w:val="en-US" w:eastAsia="zh-CN" w:bidi="ar-SA"/>
        </w:rPr>
        <w:t>32</w:t>
      </w:r>
      <w:r>
        <w:rPr>
          <w:rFonts w:hint="default" w:ascii="Times New Roman" w:hAnsi="Times New Roman" w:eastAsia="方正仿宋_GBK" w:cs="方正仿宋_GBK"/>
          <w:b w:val="0"/>
          <w:bCs w:val="0"/>
          <w:color w:val="auto"/>
          <w:kern w:val="2"/>
          <w:sz w:val="28"/>
          <w:szCs w:val="28"/>
          <w:lang w:val="en-US" w:eastAsia="zh-CN" w:bidi="ar-SA"/>
        </w:rPr>
        <w:t>项，</w:t>
      </w:r>
      <w:r>
        <w:rPr>
          <w:rFonts w:hint="eastAsia" w:ascii="Times New Roman" w:hAnsi="Times New Roman" w:eastAsia="方正仿宋_GBK" w:cs="方正仿宋_GBK"/>
          <w:b w:val="0"/>
          <w:bCs w:val="0"/>
          <w:color w:val="auto"/>
          <w:kern w:val="2"/>
          <w:sz w:val="28"/>
          <w:szCs w:val="28"/>
          <w:lang w:val="en-US" w:eastAsia="zh-CN" w:bidi="ar-SA"/>
        </w:rPr>
        <w:t>其中</w:t>
      </w:r>
      <w:r>
        <w:rPr>
          <w:rFonts w:hint="default" w:ascii="Times New Roman" w:hAnsi="Times New Roman" w:eastAsia="方正仿宋_GBK" w:cs="方正仿宋_GBK"/>
          <w:b w:val="0"/>
          <w:bCs w:val="0"/>
          <w:color w:val="auto"/>
          <w:kern w:val="2"/>
          <w:sz w:val="28"/>
          <w:szCs w:val="28"/>
          <w:lang w:val="en-US" w:eastAsia="zh-CN" w:bidi="ar-SA"/>
        </w:rPr>
        <w:t>单位地区生产总值能耗</w:t>
      </w:r>
      <w:r>
        <w:rPr>
          <w:rFonts w:hint="eastAsia" w:ascii="Times New Roman" w:hAnsi="Times New Roman" w:eastAsia="方正仿宋_GBK" w:cs="方正仿宋_GBK"/>
          <w:b w:val="0"/>
          <w:bCs w:val="0"/>
          <w:color w:val="auto"/>
          <w:kern w:val="2"/>
          <w:sz w:val="28"/>
          <w:szCs w:val="28"/>
          <w:lang w:val="en-US" w:eastAsia="zh-CN" w:bidi="ar-SA"/>
        </w:rPr>
        <w:t>、农村生活污水治理率、农村饮用水水质合格率等3指标</w:t>
      </w:r>
      <w:r>
        <w:rPr>
          <w:rFonts w:hint="default" w:ascii="Times New Roman" w:hAnsi="Times New Roman" w:eastAsia="方正仿宋_GBK" w:cs="方正仿宋_GBK"/>
          <w:b w:val="0"/>
          <w:bCs w:val="0"/>
          <w:color w:val="auto"/>
          <w:kern w:val="2"/>
          <w:sz w:val="28"/>
          <w:szCs w:val="28"/>
          <w:lang w:val="en-US" w:eastAsia="zh-CN" w:bidi="ar-SA"/>
        </w:rPr>
        <w:t>不达标，达标率为</w:t>
      </w:r>
      <w:r>
        <w:rPr>
          <w:rFonts w:hint="eastAsia" w:ascii="Times New Roman" w:hAnsi="Times New Roman" w:eastAsia="方正仿宋_GBK" w:cs="方正仿宋_GBK"/>
          <w:b w:val="0"/>
          <w:bCs w:val="0"/>
          <w:color w:val="auto"/>
          <w:kern w:val="2"/>
          <w:sz w:val="28"/>
          <w:szCs w:val="28"/>
          <w:lang w:val="en-US" w:eastAsia="zh-CN" w:bidi="ar-SA"/>
        </w:rPr>
        <w:t>91.43</w:t>
      </w:r>
      <w:r>
        <w:rPr>
          <w:rFonts w:hint="default" w:ascii="Times New Roman" w:hAnsi="Times New Roman" w:eastAsia="方正仿宋_GBK" w:cs="方正仿宋_GBK"/>
          <w:b w:val="0"/>
          <w:bCs w:val="0"/>
          <w:color w:val="auto"/>
          <w:kern w:val="2"/>
          <w:sz w:val="28"/>
          <w:szCs w:val="28"/>
          <w:lang w:val="en-US" w:eastAsia="zh-CN" w:bidi="ar-SA"/>
        </w:rPr>
        <w:t>%；云南省省级生态文明建设示范区指标考核新平县的共有39项，39项指标中已达标</w:t>
      </w:r>
      <w:r>
        <w:rPr>
          <w:rFonts w:hint="eastAsia" w:ascii="Times New Roman" w:hAnsi="Times New Roman" w:eastAsia="方正仿宋_GBK" w:cs="方正仿宋_GBK"/>
          <w:b w:val="0"/>
          <w:bCs w:val="0"/>
          <w:color w:val="auto"/>
          <w:kern w:val="2"/>
          <w:sz w:val="28"/>
          <w:szCs w:val="28"/>
          <w:lang w:val="en-US" w:eastAsia="zh-CN" w:bidi="ar-SA"/>
        </w:rPr>
        <w:t>38</w:t>
      </w:r>
      <w:r>
        <w:rPr>
          <w:rFonts w:hint="default" w:ascii="Times New Roman" w:hAnsi="Times New Roman" w:eastAsia="方正仿宋_GBK" w:cs="方正仿宋_GBK"/>
          <w:b w:val="0"/>
          <w:bCs w:val="0"/>
          <w:color w:val="auto"/>
          <w:kern w:val="2"/>
          <w:sz w:val="28"/>
          <w:szCs w:val="28"/>
          <w:lang w:val="en-US" w:eastAsia="zh-CN" w:bidi="ar-SA"/>
        </w:rPr>
        <w:t>项，单位地区生产总值能耗</w:t>
      </w:r>
      <w:r>
        <w:rPr>
          <w:rFonts w:hint="eastAsia" w:ascii="Times New Roman" w:hAnsi="Times New Roman" w:eastAsia="方正仿宋_GBK" w:cs="方正仿宋_GBK"/>
          <w:b w:val="0"/>
          <w:bCs w:val="0"/>
          <w:color w:val="auto"/>
          <w:kern w:val="2"/>
          <w:sz w:val="28"/>
          <w:szCs w:val="28"/>
          <w:lang w:val="en-US" w:eastAsia="zh-CN" w:bidi="ar-SA"/>
        </w:rPr>
        <w:t>1</w:t>
      </w:r>
      <w:r>
        <w:rPr>
          <w:rFonts w:hint="default" w:ascii="Times New Roman" w:hAnsi="Times New Roman" w:eastAsia="方正仿宋_GBK" w:cs="方正仿宋_GBK"/>
          <w:b w:val="0"/>
          <w:bCs w:val="0"/>
          <w:color w:val="auto"/>
          <w:kern w:val="2"/>
          <w:sz w:val="28"/>
          <w:szCs w:val="28"/>
          <w:lang w:val="en-US" w:eastAsia="zh-CN" w:bidi="ar-SA"/>
        </w:rPr>
        <w:t>项</w:t>
      </w:r>
      <w:r>
        <w:rPr>
          <w:rFonts w:hint="eastAsia" w:ascii="Times New Roman" w:hAnsi="Times New Roman" w:eastAsia="方正仿宋_GBK" w:cs="方正仿宋_GBK"/>
          <w:b w:val="0"/>
          <w:bCs w:val="0"/>
          <w:color w:val="auto"/>
          <w:kern w:val="2"/>
          <w:sz w:val="28"/>
          <w:szCs w:val="28"/>
          <w:lang w:val="en-US" w:eastAsia="zh-CN" w:bidi="ar-SA"/>
        </w:rPr>
        <w:t>指标</w:t>
      </w:r>
      <w:r>
        <w:rPr>
          <w:rFonts w:hint="default" w:ascii="Times New Roman" w:hAnsi="Times New Roman" w:eastAsia="方正仿宋_GBK" w:cs="方正仿宋_GBK"/>
          <w:b w:val="0"/>
          <w:bCs w:val="0"/>
          <w:color w:val="auto"/>
          <w:kern w:val="2"/>
          <w:sz w:val="28"/>
          <w:szCs w:val="28"/>
          <w:lang w:val="en-US" w:eastAsia="zh-CN" w:bidi="ar-SA"/>
        </w:rPr>
        <w:t>不达标，达标率为</w:t>
      </w:r>
      <w:r>
        <w:rPr>
          <w:rFonts w:hint="eastAsia" w:ascii="Times New Roman" w:hAnsi="Times New Roman" w:eastAsia="方正仿宋_GBK" w:cs="方正仿宋_GBK"/>
          <w:b w:val="0"/>
          <w:bCs w:val="0"/>
          <w:color w:val="auto"/>
          <w:kern w:val="2"/>
          <w:sz w:val="28"/>
          <w:szCs w:val="28"/>
          <w:lang w:val="en-US" w:eastAsia="zh-CN" w:bidi="ar-SA"/>
        </w:rPr>
        <w:t>97.43</w:t>
      </w:r>
      <w:r>
        <w:rPr>
          <w:rFonts w:hint="default" w:ascii="Times New Roman" w:hAnsi="Times New Roman" w:eastAsia="方正仿宋_GBK" w:cs="方正仿宋_GBK"/>
          <w:b w:val="0"/>
          <w:bCs w:val="0"/>
          <w:color w:val="auto"/>
          <w:kern w:val="2"/>
          <w:sz w:val="28"/>
          <w:szCs w:val="28"/>
          <w:lang w:val="en-US" w:eastAsia="zh-CN" w:bidi="ar-SA"/>
        </w:rPr>
        <w:t>%。详见下表。</w:t>
      </w:r>
    </w:p>
    <w:p w14:paraId="3ACCFEB0">
      <w:pPr>
        <w:pStyle w:val="9"/>
        <w:rPr>
          <w:rFonts w:ascii="Times New Roman" w:hAnsi="Times New Roman" w:eastAsia="仿宋" w:cs="Times New Roman"/>
          <w:color w:val="FF0000"/>
        </w:rPr>
      </w:pPr>
    </w:p>
    <w:p w14:paraId="6D05B85D">
      <w:pPr>
        <w:widowControl/>
        <w:ind w:firstLine="480" w:firstLineChars="200"/>
        <w:rPr>
          <w:rFonts w:ascii="Times New Roman" w:hAnsi="Times New Roman" w:eastAsia="仿宋" w:cs="Times New Roman"/>
          <w:color w:val="FF0000"/>
          <w:sz w:val="24"/>
        </w:rPr>
      </w:pPr>
    </w:p>
    <w:p w14:paraId="5FF45F0A">
      <w:pPr>
        <w:pStyle w:val="9"/>
        <w:rPr>
          <w:rFonts w:ascii="Times New Roman" w:hAnsi="Times New Roman" w:eastAsia="仿宋" w:cs="Times New Roman"/>
          <w:color w:val="FF0000"/>
        </w:rPr>
        <w:sectPr>
          <w:pgSz w:w="11906" w:h="16838"/>
          <w:pgMar w:top="1440" w:right="1800" w:bottom="1440" w:left="1800" w:header="851" w:footer="992" w:gutter="0"/>
          <w:pgNumType w:fmt="decimal"/>
          <w:cols w:space="425" w:num="1"/>
          <w:docGrid w:type="lines" w:linePitch="312" w:charSpace="0"/>
        </w:sectPr>
      </w:pPr>
    </w:p>
    <w:p w14:paraId="1E778912">
      <w:pPr>
        <w:widowControl/>
        <w:jc w:val="center"/>
        <w:rPr>
          <w:rFonts w:ascii="Times New Roman" w:hAnsi="Times New Roman" w:eastAsia="仿宋" w:cs="Times New Roman"/>
          <w:color w:val="auto"/>
          <w:sz w:val="24"/>
          <w:szCs w:val="24"/>
        </w:rPr>
      </w:pPr>
      <w:r>
        <w:rPr>
          <w:rFonts w:ascii="Times New Roman" w:hAnsi="Times New Roman" w:eastAsia="仿宋" w:cs="Times New Roman"/>
          <w:b/>
          <w:bCs/>
          <w:color w:val="auto"/>
          <w:sz w:val="24"/>
          <w:szCs w:val="24"/>
        </w:rPr>
        <w:t>表4.6.1</w:t>
      </w:r>
      <w:r>
        <w:rPr>
          <w:rFonts w:hint="eastAsia" w:ascii="Times New Roman" w:hAnsi="Times New Roman" w:eastAsia="仿宋" w:cs="Times New Roman"/>
          <w:b/>
          <w:bCs/>
          <w:color w:val="auto"/>
          <w:sz w:val="24"/>
          <w:szCs w:val="24"/>
          <w:lang w:eastAsia="zh-CN"/>
        </w:rPr>
        <w:t>新平县</w:t>
      </w:r>
      <w:r>
        <w:rPr>
          <w:rFonts w:ascii="Times New Roman" w:hAnsi="Times New Roman" w:eastAsia="仿宋" w:cs="Times New Roman"/>
          <w:b/>
          <w:bCs/>
          <w:color w:val="auto"/>
          <w:sz w:val="24"/>
          <w:szCs w:val="24"/>
        </w:rPr>
        <w:t>国家、省级生态文明建设示范区指标现状表</w:t>
      </w:r>
    </w:p>
    <w:tbl>
      <w:tblPr>
        <w:tblStyle w:val="25"/>
        <w:tblW w:w="52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11"/>
        <w:gridCol w:w="629"/>
        <w:gridCol w:w="302"/>
        <w:gridCol w:w="1006"/>
        <w:gridCol w:w="13"/>
        <w:gridCol w:w="262"/>
        <w:gridCol w:w="727"/>
        <w:gridCol w:w="568"/>
        <w:gridCol w:w="952"/>
        <w:gridCol w:w="955"/>
        <w:gridCol w:w="949"/>
        <w:gridCol w:w="1088"/>
        <w:gridCol w:w="1070"/>
        <w:gridCol w:w="1129"/>
        <w:gridCol w:w="1058"/>
        <w:gridCol w:w="3777"/>
      </w:tblGrid>
      <w:tr w14:paraId="692DA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blHeader/>
          <w:jc w:val="center"/>
        </w:trPr>
        <w:tc>
          <w:tcPr>
            <w:tcW w:w="105" w:type="pct"/>
            <w:vMerge w:val="restart"/>
            <w:noWrap w:val="0"/>
            <w:vAlign w:val="center"/>
          </w:tcPr>
          <w:p w14:paraId="559895CD">
            <w:pPr>
              <w:spacing w:line="260" w:lineRule="exact"/>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领域</w:t>
            </w:r>
          </w:p>
        </w:tc>
        <w:tc>
          <w:tcPr>
            <w:tcW w:w="212" w:type="pct"/>
            <w:vMerge w:val="restart"/>
            <w:noWrap w:val="0"/>
            <w:vAlign w:val="center"/>
          </w:tcPr>
          <w:p w14:paraId="3E2611FB">
            <w:pPr>
              <w:spacing w:line="260" w:lineRule="exact"/>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任务</w:t>
            </w:r>
          </w:p>
        </w:tc>
        <w:tc>
          <w:tcPr>
            <w:tcW w:w="102" w:type="pct"/>
            <w:vMerge w:val="restart"/>
            <w:noWrap w:val="0"/>
            <w:vAlign w:val="center"/>
          </w:tcPr>
          <w:p w14:paraId="252CF750">
            <w:pPr>
              <w:spacing w:line="260" w:lineRule="exact"/>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序号</w:t>
            </w:r>
          </w:p>
        </w:tc>
        <w:tc>
          <w:tcPr>
            <w:tcW w:w="678" w:type="pct"/>
            <w:gridSpan w:val="4"/>
            <w:vMerge w:val="restart"/>
            <w:noWrap w:val="0"/>
            <w:vAlign w:val="center"/>
          </w:tcPr>
          <w:p w14:paraId="5598CFE4">
            <w:pPr>
              <w:spacing w:line="260" w:lineRule="exact"/>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指标名称</w:t>
            </w:r>
          </w:p>
        </w:tc>
        <w:tc>
          <w:tcPr>
            <w:tcW w:w="192" w:type="pct"/>
            <w:vMerge w:val="restart"/>
            <w:noWrap w:val="0"/>
            <w:vAlign w:val="center"/>
          </w:tcPr>
          <w:p w14:paraId="1001E930">
            <w:pPr>
              <w:spacing w:line="260" w:lineRule="exact"/>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单位</w:t>
            </w:r>
          </w:p>
        </w:tc>
        <w:tc>
          <w:tcPr>
            <w:tcW w:w="644" w:type="pct"/>
            <w:gridSpan w:val="2"/>
            <w:noWrap w:val="0"/>
            <w:vAlign w:val="center"/>
          </w:tcPr>
          <w:p w14:paraId="1E50AFF7">
            <w:pPr>
              <w:spacing w:line="260" w:lineRule="exact"/>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指标值</w:t>
            </w:r>
          </w:p>
        </w:tc>
        <w:tc>
          <w:tcPr>
            <w:tcW w:w="1788" w:type="pct"/>
            <w:gridSpan w:val="5"/>
            <w:noWrap w:val="0"/>
            <w:vAlign w:val="center"/>
          </w:tcPr>
          <w:p w14:paraId="209C8E74">
            <w:pPr>
              <w:spacing w:line="260" w:lineRule="exact"/>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指标完成情况</w:t>
            </w:r>
          </w:p>
        </w:tc>
        <w:tc>
          <w:tcPr>
            <w:tcW w:w="1276" w:type="pct"/>
            <w:vMerge w:val="restart"/>
            <w:noWrap w:val="0"/>
            <w:vAlign w:val="center"/>
          </w:tcPr>
          <w:p w14:paraId="6AD18AAA">
            <w:pPr>
              <w:spacing w:line="260" w:lineRule="exact"/>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数据来源、计算过程</w:t>
            </w:r>
          </w:p>
        </w:tc>
      </w:tr>
      <w:tr w14:paraId="09339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tblHeader/>
          <w:jc w:val="center"/>
        </w:trPr>
        <w:tc>
          <w:tcPr>
            <w:tcW w:w="105" w:type="pct"/>
            <w:vMerge w:val="continue"/>
            <w:noWrap w:val="0"/>
            <w:vAlign w:val="center"/>
          </w:tcPr>
          <w:p w14:paraId="08426F17">
            <w:pPr>
              <w:spacing w:line="260" w:lineRule="exact"/>
              <w:jc w:val="center"/>
              <w:rPr>
                <w:rFonts w:hint="default" w:ascii="Times New Roman" w:hAnsi="Times New Roman" w:eastAsia="宋体" w:cs="Times New Roman"/>
                <w:b/>
                <w:color w:val="auto"/>
                <w:sz w:val="21"/>
                <w:szCs w:val="21"/>
              </w:rPr>
            </w:pPr>
          </w:p>
        </w:tc>
        <w:tc>
          <w:tcPr>
            <w:tcW w:w="212" w:type="pct"/>
            <w:vMerge w:val="continue"/>
            <w:noWrap w:val="0"/>
            <w:vAlign w:val="center"/>
          </w:tcPr>
          <w:p w14:paraId="4A3CCEA3">
            <w:pPr>
              <w:spacing w:line="260" w:lineRule="exact"/>
              <w:jc w:val="center"/>
              <w:rPr>
                <w:rFonts w:hint="default" w:ascii="Times New Roman" w:hAnsi="Times New Roman" w:eastAsia="宋体" w:cs="Times New Roman"/>
                <w:b/>
                <w:color w:val="auto"/>
                <w:sz w:val="21"/>
                <w:szCs w:val="21"/>
              </w:rPr>
            </w:pPr>
          </w:p>
        </w:tc>
        <w:tc>
          <w:tcPr>
            <w:tcW w:w="102" w:type="pct"/>
            <w:vMerge w:val="continue"/>
            <w:noWrap w:val="0"/>
            <w:vAlign w:val="center"/>
          </w:tcPr>
          <w:p w14:paraId="1C8C30AD">
            <w:pPr>
              <w:spacing w:line="260" w:lineRule="exact"/>
              <w:jc w:val="center"/>
              <w:rPr>
                <w:rFonts w:hint="default" w:ascii="Times New Roman" w:hAnsi="Times New Roman" w:eastAsia="宋体" w:cs="Times New Roman"/>
                <w:b/>
                <w:color w:val="auto"/>
                <w:sz w:val="21"/>
                <w:szCs w:val="21"/>
              </w:rPr>
            </w:pPr>
          </w:p>
        </w:tc>
        <w:tc>
          <w:tcPr>
            <w:tcW w:w="678" w:type="pct"/>
            <w:gridSpan w:val="4"/>
            <w:vMerge w:val="continue"/>
            <w:noWrap w:val="0"/>
            <w:vAlign w:val="center"/>
          </w:tcPr>
          <w:p w14:paraId="5BA3E8FA">
            <w:pPr>
              <w:spacing w:line="260" w:lineRule="exact"/>
              <w:jc w:val="center"/>
              <w:rPr>
                <w:rFonts w:hint="default" w:ascii="Times New Roman" w:hAnsi="Times New Roman" w:eastAsia="宋体" w:cs="Times New Roman"/>
                <w:b/>
                <w:color w:val="auto"/>
                <w:sz w:val="21"/>
                <w:szCs w:val="21"/>
              </w:rPr>
            </w:pPr>
          </w:p>
        </w:tc>
        <w:tc>
          <w:tcPr>
            <w:tcW w:w="192" w:type="pct"/>
            <w:vMerge w:val="continue"/>
            <w:noWrap w:val="0"/>
            <w:vAlign w:val="center"/>
          </w:tcPr>
          <w:p w14:paraId="71ED6D0F">
            <w:pPr>
              <w:spacing w:line="260" w:lineRule="exact"/>
              <w:jc w:val="center"/>
              <w:rPr>
                <w:rFonts w:hint="default" w:ascii="Times New Roman" w:hAnsi="Times New Roman" w:eastAsia="宋体" w:cs="Times New Roman"/>
                <w:b/>
                <w:color w:val="auto"/>
                <w:sz w:val="21"/>
                <w:szCs w:val="21"/>
              </w:rPr>
            </w:pPr>
          </w:p>
        </w:tc>
        <w:tc>
          <w:tcPr>
            <w:tcW w:w="321" w:type="pct"/>
            <w:noWrap w:val="0"/>
            <w:vAlign w:val="center"/>
          </w:tcPr>
          <w:p w14:paraId="434FB989">
            <w:pPr>
              <w:spacing w:line="260" w:lineRule="exact"/>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国家考核</w:t>
            </w:r>
          </w:p>
        </w:tc>
        <w:tc>
          <w:tcPr>
            <w:tcW w:w="322" w:type="pct"/>
            <w:noWrap w:val="0"/>
            <w:vAlign w:val="center"/>
          </w:tcPr>
          <w:p w14:paraId="190B12D1">
            <w:pPr>
              <w:spacing w:line="260" w:lineRule="exact"/>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省级考核</w:t>
            </w:r>
          </w:p>
        </w:tc>
        <w:tc>
          <w:tcPr>
            <w:tcW w:w="320" w:type="pct"/>
            <w:noWrap w:val="0"/>
            <w:vAlign w:val="center"/>
          </w:tcPr>
          <w:p w14:paraId="42227FE6">
            <w:pPr>
              <w:spacing w:line="260" w:lineRule="exact"/>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201</w:t>
            </w:r>
            <w:r>
              <w:rPr>
                <w:rFonts w:hint="default" w:ascii="Times New Roman" w:hAnsi="Times New Roman" w:eastAsia="宋体" w:cs="Times New Roman"/>
                <w:b/>
                <w:color w:val="auto"/>
                <w:sz w:val="21"/>
                <w:szCs w:val="21"/>
                <w:lang w:val="en-US" w:eastAsia="zh-CN"/>
              </w:rPr>
              <w:t>7</w:t>
            </w:r>
            <w:r>
              <w:rPr>
                <w:rFonts w:hint="default" w:ascii="Times New Roman" w:hAnsi="Times New Roman" w:eastAsia="宋体" w:cs="Times New Roman"/>
                <w:b/>
                <w:color w:val="auto"/>
                <w:sz w:val="21"/>
                <w:szCs w:val="21"/>
              </w:rPr>
              <w:t>年</w:t>
            </w:r>
          </w:p>
        </w:tc>
        <w:tc>
          <w:tcPr>
            <w:tcW w:w="367" w:type="pct"/>
            <w:noWrap w:val="0"/>
            <w:vAlign w:val="center"/>
          </w:tcPr>
          <w:p w14:paraId="3753A989">
            <w:pPr>
              <w:spacing w:line="260" w:lineRule="exact"/>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201</w:t>
            </w:r>
            <w:r>
              <w:rPr>
                <w:rFonts w:hint="default" w:ascii="Times New Roman" w:hAnsi="Times New Roman" w:eastAsia="宋体" w:cs="Times New Roman"/>
                <w:b/>
                <w:color w:val="auto"/>
                <w:sz w:val="21"/>
                <w:szCs w:val="21"/>
                <w:lang w:val="en-US" w:eastAsia="zh-CN"/>
              </w:rPr>
              <w:t>8</w:t>
            </w:r>
            <w:r>
              <w:rPr>
                <w:rFonts w:hint="default" w:ascii="Times New Roman" w:hAnsi="Times New Roman" w:eastAsia="宋体" w:cs="Times New Roman"/>
                <w:b/>
                <w:color w:val="auto"/>
                <w:sz w:val="21"/>
                <w:szCs w:val="21"/>
              </w:rPr>
              <w:t>年</w:t>
            </w:r>
          </w:p>
        </w:tc>
        <w:tc>
          <w:tcPr>
            <w:tcW w:w="361" w:type="pct"/>
            <w:noWrap w:val="0"/>
            <w:vAlign w:val="center"/>
          </w:tcPr>
          <w:p w14:paraId="1CC0022D">
            <w:pPr>
              <w:spacing w:line="260" w:lineRule="exact"/>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201</w:t>
            </w:r>
            <w:r>
              <w:rPr>
                <w:rFonts w:hint="default" w:ascii="Times New Roman" w:hAnsi="Times New Roman" w:eastAsia="宋体" w:cs="Times New Roman"/>
                <w:b/>
                <w:color w:val="auto"/>
                <w:sz w:val="21"/>
                <w:szCs w:val="21"/>
                <w:lang w:val="en-US" w:eastAsia="zh-CN"/>
              </w:rPr>
              <w:t>9</w:t>
            </w:r>
            <w:r>
              <w:rPr>
                <w:rFonts w:hint="default" w:ascii="Times New Roman" w:hAnsi="Times New Roman" w:eastAsia="宋体" w:cs="Times New Roman"/>
                <w:b/>
                <w:color w:val="auto"/>
                <w:sz w:val="21"/>
                <w:szCs w:val="21"/>
              </w:rPr>
              <w:t>年</w:t>
            </w:r>
          </w:p>
        </w:tc>
        <w:tc>
          <w:tcPr>
            <w:tcW w:w="381" w:type="pct"/>
            <w:noWrap w:val="0"/>
            <w:vAlign w:val="center"/>
          </w:tcPr>
          <w:p w14:paraId="4AEB8DDD">
            <w:pPr>
              <w:spacing w:line="260" w:lineRule="exact"/>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20</w:t>
            </w:r>
            <w:r>
              <w:rPr>
                <w:rFonts w:hint="default" w:ascii="Times New Roman" w:hAnsi="Times New Roman" w:eastAsia="宋体" w:cs="Times New Roman"/>
                <w:b/>
                <w:color w:val="auto"/>
                <w:sz w:val="21"/>
                <w:szCs w:val="21"/>
                <w:lang w:val="en-US" w:eastAsia="zh-CN"/>
              </w:rPr>
              <w:t>20</w:t>
            </w:r>
            <w:r>
              <w:rPr>
                <w:rFonts w:hint="default" w:ascii="Times New Roman" w:hAnsi="Times New Roman" w:eastAsia="宋体" w:cs="Times New Roman"/>
                <w:b/>
                <w:color w:val="auto"/>
                <w:sz w:val="21"/>
                <w:szCs w:val="21"/>
              </w:rPr>
              <w:t>年</w:t>
            </w:r>
          </w:p>
        </w:tc>
        <w:tc>
          <w:tcPr>
            <w:tcW w:w="357" w:type="pct"/>
            <w:noWrap w:val="0"/>
            <w:vAlign w:val="center"/>
          </w:tcPr>
          <w:p w14:paraId="4C43BE19">
            <w:pPr>
              <w:spacing w:line="260" w:lineRule="exact"/>
              <w:jc w:val="center"/>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202</w:t>
            </w:r>
            <w:r>
              <w:rPr>
                <w:rFonts w:hint="default" w:ascii="Times New Roman" w:hAnsi="Times New Roman" w:eastAsia="宋体" w:cs="Times New Roman"/>
                <w:b/>
                <w:color w:val="auto"/>
                <w:sz w:val="21"/>
                <w:szCs w:val="21"/>
                <w:lang w:val="en-US" w:eastAsia="zh-CN"/>
              </w:rPr>
              <w:t>1</w:t>
            </w:r>
            <w:r>
              <w:rPr>
                <w:rFonts w:hint="default" w:ascii="Times New Roman" w:hAnsi="Times New Roman" w:eastAsia="宋体" w:cs="Times New Roman"/>
                <w:b/>
                <w:color w:val="auto"/>
                <w:sz w:val="21"/>
                <w:szCs w:val="21"/>
              </w:rPr>
              <w:t>年</w:t>
            </w:r>
          </w:p>
        </w:tc>
        <w:tc>
          <w:tcPr>
            <w:tcW w:w="1276" w:type="pct"/>
            <w:vMerge w:val="continue"/>
            <w:noWrap w:val="0"/>
            <w:vAlign w:val="center"/>
          </w:tcPr>
          <w:p w14:paraId="222F2B87">
            <w:pPr>
              <w:spacing w:line="260" w:lineRule="exact"/>
              <w:jc w:val="center"/>
              <w:rPr>
                <w:rFonts w:hint="default" w:ascii="Times New Roman" w:hAnsi="Times New Roman" w:eastAsia="宋体" w:cs="Times New Roman"/>
                <w:b/>
                <w:color w:val="auto"/>
                <w:sz w:val="21"/>
                <w:szCs w:val="21"/>
              </w:rPr>
            </w:pPr>
          </w:p>
        </w:tc>
      </w:tr>
      <w:tr w14:paraId="480BF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94" w:hRule="atLeast"/>
          <w:jc w:val="center"/>
        </w:trPr>
        <w:tc>
          <w:tcPr>
            <w:tcW w:w="105" w:type="pct"/>
            <w:vMerge w:val="restart"/>
            <w:noWrap w:val="0"/>
            <w:vAlign w:val="center"/>
          </w:tcPr>
          <w:p w14:paraId="1EE53B9C">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生态制度</w:t>
            </w:r>
          </w:p>
        </w:tc>
        <w:tc>
          <w:tcPr>
            <w:tcW w:w="212" w:type="pct"/>
            <w:vMerge w:val="restart"/>
            <w:noWrap w:val="0"/>
            <w:vAlign w:val="center"/>
          </w:tcPr>
          <w:p w14:paraId="0C000757">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（一）</w:t>
            </w:r>
          </w:p>
          <w:p w14:paraId="640B8DC7">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目标责任体系与制度建设</w:t>
            </w:r>
          </w:p>
        </w:tc>
        <w:tc>
          <w:tcPr>
            <w:tcW w:w="102" w:type="pct"/>
            <w:noWrap w:val="0"/>
            <w:vAlign w:val="center"/>
          </w:tcPr>
          <w:p w14:paraId="773A2468">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1</w:t>
            </w:r>
          </w:p>
        </w:tc>
        <w:tc>
          <w:tcPr>
            <w:tcW w:w="678" w:type="pct"/>
            <w:gridSpan w:val="4"/>
            <w:noWrap w:val="0"/>
            <w:vAlign w:val="center"/>
          </w:tcPr>
          <w:p w14:paraId="0F7E1E53">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生态文明建设示范区规划</w:t>
            </w:r>
          </w:p>
        </w:tc>
        <w:tc>
          <w:tcPr>
            <w:tcW w:w="192" w:type="pct"/>
            <w:noWrap w:val="0"/>
            <w:vAlign w:val="center"/>
          </w:tcPr>
          <w:p w14:paraId="4E8BF76B">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w:t>
            </w:r>
          </w:p>
        </w:tc>
        <w:tc>
          <w:tcPr>
            <w:tcW w:w="321" w:type="pct"/>
            <w:noWrap w:val="0"/>
            <w:vAlign w:val="center"/>
          </w:tcPr>
          <w:p w14:paraId="2C19E49C">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制定实施</w:t>
            </w:r>
          </w:p>
        </w:tc>
        <w:tc>
          <w:tcPr>
            <w:tcW w:w="322" w:type="pct"/>
            <w:noWrap w:val="0"/>
            <w:vAlign w:val="center"/>
          </w:tcPr>
          <w:p w14:paraId="3C2D7BB1">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制定实施</w:t>
            </w:r>
          </w:p>
        </w:tc>
        <w:tc>
          <w:tcPr>
            <w:tcW w:w="320" w:type="pct"/>
            <w:noWrap w:val="0"/>
            <w:vAlign w:val="center"/>
          </w:tcPr>
          <w:p w14:paraId="2553C3F5">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制定实施</w:t>
            </w:r>
          </w:p>
        </w:tc>
        <w:tc>
          <w:tcPr>
            <w:tcW w:w="367" w:type="pct"/>
            <w:noWrap w:val="0"/>
            <w:vAlign w:val="center"/>
          </w:tcPr>
          <w:p w14:paraId="1E33E0EA">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制定实施</w:t>
            </w:r>
          </w:p>
        </w:tc>
        <w:tc>
          <w:tcPr>
            <w:tcW w:w="361" w:type="pct"/>
            <w:noWrap w:val="0"/>
            <w:vAlign w:val="center"/>
          </w:tcPr>
          <w:p w14:paraId="1F33EB9A">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制定实施</w:t>
            </w:r>
          </w:p>
        </w:tc>
        <w:tc>
          <w:tcPr>
            <w:tcW w:w="381" w:type="pct"/>
            <w:noWrap w:val="0"/>
            <w:vAlign w:val="center"/>
          </w:tcPr>
          <w:p w14:paraId="1E11C8F9">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制定实施</w:t>
            </w:r>
          </w:p>
        </w:tc>
        <w:tc>
          <w:tcPr>
            <w:tcW w:w="357" w:type="pct"/>
            <w:noWrap w:val="0"/>
            <w:vAlign w:val="center"/>
          </w:tcPr>
          <w:p w14:paraId="40F91705">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制定实施</w:t>
            </w:r>
          </w:p>
        </w:tc>
        <w:tc>
          <w:tcPr>
            <w:tcW w:w="1276" w:type="pct"/>
            <w:noWrap w:val="0"/>
            <w:vAlign w:val="center"/>
          </w:tcPr>
          <w:p w14:paraId="4245D48C">
            <w:pPr>
              <w:spacing w:line="260" w:lineRule="exact"/>
              <w:jc w:val="left"/>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lang w:val="en-US" w:eastAsia="zh-CN"/>
              </w:rPr>
              <w:t>2013年初开展了《新平彝族傣族自治县生态县建设规划（2012年</w:t>
            </w:r>
            <w:r>
              <w:rPr>
                <w:rFonts w:hint="eastAsia" w:ascii="Times New Roman" w:hAnsi="Times New Roman" w:eastAsia="仿宋" w:cs="Times New Roman"/>
                <w:color w:val="auto"/>
                <w:sz w:val="21"/>
                <w:szCs w:val="21"/>
                <w:lang w:val="en-US" w:eastAsia="zh-CN"/>
              </w:rPr>
              <w:t>—</w:t>
            </w:r>
            <w:r>
              <w:rPr>
                <w:rFonts w:hint="default" w:ascii="Times New Roman" w:hAnsi="Times New Roman" w:eastAsia="仿宋" w:cs="Times New Roman"/>
                <w:color w:val="auto"/>
                <w:sz w:val="21"/>
                <w:szCs w:val="21"/>
                <w:lang w:val="en-US" w:eastAsia="zh-CN"/>
              </w:rPr>
              <w:t>2020年）》编制工作，并于2013年10月批准实施。201</w:t>
            </w:r>
            <w:r>
              <w:rPr>
                <w:rFonts w:hint="eastAsia" w:ascii="Times New Roman" w:hAnsi="Times New Roman" w:eastAsia="仿宋" w:cs="Times New Roman"/>
                <w:color w:val="auto"/>
                <w:sz w:val="21"/>
                <w:szCs w:val="21"/>
                <w:lang w:val="en-US" w:eastAsia="zh-CN"/>
              </w:rPr>
              <w:t>8</w:t>
            </w:r>
            <w:r>
              <w:rPr>
                <w:rFonts w:hint="default" w:ascii="Times New Roman" w:hAnsi="Times New Roman" w:eastAsia="仿宋" w:cs="Times New Roman"/>
                <w:color w:val="auto"/>
                <w:sz w:val="21"/>
                <w:szCs w:val="21"/>
                <w:lang w:val="en-US" w:eastAsia="zh-CN"/>
              </w:rPr>
              <w:t>年开展了《新平国家生态文明建设示范县规划（2017</w:t>
            </w:r>
            <w:r>
              <w:rPr>
                <w:rFonts w:hint="eastAsia" w:ascii="Times New Roman" w:hAnsi="Times New Roman" w:eastAsia="仿宋" w:cs="Times New Roman"/>
                <w:color w:val="auto"/>
                <w:sz w:val="21"/>
                <w:szCs w:val="21"/>
                <w:lang w:val="en-US" w:eastAsia="zh-CN"/>
              </w:rPr>
              <w:t>—</w:t>
            </w:r>
            <w:r>
              <w:rPr>
                <w:rFonts w:hint="default" w:ascii="Times New Roman" w:hAnsi="Times New Roman" w:eastAsia="仿宋" w:cs="Times New Roman"/>
                <w:color w:val="auto"/>
                <w:sz w:val="21"/>
                <w:szCs w:val="21"/>
                <w:lang w:val="en-US" w:eastAsia="zh-CN"/>
              </w:rPr>
              <w:t>2020年）》编制工作，并于2019年4月印发实施。</w:t>
            </w:r>
            <w:r>
              <w:rPr>
                <w:rFonts w:hint="default" w:ascii="Times New Roman" w:hAnsi="Times New Roman" w:eastAsia="仿宋" w:cs="Times New Roman"/>
                <w:color w:val="auto"/>
                <w:sz w:val="21"/>
                <w:szCs w:val="21"/>
              </w:rPr>
              <w:t>2022年</w:t>
            </w:r>
            <w:r>
              <w:rPr>
                <w:rFonts w:hint="eastAsia" w:ascii="Times New Roman" w:hAnsi="Times New Roman" w:eastAsia="仿宋" w:cs="Times New Roman"/>
                <w:color w:val="auto"/>
                <w:sz w:val="21"/>
                <w:szCs w:val="21"/>
                <w:lang w:val="en-US" w:eastAsia="zh-CN"/>
              </w:rPr>
              <w:t>11</w:t>
            </w:r>
            <w:r>
              <w:rPr>
                <w:rFonts w:hint="default" w:ascii="Times New Roman" w:hAnsi="Times New Roman" w:eastAsia="仿宋" w:cs="Times New Roman"/>
                <w:color w:val="auto"/>
                <w:sz w:val="21"/>
                <w:szCs w:val="21"/>
              </w:rPr>
              <w:t>月启动编《</w:t>
            </w:r>
            <w:r>
              <w:rPr>
                <w:rFonts w:hint="eastAsia" w:ascii="Times New Roman" w:hAnsi="Times New Roman" w:eastAsia="仿宋" w:cs="Times New Roman"/>
                <w:color w:val="auto"/>
                <w:sz w:val="21"/>
                <w:szCs w:val="21"/>
                <w:lang w:val="en-US" w:eastAsia="zh-CN"/>
              </w:rPr>
              <w:t>新平县</w:t>
            </w:r>
            <w:r>
              <w:rPr>
                <w:rFonts w:hint="default" w:ascii="Times New Roman" w:hAnsi="Times New Roman" w:eastAsia="仿宋" w:cs="Times New Roman"/>
                <w:color w:val="auto"/>
                <w:sz w:val="21"/>
                <w:szCs w:val="21"/>
              </w:rPr>
              <w:t>生态文明建设示范区规划（20</w:t>
            </w:r>
            <w:r>
              <w:rPr>
                <w:rFonts w:hint="default" w:ascii="Times New Roman" w:hAnsi="Times New Roman" w:eastAsia="仿宋" w:cs="Times New Roman"/>
                <w:color w:val="auto"/>
                <w:sz w:val="21"/>
                <w:szCs w:val="21"/>
                <w:lang w:val="en-US" w:eastAsia="zh-CN"/>
              </w:rPr>
              <w:t>22</w:t>
            </w:r>
            <w:r>
              <w:rPr>
                <w:rFonts w:hint="eastAsia" w:ascii="Times New Roman" w:hAnsi="Times New Roman" w:eastAsia="仿宋" w:cs="Times New Roman"/>
                <w:color w:val="auto"/>
                <w:sz w:val="21"/>
                <w:szCs w:val="21"/>
                <w:lang w:val="en-US" w:eastAsia="zh-CN"/>
              </w:rPr>
              <w:t>—</w:t>
            </w:r>
            <w:r>
              <w:rPr>
                <w:rFonts w:hint="default" w:ascii="Times New Roman" w:hAnsi="Times New Roman" w:eastAsia="仿宋" w:cs="Times New Roman"/>
                <w:color w:val="auto"/>
                <w:sz w:val="21"/>
                <w:szCs w:val="21"/>
                <w:lang w:eastAsia="zh-CN"/>
              </w:rPr>
              <w:t>203</w:t>
            </w:r>
            <w:r>
              <w:rPr>
                <w:rFonts w:hint="eastAsia" w:ascii="Times New Roman" w:hAnsi="Times New Roman" w:eastAsia="仿宋" w:cs="Times New Roman"/>
                <w:color w:val="auto"/>
                <w:sz w:val="21"/>
                <w:szCs w:val="21"/>
                <w:lang w:val="en-US" w:eastAsia="zh-CN"/>
              </w:rPr>
              <w:t>5</w:t>
            </w:r>
            <w:r>
              <w:rPr>
                <w:rFonts w:hint="default" w:ascii="Times New Roman" w:hAnsi="Times New Roman" w:eastAsia="仿宋" w:cs="Times New Roman"/>
                <w:color w:val="auto"/>
                <w:sz w:val="21"/>
                <w:szCs w:val="21"/>
                <w:lang w:eastAsia="zh-CN"/>
              </w:rPr>
              <w:t>年</w:t>
            </w:r>
            <w:r>
              <w:rPr>
                <w:rFonts w:hint="default" w:ascii="Times New Roman" w:hAnsi="Times New Roman" w:eastAsia="仿宋" w:cs="Times New Roman"/>
                <w:color w:val="auto"/>
                <w:sz w:val="21"/>
                <w:szCs w:val="21"/>
              </w:rPr>
              <w:t>）》制，预计202</w:t>
            </w:r>
            <w:r>
              <w:rPr>
                <w:rFonts w:hint="eastAsia" w:ascii="Times New Roman" w:hAnsi="Times New Roman" w:eastAsia="仿宋" w:cs="Times New Roman"/>
                <w:color w:val="auto"/>
                <w:sz w:val="21"/>
                <w:szCs w:val="21"/>
                <w:lang w:val="en-US" w:eastAsia="zh-CN"/>
              </w:rPr>
              <w:t>3</w:t>
            </w:r>
            <w:r>
              <w:rPr>
                <w:rFonts w:hint="default" w:ascii="Times New Roman" w:hAnsi="Times New Roman" w:eastAsia="仿宋" w:cs="Times New Roman"/>
                <w:color w:val="auto"/>
                <w:sz w:val="21"/>
                <w:szCs w:val="21"/>
              </w:rPr>
              <w:t>年完成编制，通过审查，</w:t>
            </w:r>
            <w:r>
              <w:rPr>
                <w:rFonts w:hint="eastAsia" w:ascii="Times New Roman" w:hAnsi="Times New Roman" w:eastAsia="仿宋" w:cs="Times New Roman"/>
                <w:color w:val="auto"/>
                <w:sz w:val="21"/>
                <w:szCs w:val="21"/>
                <w:lang w:val="en-US" w:eastAsia="zh-CN"/>
              </w:rPr>
              <w:t>县</w:t>
            </w:r>
            <w:r>
              <w:rPr>
                <w:rFonts w:hint="default" w:ascii="Times New Roman" w:hAnsi="Times New Roman" w:eastAsia="仿宋" w:cs="Times New Roman"/>
                <w:color w:val="auto"/>
                <w:sz w:val="21"/>
                <w:szCs w:val="21"/>
              </w:rPr>
              <w:t>人大或区政府审议后颁布实施。</w:t>
            </w:r>
          </w:p>
        </w:tc>
      </w:tr>
      <w:tr w14:paraId="6C6FA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05" w:type="pct"/>
            <w:vMerge w:val="continue"/>
            <w:noWrap w:val="0"/>
            <w:vAlign w:val="center"/>
          </w:tcPr>
          <w:p w14:paraId="74F89DDE">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212" w:type="pct"/>
            <w:vMerge w:val="continue"/>
            <w:noWrap w:val="0"/>
            <w:vAlign w:val="center"/>
          </w:tcPr>
          <w:p w14:paraId="53ABF192">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102" w:type="pct"/>
            <w:noWrap w:val="0"/>
            <w:vAlign w:val="center"/>
          </w:tcPr>
          <w:p w14:paraId="4939E616">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2</w:t>
            </w:r>
          </w:p>
        </w:tc>
        <w:tc>
          <w:tcPr>
            <w:tcW w:w="678" w:type="pct"/>
            <w:gridSpan w:val="4"/>
            <w:noWrap w:val="0"/>
            <w:vAlign w:val="center"/>
          </w:tcPr>
          <w:p w14:paraId="2E1693B7">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党委政府对生态文明建设的安排部署、责任落实以及生态文明制度的落实情况</w:t>
            </w:r>
          </w:p>
        </w:tc>
        <w:tc>
          <w:tcPr>
            <w:tcW w:w="192" w:type="pct"/>
            <w:noWrap w:val="0"/>
            <w:vAlign w:val="center"/>
          </w:tcPr>
          <w:p w14:paraId="0EFEC64D">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w:t>
            </w:r>
          </w:p>
        </w:tc>
        <w:tc>
          <w:tcPr>
            <w:tcW w:w="321" w:type="pct"/>
            <w:noWrap w:val="0"/>
            <w:vAlign w:val="center"/>
          </w:tcPr>
          <w:p w14:paraId="5FE2109A">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有效开展</w:t>
            </w:r>
          </w:p>
        </w:tc>
        <w:tc>
          <w:tcPr>
            <w:tcW w:w="322" w:type="pct"/>
            <w:noWrap w:val="0"/>
            <w:vAlign w:val="center"/>
          </w:tcPr>
          <w:p w14:paraId="22BD7C1A">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有效开展和实施</w:t>
            </w:r>
          </w:p>
        </w:tc>
        <w:tc>
          <w:tcPr>
            <w:tcW w:w="320" w:type="pct"/>
            <w:noWrap w:val="0"/>
            <w:vAlign w:val="center"/>
          </w:tcPr>
          <w:p w14:paraId="2EE30938">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有效开展和实施</w:t>
            </w:r>
          </w:p>
        </w:tc>
        <w:tc>
          <w:tcPr>
            <w:tcW w:w="367" w:type="pct"/>
            <w:noWrap w:val="0"/>
            <w:vAlign w:val="center"/>
          </w:tcPr>
          <w:p w14:paraId="3BB72AE8">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有效开展和实施</w:t>
            </w:r>
          </w:p>
        </w:tc>
        <w:tc>
          <w:tcPr>
            <w:tcW w:w="361" w:type="pct"/>
            <w:noWrap w:val="0"/>
            <w:vAlign w:val="center"/>
          </w:tcPr>
          <w:p w14:paraId="11D521A9">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有效开展和实施</w:t>
            </w:r>
          </w:p>
        </w:tc>
        <w:tc>
          <w:tcPr>
            <w:tcW w:w="381" w:type="pct"/>
            <w:noWrap w:val="0"/>
            <w:vAlign w:val="center"/>
          </w:tcPr>
          <w:p w14:paraId="48E72954">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有效开展和实施</w:t>
            </w:r>
          </w:p>
        </w:tc>
        <w:tc>
          <w:tcPr>
            <w:tcW w:w="357" w:type="pct"/>
            <w:noWrap w:val="0"/>
            <w:vAlign w:val="center"/>
          </w:tcPr>
          <w:p w14:paraId="72836FB9">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有效开展和实施</w:t>
            </w:r>
          </w:p>
        </w:tc>
        <w:tc>
          <w:tcPr>
            <w:tcW w:w="1276" w:type="pct"/>
            <w:noWrap w:val="0"/>
            <w:vAlign w:val="center"/>
          </w:tcPr>
          <w:p w14:paraId="6BB31948">
            <w:pPr>
              <w:spacing w:line="260" w:lineRule="exact"/>
              <w:jc w:val="left"/>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根据</w:t>
            </w:r>
            <w:r>
              <w:rPr>
                <w:rFonts w:hint="eastAsia" w:ascii="Times New Roman" w:hAnsi="Times New Roman" w:eastAsia="仿宋" w:cs="Times New Roman"/>
                <w:color w:val="auto"/>
                <w:sz w:val="21"/>
                <w:szCs w:val="21"/>
                <w:lang w:val="en-US" w:eastAsia="zh-CN"/>
              </w:rPr>
              <w:t>县</w:t>
            </w:r>
            <w:r>
              <w:rPr>
                <w:rFonts w:hint="default" w:ascii="Times New Roman" w:hAnsi="Times New Roman" w:eastAsia="仿宋" w:cs="Times New Roman"/>
                <w:color w:val="auto"/>
                <w:sz w:val="21"/>
                <w:szCs w:val="21"/>
              </w:rPr>
              <w:t>委常委会、政府常务会会议纪要，党委政府有效宣传生态文明建设精神、部署生态文明建设重大目标任务。</w:t>
            </w:r>
          </w:p>
        </w:tc>
      </w:tr>
      <w:tr w14:paraId="57ED3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05" w:type="pct"/>
            <w:vMerge w:val="continue"/>
            <w:noWrap w:val="0"/>
            <w:vAlign w:val="center"/>
          </w:tcPr>
          <w:p w14:paraId="57E0D876">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212" w:type="pct"/>
            <w:vMerge w:val="continue"/>
            <w:noWrap w:val="0"/>
            <w:vAlign w:val="center"/>
          </w:tcPr>
          <w:p w14:paraId="29BF3898">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102" w:type="pct"/>
            <w:noWrap w:val="0"/>
            <w:vAlign w:val="center"/>
          </w:tcPr>
          <w:p w14:paraId="66E53867">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3</w:t>
            </w:r>
          </w:p>
        </w:tc>
        <w:tc>
          <w:tcPr>
            <w:tcW w:w="678" w:type="pct"/>
            <w:gridSpan w:val="4"/>
            <w:noWrap w:val="0"/>
            <w:vAlign w:val="center"/>
          </w:tcPr>
          <w:p w14:paraId="2032C81A">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生态文明建设工作占党政实绩考核的比例</w:t>
            </w:r>
          </w:p>
        </w:tc>
        <w:tc>
          <w:tcPr>
            <w:tcW w:w="192" w:type="pct"/>
            <w:noWrap w:val="0"/>
            <w:vAlign w:val="center"/>
          </w:tcPr>
          <w:p w14:paraId="2F590FCE">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w:t>
            </w:r>
          </w:p>
        </w:tc>
        <w:tc>
          <w:tcPr>
            <w:tcW w:w="321" w:type="pct"/>
            <w:noWrap w:val="0"/>
            <w:vAlign w:val="center"/>
          </w:tcPr>
          <w:p w14:paraId="695C1E99">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≥20</w:t>
            </w:r>
          </w:p>
        </w:tc>
        <w:tc>
          <w:tcPr>
            <w:tcW w:w="322" w:type="pct"/>
            <w:noWrap w:val="0"/>
            <w:vAlign w:val="center"/>
          </w:tcPr>
          <w:p w14:paraId="76BAC5A4">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≥20</w:t>
            </w:r>
          </w:p>
        </w:tc>
        <w:tc>
          <w:tcPr>
            <w:tcW w:w="320" w:type="pct"/>
            <w:noWrap w:val="0"/>
            <w:vAlign w:val="center"/>
          </w:tcPr>
          <w:p w14:paraId="3F078EA3">
            <w:pPr>
              <w:spacing w:line="260" w:lineRule="exact"/>
              <w:jc w:val="center"/>
              <w:rPr>
                <w:rFonts w:hint="eastAsia" w:ascii="Times New Roman" w:hAnsi="Times New Roman" w:eastAsia="仿宋" w:cs="Times New Roman"/>
                <w:color w:val="auto"/>
                <w:kern w:val="2"/>
                <w:sz w:val="21"/>
                <w:szCs w:val="21"/>
                <w:lang w:val="en-US" w:eastAsia="zh-CN" w:bidi="ar-SA"/>
              </w:rPr>
            </w:pPr>
            <w:r>
              <w:rPr>
                <w:rFonts w:hint="eastAsia" w:ascii="Times New Roman" w:hAnsi="Times New Roman" w:eastAsia="仿宋" w:cs="Times New Roman"/>
                <w:color w:val="auto"/>
                <w:kern w:val="2"/>
                <w:sz w:val="21"/>
                <w:szCs w:val="21"/>
                <w:lang w:val="en-US" w:eastAsia="zh-CN" w:bidi="ar-SA"/>
              </w:rPr>
              <w:t>/</w:t>
            </w:r>
          </w:p>
        </w:tc>
        <w:tc>
          <w:tcPr>
            <w:tcW w:w="367" w:type="pct"/>
            <w:noWrap w:val="0"/>
            <w:vAlign w:val="center"/>
          </w:tcPr>
          <w:p w14:paraId="070D3DB6">
            <w:pPr>
              <w:spacing w:line="260" w:lineRule="exact"/>
              <w:jc w:val="center"/>
              <w:rPr>
                <w:rFonts w:hint="eastAsia" w:ascii="Times New Roman" w:hAnsi="Times New Roman" w:eastAsia="仿宋" w:cs="Times New Roman"/>
                <w:color w:val="auto"/>
                <w:kern w:val="2"/>
                <w:sz w:val="21"/>
                <w:szCs w:val="21"/>
                <w:lang w:val="en-US" w:eastAsia="zh-CN" w:bidi="ar-SA"/>
              </w:rPr>
            </w:pPr>
            <w:r>
              <w:rPr>
                <w:rFonts w:hint="eastAsia" w:ascii="Times New Roman" w:hAnsi="Times New Roman" w:eastAsia="仿宋" w:cs="Times New Roman"/>
                <w:color w:val="auto"/>
                <w:kern w:val="2"/>
                <w:sz w:val="21"/>
                <w:szCs w:val="21"/>
                <w:lang w:val="en-US" w:eastAsia="zh-CN" w:bidi="ar-SA"/>
              </w:rPr>
              <w:t>/</w:t>
            </w:r>
          </w:p>
        </w:tc>
        <w:tc>
          <w:tcPr>
            <w:tcW w:w="361" w:type="pct"/>
            <w:noWrap w:val="0"/>
            <w:vAlign w:val="center"/>
          </w:tcPr>
          <w:p w14:paraId="3A19B013">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eastAsia" w:ascii="Times New Roman" w:hAnsi="Times New Roman" w:eastAsia="仿宋" w:cs="Times New Roman"/>
                <w:color w:val="auto"/>
                <w:kern w:val="2"/>
                <w:sz w:val="21"/>
                <w:szCs w:val="21"/>
                <w:lang w:val="en-US" w:eastAsia="zh-CN" w:bidi="ar-SA"/>
              </w:rPr>
              <w:t>20.5</w:t>
            </w:r>
          </w:p>
        </w:tc>
        <w:tc>
          <w:tcPr>
            <w:tcW w:w="381" w:type="pct"/>
            <w:noWrap w:val="0"/>
            <w:vAlign w:val="center"/>
          </w:tcPr>
          <w:p w14:paraId="37BAB8D5">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eastAsia" w:ascii="Times New Roman" w:hAnsi="Times New Roman" w:eastAsia="仿宋" w:cs="Times New Roman"/>
                <w:color w:val="auto"/>
                <w:kern w:val="2"/>
                <w:sz w:val="21"/>
                <w:szCs w:val="21"/>
                <w:lang w:val="en-US" w:eastAsia="zh-CN" w:bidi="ar-SA"/>
              </w:rPr>
              <w:t>21</w:t>
            </w:r>
          </w:p>
        </w:tc>
        <w:tc>
          <w:tcPr>
            <w:tcW w:w="357" w:type="pct"/>
            <w:noWrap w:val="0"/>
            <w:vAlign w:val="center"/>
          </w:tcPr>
          <w:p w14:paraId="5DE53876">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eastAsia" w:ascii="Times New Roman" w:hAnsi="Times New Roman" w:eastAsia="仿宋" w:cs="Times New Roman"/>
                <w:color w:val="auto"/>
                <w:kern w:val="2"/>
                <w:sz w:val="21"/>
                <w:szCs w:val="21"/>
                <w:lang w:val="en-US" w:eastAsia="zh-CN" w:bidi="ar-SA"/>
              </w:rPr>
              <w:t>21.4</w:t>
            </w:r>
          </w:p>
        </w:tc>
        <w:tc>
          <w:tcPr>
            <w:tcW w:w="1276" w:type="pct"/>
            <w:noWrap w:val="0"/>
            <w:vAlign w:val="center"/>
          </w:tcPr>
          <w:p w14:paraId="081478A1">
            <w:pPr>
              <w:spacing w:line="260" w:lineRule="exact"/>
              <w:jc w:val="left"/>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根据201</w:t>
            </w:r>
            <w:r>
              <w:rPr>
                <w:rFonts w:hint="eastAsia" w:ascii="Times New Roman" w:hAnsi="Times New Roman" w:eastAsia="仿宋" w:cs="Times New Roman"/>
                <w:color w:val="auto"/>
                <w:sz w:val="21"/>
                <w:szCs w:val="21"/>
                <w:lang w:val="en-US" w:eastAsia="zh-CN"/>
              </w:rPr>
              <w:t>9—</w:t>
            </w:r>
            <w:r>
              <w:rPr>
                <w:rFonts w:hint="default" w:ascii="Times New Roman" w:hAnsi="Times New Roman" w:eastAsia="仿宋" w:cs="Times New Roman"/>
                <w:color w:val="auto"/>
                <w:sz w:val="21"/>
                <w:szCs w:val="21"/>
              </w:rPr>
              <w:t>202</w:t>
            </w:r>
            <w:r>
              <w:rPr>
                <w:rFonts w:hint="eastAsia" w:ascii="Times New Roman" w:hAnsi="Times New Roman" w:eastAsia="仿宋" w:cs="Times New Roman"/>
                <w:color w:val="auto"/>
                <w:sz w:val="21"/>
                <w:szCs w:val="21"/>
                <w:lang w:val="en-US" w:eastAsia="zh-CN"/>
              </w:rPr>
              <w:t>1</w:t>
            </w:r>
            <w:r>
              <w:rPr>
                <w:rFonts w:hint="default" w:ascii="Times New Roman" w:hAnsi="Times New Roman" w:eastAsia="仿宋" w:cs="Times New Roman"/>
                <w:color w:val="auto"/>
                <w:sz w:val="21"/>
                <w:szCs w:val="21"/>
              </w:rPr>
              <w:t>年中共</w:t>
            </w:r>
            <w:r>
              <w:rPr>
                <w:rFonts w:hint="eastAsia" w:ascii="Times New Roman" w:hAnsi="Times New Roman" w:eastAsia="仿宋" w:cs="Times New Roman"/>
                <w:color w:val="auto"/>
                <w:sz w:val="21"/>
                <w:szCs w:val="21"/>
                <w:lang w:val="en-US" w:eastAsia="zh-CN"/>
              </w:rPr>
              <w:t>新平县</w:t>
            </w:r>
            <w:r>
              <w:rPr>
                <w:rFonts w:hint="default" w:ascii="Times New Roman" w:hAnsi="Times New Roman" w:eastAsia="仿宋" w:cs="Times New Roman"/>
                <w:color w:val="auto"/>
                <w:sz w:val="21"/>
                <w:szCs w:val="21"/>
              </w:rPr>
              <w:t>委</w:t>
            </w:r>
            <w:r>
              <w:rPr>
                <w:rFonts w:hint="eastAsia" w:ascii="Times New Roman" w:hAnsi="Times New Roman" w:eastAsia="仿宋" w:cs="Times New Roman"/>
                <w:color w:val="auto"/>
                <w:sz w:val="21"/>
                <w:szCs w:val="21"/>
                <w:lang w:val="en-US" w:eastAsia="zh-CN"/>
              </w:rPr>
              <w:t xml:space="preserve"> 县</w:t>
            </w:r>
            <w:r>
              <w:rPr>
                <w:rFonts w:hint="default" w:ascii="Times New Roman" w:hAnsi="Times New Roman" w:eastAsia="仿宋" w:cs="Times New Roman"/>
                <w:color w:val="auto"/>
                <w:sz w:val="21"/>
                <w:szCs w:val="21"/>
              </w:rPr>
              <w:t>人民政府印发的</w:t>
            </w:r>
            <w:r>
              <w:rPr>
                <w:rFonts w:hint="eastAsia" w:ascii="Times New Roman" w:hAnsi="Times New Roman" w:eastAsia="仿宋" w:cs="Times New Roman"/>
                <w:color w:val="auto"/>
                <w:sz w:val="21"/>
                <w:szCs w:val="21"/>
                <w:lang w:val="en-US" w:eastAsia="zh-CN"/>
              </w:rPr>
              <w:t>新平县</w:t>
            </w:r>
            <w:r>
              <w:rPr>
                <w:rFonts w:hint="default" w:ascii="Times New Roman" w:hAnsi="Times New Roman" w:eastAsia="仿宋" w:cs="Times New Roman"/>
                <w:color w:val="auto"/>
                <w:sz w:val="21"/>
                <w:szCs w:val="21"/>
              </w:rPr>
              <w:t>综合考核办法及实施细则中生态文明建设工作考核分值占比计算所得。</w:t>
            </w:r>
          </w:p>
        </w:tc>
      </w:tr>
      <w:tr w14:paraId="62261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05" w:type="pct"/>
            <w:vMerge w:val="continue"/>
            <w:noWrap w:val="0"/>
            <w:vAlign w:val="center"/>
          </w:tcPr>
          <w:p w14:paraId="44277100">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212" w:type="pct"/>
            <w:vMerge w:val="continue"/>
            <w:noWrap w:val="0"/>
            <w:vAlign w:val="center"/>
          </w:tcPr>
          <w:p w14:paraId="2F8AA8D6">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102" w:type="pct"/>
            <w:noWrap w:val="0"/>
            <w:vAlign w:val="center"/>
          </w:tcPr>
          <w:p w14:paraId="1C8AEA3D">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4</w:t>
            </w:r>
          </w:p>
        </w:tc>
        <w:tc>
          <w:tcPr>
            <w:tcW w:w="678" w:type="pct"/>
            <w:gridSpan w:val="4"/>
            <w:noWrap w:val="0"/>
            <w:vAlign w:val="center"/>
          </w:tcPr>
          <w:p w14:paraId="5A339CBD">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河（湖）长制</w:t>
            </w:r>
          </w:p>
        </w:tc>
        <w:tc>
          <w:tcPr>
            <w:tcW w:w="192" w:type="pct"/>
            <w:noWrap w:val="0"/>
            <w:vAlign w:val="center"/>
          </w:tcPr>
          <w:p w14:paraId="1B548741">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w:t>
            </w:r>
          </w:p>
        </w:tc>
        <w:tc>
          <w:tcPr>
            <w:tcW w:w="321" w:type="pct"/>
            <w:noWrap w:val="0"/>
            <w:vAlign w:val="center"/>
          </w:tcPr>
          <w:p w14:paraId="084B5CB5">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全面实施</w:t>
            </w:r>
          </w:p>
        </w:tc>
        <w:tc>
          <w:tcPr>
            <w:tcW w:w="322" w:type="pct"/>
            <w:noWrap w:val="0"/>
            <w:vAlign w:val="center"/>
          </w:tcPr>
          <w:p w14:paraId="362C4452">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全面实施</w:t>
            </w:r>
          </w:p>
        </w:tc>
        <w:tc>
          <w:tcPr>
            <w:tcW w:w="320" w:type="pct"/>
            <w:noWrap w:val="0"/>
            <w:vAlign w:val="center"/>
          </w:tcPr>
          <w:p w14:paraId="35C99367">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全面实施</w:t>
            </w:r>
          </w:p>
        </w:tc>
        <w:tc>
          <w:tcPr>
            <w:tcW w:w="367" w:type="pct"/>
            <w:noWrap w:val="0"/>
            <w:vAlign w:val="center"/>
          </w:tcPr>
          <w:p w14:paraId="76CEBEED">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全面实施</w:t>
            </w:r>
          </w:p>
        </w:tc>
        <w:tc>
          <w:tcPr>
            <w:tcW w:w="361" w:type="pct"/>
            <w:noWrap w:val="0"/>
            <w:vAlign w:val="center"/>
          </w:tcPr>
          <w:p w14:paraId="63B00235">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全面实施</w:t>
            </w:r>
          </w:p>
        </w:tc>
        <w:tc>
          <w:tcPr>
            <w:tcW w:w="381" w:type="pct"/>
            <w:noWrap w:val="0"/>
            <w:vAlign w:val="center"/>
          </w:tcPr>
          <w:p w14:paraId="31E3B35F">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全面实施</w:t>
            </w:r>
          </w:p>
        </w:tc>
        <w:tc>
          <w:tcPr>
            <w:tcW w:w="357" w:type="pct"/>
            <w:noWrap w:val="0"/>
            <w:vAlign w:val="center"/>
          </w:tcPr>
          <w:p w14:paraId="64FB2AB7">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全面实施</w:t>
            </w:r>
          </w:p>
        </w:tc>
        <w:tc>
          <w:tcPr>
            <w:tcW w:w="1276" w:type="pct"/>
            <w:noWrap w:val="0"/>
            <w:vAlign w:val="center"/>
          </w:tcPr>
          <w:p w14:paraId="43E81C45">
            <w:pPr>
              <w:spacing w:line="260" w:lineRule="exact"/>
              <w:jc w:val="left"/>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2017年制定并印发《</w:t>
            </w:r>
            <w:r>
              <w:rPr>
                <w:rFonts w:hint="eastAsia" w:ascii="Times New Roman" w:hAnsi="Times New Roman" w:eastAsia="仿宋" w:cs="Times New Roman"/>
                <w:color w:val="auto"/>
                <w:sz w:val="21"/>
                <w:szCs w:val="21"/>
                <w:lang w:val="en-US" w:eastAsia="zh-CN"/>
              </w:rPr>
              <w:t>新平县</w:t>
            </w:r>
            <w:r>
              <w:rPr>
                <w:rFonts w:hint="default" w:ascii="Times New Roman" w:hAnsi="Times New Roman" w:eastAsia="仿宋" w:cs="Times New Roman"/>
                <w:color w:val="auto"/>
                <w:sz w:val="21"/>
                <w:szCs w:val="21"/>
              </w:rPr>
              <w:t>全面推行河长制工作实施方案》，</w:t>
            </w:r>
            <w:r>
              <w:rPr>
                <w:rFonts w:hint="eastAsia" w:ascii="Times New Roman" w:hAnsi="Times New Roman" w:eastAsia="仿宋" w:cs="Times New Roman"/>
                <w:color w:val="auto"/>
                <w:sz w:val="21"/>
                <w:szCs w:val="21"/>
                <w:lang w:val="en-US" w:eastAsia="zh-CN"/>
              </w:rPr>
              <w:t>12</w:t>
            </w:r>
            <w:r>
              <w:rPr>
                <w:rFonts w:hint="default" w:ascii="Times New Roman" w:hAnsi="Times New Roman" w:eastAsia="仿宋" w:cs="Times New Roman"/>
                <w:color w:val="auto"/>
                <w:sz w:val="21"/>
                <w:szCs w:val="21"/>
              </w:rPr>
              <w:t>个乡镇（街道）</w:t>
            </w:r>
            <w:r>
              <w:rPr>
                <w:rFonts w:hint="default" w:ascii="Times New Roman" w:hAnsi="Times New Roman" w:eastAsia="仿宋" w:cs="Times New Roman"/>
                <w:color w:val="auto"/>
                <w:sz w:val="21"/>
                <w:szCs w:val="21"/>
                <w:lang w:eastAsia="zh-CN"/>
              </w:rPr>
              <w:t>，</w:t>
            </w:r>
            <w:r>
              <w:rPr>
                <w:rFonts w:hint="default" w:ascii="Times New Roman" w:hAnsi="Times New Roman" w:eastAsia="仿宋" w:cs="Times New Roman"/>
                <w:color w:val="auto"/>
                <w:sz w:val="21"/>
                <w:szCs w:val="21"/>
              </w:rPr>
              <w:t>全部出台了实施方案，全面建立了</w:t>
            </w:r>
            <w:r>
              <w:rPr>
                <w:rFonts w:hint="eastAsia" w:ascii="Times New Roman" w:hAnsi="Times New Roman" w:eastAsia="仿宋" w:cs="Times New Roman"/>
                <w:color w:val="auto"/>
                <w:sz w:val="21"/>
                <w:szCs w:val="21"/>
                <w:lang w:val="en-US" w:eastAsia="zh-CN"/>
              </w:rPr>
              <w:t>县</w:t>
            </w:r>
            <w:r>
              <w:rPr>
                <w:rFonts w:hint="default" w:ascii="Times New Roman" w:hAnsi="Times New Roman" w:eastAsia="仿宋" w:cs="Times New Roman"/>
                <w:color w:val="auto"/>
                <w:sz w:val="21"/>
                <w:szCs w:val="21"/>
              </w:rPr>
              <w:t>、乡、村三级河长及</w:t>
            </w:r>
            <w:r>
              <w:rPr>
                <w:rFonts w:hint="eastAsia" w:ascii="Times New Roman" w:hAnsi="Times New Roman" w:eastAsia="仿宋" w:cs="Times New Roman"/>
                <w:color w:val="auto"/>
                <w:sz w:val="21"/>
                <w:szCs w:val="21"/>
                <w:lang w:val="en-US" w:eastAsia="zh-CN"/>
              </w:rPr>
              <w:t>县</w:t>
            </w:r>
            <w:r>
              <w:rPr>
                <w:rFonts w:hint="default" w:ascii="Times New Roman" w:hAnsi="Times New Roman" w:eastAsia="仿宋" w:cs="Times New Roman"/>
                <w:color w:val="auto"/>
                <w:sz w:val="21"/>
                <w:szCs w:val="21"/>
              </w:rPr>
              <w:t>、乡、村、组四级治理体系；201</w:t>
            </w:r>
            <w:r>
              <w:rPr>
                <w:rFonts w:hint="eastAsia" w:ascii="Times New Roman" w:hAnsi="Times New Roman" w:eastAsia="仿宋" w:cs="Times New Roman"/>
                <w:color w:val="auto"/>
                <w:sz w:val="21"/>
                <w:szCs w:val="21"/>
                <w:lang w:val="en-US" w:eastAsia="zh-CN"/>
              </w:rPr>
              <w:t>8—</w:t>
            </w:r>
            <w:r>
              <w:rPr>
                <w:rFonts w:hint="default" w:ascii="Times New Roman" w:hAnsi="Times New Roman" w:eastAsia="仿宋" w:cs="Times New Roman"/>
                <w:color w:val="auto"/>
                <w:sz w:val="21"/>
                <w:szCs w:val="21"/>
              </w:rPr>
              <w:t>202</w:t>
            </w:r>
            <w:r>
              <w:rPr>
                <w:rFonts w:hint="eastAsia" w:ascii="Times New Roman" w:hAnsi="Times New Roman" w:eastAsia="仿宋" w:cs="Times New Roman"/>
                <w:color w:val="auto"/>
                <w:sz w:val="21"/>
                <w:szCs w:val="21"/>
                <w:lang w:val="en-US" w:eastAsia="zh-CN"/>
              </w:rPr>
              <w:t>1</w:t>
            </w:r>
            <w:r>
              <w:rPr>
                <w:rFonts w:hint="default" w:ascii="Times New Roman" w:hAnsi="Times New Roman" w:eastAsia="仿宋" w:cs="Times New Roman"/>
                <w:color w:val="auto"/>
                <w:sz w:val="21"/>
                <w:szCs w:val="21"/>
              </w:rPr>
              <w:t>年年先后出台了</w:t>
            </w:r>
            <w:r>
              <w:rPr>
                <w:rFonts w:hint="eastAsia" w:ascii="Times New Roman" w:hAnsi="Times New Roman" w:eastAsia="仿宋" w:cs="Times New Roman"/>
                <w:color w:val="auto"/>
                <w:sz w:val="21"/>
                <w:szCs w:val="21"/>
                <w:lang w:eastAsia="zh-CN"/>
              </w:rPr>
              <w:t>《新平县全面贯彻落实湖长制的实施方案》</w:t>
            </w:r>
            <w:r>
              <w:rPr>
                <w:rFonts w:hint="default" w:ascii="Times New Roman" w:hAnsi="Times New Roman" w:eastAsia="仿宋" w:cs="Times New Roman"/>
                <w:color w:val="auto"/>
                <w:sz w:val="21"/>
                <w:szCs w:val="21"/>
              </w:rPr>
              <w:t>《新平县全面推行河（湖）长制工作考核实施方案的通知》，《新平县红河水系保护修复攻坚战</w:t>
            </w:r>
          </w:p>
          <w:p w14:paraId="7F101C33">
            <w:pPr>
              <w:spacing w:line="260" w:lineRule="exact"/>
              <w:jc w:val="left"/>
              <w:rPr>
                <w:rFonts w:hint="eastAsia" w:ascii="Times New Roman" w:hAnsi="Times New Roman" w:eastAsia="仿宋" w:cs="Times New Roman"/>
                <w:color w:val="auto"/>
                <w:sz w:val="21"/>
                <w:szCs w:val="21"/>
                <w:lang w:val="en-US" w:eastAsia="zh-CN"/>
              </w:rPr>
            </w:pPr>
            <w:r>
              <w:rPr>
                <w:rFonts w:hint="default" w:ascii="Times New Roman" w:hAnsi="Times New Roman" w:eastAsia="仿宋" w:cs="Times New Roman"/>
                <w:color w:val="auto"/>
                <w:sz w:val="21"/>
                <w:szCs w:val="21"/>
              </w:rPr>
              <w:t>实施方案》</w:t>
            </w:r>
            <w:r>
              <w:rPr>
                <w:rFonts w:hint="eastAsia" w:ascii="Times New Roman" w:hAnsi="Times New Roman" w:eastAsia="仿宋" w:cs="Times New Roman"/>
                <w:color w:val="auto"/>
                <w:sz w:val="21"/>
                <w:szCs w:val="21"/>
                <w:lang w:eastAsia="zh-CN"/>
              </w:rPr>
              <w:t>。</w:t>
            </w:r>
          </w:p>
        </w:tc>
      </w:tr>
      <w:tr w14:paraId="049C0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05" w:type="pct"/>
            <w:vMerge w:val="continue"/>
            <w:noWrap w:val="0"/>
            <w:vAlign w:val="center"/>
          </w:tcPr>
          <w:p w14:paraId="243B1D6B">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212" w:type="pct"/>
            <w:vMerge w:val="continue"/>
            <w:noWrap w:val="0"/>
            <w:vAlign w:val="center"/>
          </w:tcPr>
          <w:p w14:paraId="64875478">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102" w:type="pct"/>
            <w:noWrap w:val="0"/>
            <w:vAlign w:val="center"/>
          </w:tcPr>
          <w:p w14:paraId="4FDDD0BA">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5</w:t>
            </w:r>
          </w:p>
        </w:tc>
        <w:tc>
          <w:tcPr>
            <w:tcW w:w="678" w:type="pct"/>
            <w:gridSpan w:val="4"/>
            <w:noWrap w:val="0"/>
            <w:vAlign w:val="center"/>
          </w:tcPr>
          <w:p w14:paraId="0CCCE848">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林长制</w:t>
            </w:r>
          </w:p>
        </w:tc>
        <w:tc>
          <w:tcPr>
            <w:tcW w:w="192" w:type="pct"/>
            <w:noWrap w:val="0"/>
            <w:vAlign w:val="center"/>
          </w:tcPr>
          <w:p w14:paraId="18460D1B">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w:t>
            </w:r>
          </w:p>
        </w:tc>
        <w:tc>
          <w:tcPr>
            <w:tcW w:w="321" w:type="pct"/>
            <w:noWrap w:val="0"/>
            <w:vAlign w:val="center"/>
          </w:tcPr>
          <w:p w14:paraId="7845227E">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w:t>
            </w:r>
          </w:p>
        </w:tc>
        <w:tc>
          <w:tcPr>
            <w:tcW w:w="322" w:type="pct"/>
            <w:noWrap w:val="0"/>
            <w:vAlign w:val="center"/>
          </w:tcPr>
          <w:p w14:paraId="3C1336F3">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全面实施</w:t>
            </w:r>
          </w:p>
        </w:tc>
        <w:tc>
          <w:tcPr>
            <w:tcW w:w="320" w:type="pct"/>
            <w:noWrap w:val="0"/>
            <w:vAlign w:val="center"/>
          </w:tcPr>
          <w:p w14:paraId="6B903CB1">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w:t>
            </w:r>
          </w:p>
        </w:tc>
        <w:tc>
          <w:tcPr>
            <w:tcW w:w="367" w:type="pct"/>
            <w:noWrap w:val="0"/>
            <w:vAlign w:val="center"/>
          </w:tcPr>
          <w:p w14:paraId="15F4EFEB">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w:t>
            </w:r>
          </w:p>
        </w:tc>
        <w:tc>
          <w:tcPr>
            <w:tcW w:w="361" w:type="pct"/>
            <w:noWrap w:val="0"/>
            <w:vAlign w:val="center"/>
          </w:tcPr>
          <w:p w14:paraId="7FB4341C">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w:t>
            </w:r>
          </w:p>
        </w:tc>
        <w:tc>
          <w:tcPr>
            <w:tcW w:w="381" w:type="pct"/>
            <w:noWrap w:val="0"/>
            <w:vAlign w:val="center"/>
          </w:tcPr>
          <w:p w14:paraId="725C6F2A">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w:t>
            </w:r>
          </w:p>
        </w:tc>
        <w:tc>
          <w:tcPr>
            <w:tcW w:w="357" w:type="pct"/>
            <w:noWrap w:val="0"/>
            <w:vAlign w:val="center"/>
          </w:tcPr>
          <w:p w14:paraId="1C759BB0">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全面实施</w:t>
            </w:r>
          </w:p>
        </w:tc>
        <w:tc>
          <w:tcPr>
            <w:tcW w:w="1276" w:type="pct"/>
            <w:noWrap w:val="0"/>
            <w:vAlign w:val="center"/>
          </w:tcPr>
          <w:p w14:paraId="3FF151DC">
            <w:pPr>
              <w:spacing w:line="260" w:lineRule="exact"/>
              <w:jc w:val="left"/>
              <w:rPr>
                <w:rFonts w:hint="default" w:ascii="Times New Roman" w:hAnsi="Times New Roman" w:eastAsia="仿宋" w:cs="Times New Roman"/>
                <w:color w:val="auto"/>
                <w:sz w:val="21"/>
                <w:szCs w:val="21"/>
                <w:lang w:val="en-US" w:eastAsia="zh-CN"/>
              </w:rPr>
            </w:pPr>
            <w:r>
              <w:rPr>
                <w:rFonts w:hint="default" w:ascii="Times New Roman" w:hAnsi="Times New Roman" w:eastAsia="仿宋" w:cs="Times New Roman"/>
                <w:color w:val="auto"/>
                <w:sz w:val="21"/>
                <w:szCs w:val="21"/>
                <w:lang w:val="en-US" w:eastAsia="zh-CN"/>
              </w:rPr>
              <w:t>2021年</w:t>
            </w:r>
            <w:r>
              <w:rPr>
                <w:rFonts w:hint="eastAsia" w:ascii="Times New Roman" w:hAnsi="Times New Roman" w:eastAsia="仿宋" w:cs="Times New Roman"/>
                <w:color w:val="auto"/>
                <w:sz w:val="21"/>
                <w:szCs w:val="21"/>
                <w:lang w:val="en-US" w:eastAsia="zh-CN"/>
              </w:rPr>
              <w:t>新平县</w:t>
            </w:r>
            <w:r>
              <w:rPr>
                <w:rFonts w:hint="default" w:ascii="Times New Roman" w:hAnsi="Times New Roman" w:eastAsia="仿宋" w:cs="Times New Roman"/>
                <w:color w:val="auto"/>
                <w:sz w:val="21"/>
                <w:szCs w:val="21"/>
                <w:lang w:val="en-US" w:eastAsia="zh-CN"/>
              </w:rPr>
              <w:t>制定并印发《新平彝族傣族自治县全面推行林长制的实施方案》，启动实施林长制改革，成立了林长制办公室，全面建立</w:t>
            </w:r>
            <w:r>
              <w:rPr>
                <w:rFonts w:hint="eastAsia" w:ascii="Times New Roman" w:hAnsi="Times New Roman" w:eastAsia="仿宋" w:cs="Times New Roman"/>
                <w:color w:val="auto"/>
                <w:sz w:val="21"/>
                <w:szCs w:val="21"/>
                <w:lang w:val="en-US" w:eastAsia="zh-CN"/>
              </w:rPr>
              <w:t>县</w:t>
            </w:r>
            <w:r>
              <w:rPr>
                <w:rFonts w:hint="default" w:ascii="Times New Roman" w:hAnsi="Times New Roman" w:eastAsia="仿宋" w:cs="Times New Roman"/>
                <w:color w:val="auto"/>
                <w:sz w:val="21"/>
                <w:szCs w:val="21"/>
                <w:lang w:val="en-US" w:eastAsia="zh-CN"/>
              </w:rPr>
              <w:t>、乡（镇、街道）、村（社区）三级林长体系，形成党政同责、责任明确、部门协同、齐抓共管、任务明确的林长制工作格局，建立相关制度框架体系</w:t>
            </w:r>
            <w:r>
              <w:rPr>
                <w:rFonts w:hint="eastAsia" w:ascii="Times New Roman" w:hAnsi="Times New Roman" w:eastAsia="仿宋" w:cs="Times New Roman"/>
                <w:color w:val="auto"/>
                <w:sz w:val="21"/>
                <w:szCs w:val="21"/>
                <w:lang w:val="en-US" w:eastAsia="zh-CN"/>
              </w:rPr>
              <w:t>。</w:t>
            </w:r>
          </w:p>
        </w:tc>
      </w:tr>
      <w:tr w14:paraId="0987A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05" w:type="pct"/>
            <w:vMerge w:val="continue"/>
            <w:noWrap w:val="0"/>
            <w:vAlign w:val="center"/>
          </w:tcPr>
          <w:p w14:paraId="5B770E3E">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212" w:type="pct"/>
            <w:vMerge w:val="continue"/>
            <w:noWrap w:val="0"/>
            <w:vAlign w:val="center"/>
          </w:tcPr>
          <w:p w14:paraId="3FEAA628">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102" w:type="pct"/>
            <w:noWrap w:val="0"/>
            <w:vAlign w:val="center"/>
          </w:tcPr>
          <w:p w14:paraId="0590B33A">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6</w:t>
            </w:r>
          </w:p>
        </w:tc>
        <w:tc>
          <w:tcPr>
            <w:tcW w:w="678" w:type="pct"/>
            <w:gridSpan w:val="4"/>
            <w:noWrap w:val="0"/>
            <w:vAlign w:val="center"/>
          </w:tcPr>
          <w:p w14:paraId="3C97DBEF">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生态环境信息公开率</w:t>
            </w:r>
          </w:p>
        </w:tc>
        <w:tc>
          <w:tcPr>
            <w:tcW w:w="192" w:type="pct"/>
            <w:noWrap w:val="0"/>
            <w:vAlign w:val="center"/>
          </w:tcPr>
          <w:p w14:paraId="60810216">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w:t>
            </w:r>
          </w:p>
        </w:tc>
        <w:tc>
          <w:tcPr>
            <w:tcW w:w="321" w:type="pct"/>
            <w:noWrap w:val="0"/>
            <w:vAlign w:val="center"/>
          </w:tcPr>
          <w:p w14:paraId="532EC32E">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100</w:t>
            </w:r>
          </w:p>
        </w:tc>
        <w:tc>
          <w:tcPr>
            <w:tcW w:w="322" w:type="pct"/>
            <w:noWrap w:val="0"/>
            <w:vAlign w:val="center"/>
          </w:tcPr>
          <w:p w14:paraId="64EBBBE3">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100</w:t>
            </w:r>
          </w:p>
        </w:tc>
        <w:tc>
          <w:tcPr>
            <w:tcW w:w="320" w:type="pct"/>
            <w:noWrap w:val="0"/>
            <w:vAlign w:val="center"/>
          </w:tcPr>
          <w:p w14:paraId="66B0109D">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100</w:t>
            </w:r>
          </w:p>
        </w:tc>
        <w:tc>
          <w:tcPr>
            <w:tcW w:w="367" w:type="pct"/>
            <w:noWrap w:val="0"/>
            <w:vAlign w:val="center"/>
          </w:tcPr>
          <w:p w14:paraId="15C41B17">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100</w:t>
            </w:r>
          </w:p>
        </w:tc>
        <w:tc>
          <w:tcPr>
            <w:tcW w:w="361" w:type="pct"/>
            <w:noWrap w:val="0"/>
            <w:vAlign w:val="center"/>
          </w:tcPr>
          <w:p w14:paraId="43F6C83A">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100</w:t>
            </w:r>
          </w:p>
        </w:tc>
        <w:tc>
          <w:tcPr>
            <w:tcW w:w="381" w:type="pct"/>
            <w:noWrap w:val="0"/>
            <w:vAlign w:val="center"/>
          </w:tcPr>
          <w:p w14:paraId="5FEC402E">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100</w:t>
            </w:r>
          </w:p>
        </w:tc>
        <w:tc>
          <w:tcPr>
            <w:tcW w:w="357" w:type="pct"/>
            <w:noWrap w:val="0"/>
            <w:vAlign w:val="center"/>
          </w:tcPr>
          <w:p w14:paraId="0437E466">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100</w:t>
            </w:r>
          </w:p>
        </w:tc>
        <w:tc>
          <w:tcPr>
            <w:tcW w:w="1276" w:type="pct"/>
            <w:noWrap w:val="0"/>
            <w:vAlign w:val="center"/>
          </w:tcPr>
          <w:p w14:paraId="1ECF52BD">
            <w:pPr>
              <w:spacing w:line="260" w:lineRule="exact"/>
              <w:jc w:val="left"/>
              <w:rPr>
                <w:rFonts w:hint="default" w:ascii="Times New Roman" w:hAnsi="Times New Roman" w:eastAsia="仿宋" w:cs="Times New Roman"/>
                <w:color w:val="auto"/>
                <w:sz w:val="21"/>
                <w:szCs w:val="21"/>
                <w:lang w:val="en-US" w:eastAsia="zh-CN"/>
              </w:rPr>
            </w:pPr>
            <w:r>
              <w:rPr>
                <w:rFonts w:hint="default" w:ascii="Times New Roman" w:hAnsi="Times New Roman" w:eastAsia="仿宋" w:cs="Times New Roman"/>
                <w:color w:val="auto"/>
                <w:sz w:val="21"/>
                <w:szCs w:val="21"/>
                <w:lang w:val="en-US" w:eastAsia="zh-CN"/>
              </w:rPr>
              <w:t>政府有关部门依托</w:t>
            </w:r>
            <w:r>
              <w:rPr>
                <w:rFonts w:hint="eastAsia" w:ascii="Times New Roman" w:hAnsi="Times New Roman" w:eastAsia="仿宋" w:cs="Times New Roman"/>
                <w:color w:val="auto"/>
                <w:sz w:val="21"/>
                <w:szCs w:val="21"/>
                <w:lang w:val="en-US" w:eastAsia="zh-CN"/>
              </w:rPr>
              <w:t>新平县</w:t>
            </w:r>
            <w:r>
              <w:rPr>
                <w:rFonts w:hint="default" w:ascii="Times New Roman" w:hAnsi="Times New Roman" w:eastAsia="仿宋" w:cs="Times New Roman"/>
                <w:color w:val="auto"/>
                <w:sz w:val="21"/>
                <w:szCs w:val="21"/>
                <w:lang w:val="en-US" w:eastAsia="zh-CN"/>
              </w:rPr>
              <w:t>人民政府、</w:t>
            </w:r>
            <w:r>
              <w:rPr>
                <w:rFonts w:hint="eastAsia" w:ascii="Times New Roman" w:hAnsi="Times New Roman" w:eastAsia="仿宋" w:cs="Times New Roman"/>
                <w:color w:val="auto"/>
                <w:sz w:val="21"/>
                <w:szCs w:val="21"/>
                <w:lang w:val="en-US" w:eastAsia="zh-CN"/>
              </w:rPr>
              <w:t>玉溪</w:t>
            </w:r>
            <w:r>
              <w:rPr>
                <w:rFonts w:hint="default" w:ascii="Times New Roman" w:hAnsi="Times New Roman" w:eastAsia="仿宋" w:cs="Times New Roman"/>
                <w:color w:val="auto"/>
                <w:sz w:val="21"/>
                <w:szCs w:val="21"/>
                <w:lang w:val="en-US" w:eastAsia="zh-CN"/>
              </w:rPr>
              <w:t>市生态环境局等网站公开相关法律法规、环境质量、污染控制、清洁生产、环境影响评价、污染源监测、执法检查等环境信息。企业依托全国排污许可证管理信息平台、全国污染源监测信息管理与共享平台以及重点企业网站等公开污染物排放、污染防治设施建设运行、自行监测等环境信息。</w:t>
            </w:r>
          </w:p>
        </w:tc>
      </w:tr>
      <w:tr w14:paraId="5B66C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05" w:type="pct"/>
            <w:vMerge w:val="continue"/>
            <w:noWrap w:val="0"/>
            <w:vAlign w:val="center"/>
          </w:tcPr>
          <w:p w14:paraId="47197E65">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212" w:type="pct"/>
            <w:vMerge w:val="continue"/>
            <w:noWrap w:val="0"/>
            <w:vAlign w:val="center"/>
          </w:tcPr>
          <w:p w14:paraId="3DB16973">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102" w:type="pct"/>
            <w:noWrap w:val="0"/>
            <w:vAlign w:val="center"/>
          </w:tcPr>
          <w:p w14:paraId="195A620C">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7</w:t>
            </w:r>
          </w:p>
        </w:tc>
        <w:tc>
          <w:tcPr>
            <w:tcW w:w="678" w:type="pct"/>
            <w:gridSpan w:val="4"/>
            <w:noWrap w:val="0"/>
            <w:vAlign w:val="center"/>
          </w:tcPr>
          <w:p w14:paraId="3BBA9041">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依法开展规划环境影响评价</w:t>
            </w:r>
          </w:p>
        </w:tc>
        <w:tc>
          <w:tcPr>
            <w:tcW w:w="192" w:type="pct"/>
            <w:noWrap w:val="0"/>
            <w:vAlign w:val="center"/>
          </w:tcPr>
          <w:p w14:paraId="4ABE3521">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w:t>
            </w:r>
          </w:p>
        </w:tc>
        <w:tc>
          <w:tcPr>
            <w:tcW w:w="321" w:type="pct"/>
            <w:noWrap w:val="0"/>
            <w:vAlign w:val="center"/>
          </w:tcPr>
          <w:p w14:paraId="48470387">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开展</w:t>
            </w:r>
          </w:p>
        </w:tc>
        <w:tc>
          <w:tcPr>
            <w:tcW w:w="322" w:type="pct"/>
            <w:noWrap w:val="0"/>
            <w:vAlign w:val="center"/>
          </w:tcPr>
          <w:p w14:paraId="771975DC">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开展</w:t>
            </w:r>
          </w:p>
        </w:tc>
        <w:tc>
          <w:tcPr>
            <w:tcW w:w="320" w:type="pct"/>
            <w:noWrap w:val="0"/>
            <w:vAlign w:val="center"/>
          </w:tcPr>
          <w:p w14:paraId="086250EC">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开展</w:t>
            </w:r>
          </w:p>
        </w:tc>
        <w:tc>
          <w:tcPr>
            <w:tcW w:w="367" w:type="pct"/>
            <w:noWrap w:val="0"/>
            <w:vAlign w:val="center"/>
          </w:tcPr>
          <w:p w14:paraId="6C0F58FD">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开展</w:t>
            </w:r>
          </w:p>
        </w:tc>
        <w:tc>
          <w:tcPr>
            <w:tcW w:w="361" w:type="pct"/>
            <w:noWrap w:val="0"/>
            <w:vAlign w:val="center"/>
          </w:tcPr>
          <w:p w14:paraId="335290EB">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开展</w:t>
            </w:r>
          </w:p>
        </w:tc>
        <w:tc>
          <w:tcPr>
            <w:tcW w:w="381" w:type="pct"/>
            <w:noWrap w:val="0"/>
            <w:vAlign w:val="center"/>
          </w:tcPr>
          <w:p w14:paraId="6738F422">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开展</w:t>
            </w:r>
          </w:p>
        </w:tc>
        <w:tc>
          <w:tcPr>
            <w:tcW w:w="357" w:type="pct"/>
            <w:noWrap w:val="0"/>
            <w:vAlign w:val="center"/>
          </w:tcPr>
          <w:p w14:paraId="0F4B2211">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开展</w:t>
            </w:r>
          </w:p>
        </w:tc>
        <w:tc>
          <w:tcPr>
            <w:tcW w:w="1276" w:type="pct"/>
            <w:noWrap w:val="0"/>
            <w:vAlign w:val="center"/>
          </w:tcPr>
          <w:p w14:paraId="0925AAFB">
            <w:pPr>
              <w:spacing w:line="260" w:lineRule="exact"/>
              <w:jc w:val="left"/>
              <w:rPr>
                <w:rFonts w:hint="default" w:ascii="Times New Roman" w:hAnsi="Times New Roman" w:eastAsia="仿宋" w:cs="Times New Roman"/>
                <w:color w:val="auto"/>
                <w:sz w:val="21"/>
                <w:szCs w:val="21"/>
                <w:lang w:val="en-US" w:eastAsia="zh-CN"/>
              </w:rPr>
            </w:pPr>
            <w:r>
              <w:rPr>
                <w:rFonts w:hint="default" w:ascii="Times New Roman" w:hAnsi="Times New Roman" w:eastAsia="仿宋" w:cs="Times New Roman"/>
                <w:color w:val="auto"/>
                <w:sz w:val="21"/>
                <w:szCs w:val="21"/>
                <w:lang w:val="en-US" w:eastAsia="zh-CN"/>
              </w:rPr>
              <w:t>依法开展了《</w:t>
            </w:r>
            <w:r>
              <w:rPr>
                <w:rFonts w:hint="eastAsia" w:ascii="Times New Roman" w:hAnsi="Times New Roman" w:eastAsia="仿宋" w:cs="Times New Roman"/>
                <w:color w:val="auto"/>
                <w:sz w:val="21"/>
                <w:szCs w:val="21"/>
                <w:lang w:val="en-US" w:eastAsia="zh-CN"/>
              </w:rPr>
              <w:t>云南新平产业园区总体规划（修编）（2021-2035）环境影响报告书》《云南新平产业园区总体规划修编</w:t>
            </w:r>
            <w:r>
              <w:rPr>
                <w:rFonts w:hint="eastAsia" w:ascii="Times New Roman" w:hAnsi="Times New Roman" w:eastAsia="仿宋" w:cs="Times New Roman"/>
                <w:color w:val="auto"/>
                <w:sz w:val="21"/>
                <w:szCs w:val="21"/>
                <w:lang w:val="en" w:eastAsia="zh-CN"/>
              </w:rPr>
              <w:t>（2021-2035）</w:t>
            </w:r>
            <w:r>
              <w:rPr>
                <w:rFonts w:hint="eastAsia" w:ascii="Times New Roman" w:hAnsi="Times New Roman" w:eastAsia="仿宋" w:cs="Times New Roman"/>
                <w:color w:val="auto"/>
                <w:sz w:val="21"/>
                <w:szCs w:val="21"/>
                <w:lang w:val="en-US" w:eastAsia="zh-CN"/>
              </w:rPr>
              <w:t>》</w:t>
            </w:r>
            <w:r>
              <w:rPr>
                <w:rFonts w:hint="default" w:ascii="Times New Roman" w:hAnsi="Times New Roman" w:eastAsia="仿宋" w:cs="Times New Roman"/>
                <w:color w:val="auto"/>
                <w:sz w:val="21"/>
                <w:szCs w:val="21"/>
                <w:lang w:val="en-US" w:eastAsia="zh-CN"/>
              </w:rPr>
              <w:t>规划环境影响评价。</w:t>
            </w:r>
          </w:p>
        </w:tc>
      </w:tr>
      <w:tr w14:paraId="7CC39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8" w:hRule="atLeast"/>
          <w:jc w:val="center"/>
        </w:trPr>
        <w:tc>
          <w:tcPr>
            <w:tcW w:w="105" w:type="pct"/>
            <w:vMerge w:val="restart"/>
            <w:noWrap w:val="0"/>
            <w:vAlign w:val="center"/>
          </w:tcPr>
          <w:p w14:paraId="045C1924">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生态安全</w:t>
            </w:r>
          </w:p>
        </w:tc>
        <w:tc>
          <w:tcPr>
            <w:tcW w:w="212" w:type="pct"/>
            <w:vMerge w:val="restart"/>
            <w:noWrap w:val="0"/>
            <w:vAlign w:val="center"/>
          </w:tcPr>
          <w:p w14:paraId="432F7948">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（二）生态环境质量改善</w:t>
            </w:r>
          </w:p>
        </w:tc>
        <w:tc>
          <w:tcPr>
            <w:tcW w:w="102" w:type="pct"/>
            <w:vMerge w:val="restart"/>
            <w:noWrap w:val="0"/>
            <w:vAlign w:val="center"/>
          </w:tcPr>
          <w:p w14:paraId="4537CB96">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8</w:t>
            </w:r>
          </w:p>
        </w:tc>
        <w:tc>
          <w:tcPr>
            <w:tcW w:w="678" w:type="pct"/>
            <w:gridSpan w:val="4"/>
            <w:noWrap w:val="0"/>
            <w:vAlign w:val="center"/>
          </w:tcPr>
          <w:p w14:paraId="558C0F87">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环境空气质量</w:t>
            </w:r>
          </w:p>
        </w:tc>
        <w:tc>
          <w:tcPr>
            <w:tcW w:w="192" w:type="pct"/>
            <w:noWrap w:val="0"/>
            <w:vAlign w:val="center"/>
          </w:tcPr>
          <w:p w14:paraId="344F77E5">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321" w:type="pct"/>
            <w:vMerge w:val="restart"/>
            <w:noWrap w:val="0"/>
            <w:vAlign w:val="center"/>
          </w:tcPr>
          <w:p w14:paraId="618399C4">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完成上级规定的考核任务；保持稳定或持续改善</w:t>
            </w:r>
          </w:p>
        </w:tc>
        <w:tc>
          <w:tcPr>
            <w:tcW w:w="322" w:type="pct"/>
            <w:vMerge w:val="restart"/>
            <w:noWrap w:val="0"/>
            <w:vAlign w:val="center"/>
          </w:tcPr>
          <w:p w14:paraId="3F5A7F0E">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完成上级规定的考核任务；保持稳定或持续改善</w:t>
            </w:r>
          </w:p>
        </w:tc>
        <w:tc>
          <w:tcPr>
            <w:tcW w:w="320" w:type="pct"/>
            <w:noWrap w:val="0"/>
            <w:vAlign w:val="center"/>
          </w:tcPr>
          <w:p w14:paraId="1EF57B5B">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367" w:type="pct"/>
            <w:noWrap w:val="0"/>
            <w:vAlign w:val="center"/>
          </w:tcPr>
          <w:p w14:paraId="11ABDA73">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361" w:type="pct"/>
            <w:noWrap w:val="0"/>
            <w:vAlign w:val="center"/>
          </w:tcPr>
          <w:p w14:paraId="7ECA8E93">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381" w:type="pct"/>
            <w:noWrap w:val="0"/>
            <w:vAlign w:val="center"/>
          </w:tcPr>
          <w:p w14:paraId="3AAD02D8">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357" w:type="pct"/>
            <w:noWrap w:val="0"/>
            <w:vAlign w:val="center"/>
          </w:tcPr>
          <w:p w14:paraId="528B912A">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1276" w:type="pct"/>
            <w:vMerge w:val="restart"/>
            <w:noWrap w:val="0"/>
            <w:vAlign w:val="center"/>
          </w:tcPr>
          <w:p w14:paraId="69925425">
            <w:pPr>
              <w:spacing w:line="260" w:lineRule="exact"/>
              <w:jc w:val="center"/>
              <w:rPr>
                <w:rFonts w:hint="default" w:ascii="Times New Roman" w:hAnsi="Times New Roman" w:eastAsia="仿宋" w:cs="Times New Roman"/>
                <w:color w:val="auto"/>
                <w:sz w:val="21"/>
                <w:szCs w:val="21"/>
                <w:lang w:val="en-US" w:eastAsia="zh-CN"/>
              </w:rPr>
            </w:pPr>
            <w:r>
              <w:rPr>
                <w:rFonts w:hint="default" w:ascii="Times New Roman" w:hAnsi="Times New Roman" w:eastAsia="仿宋" w:cs="Times New Roman"/>
                <w:color w:val="auto"/>
                <w:sz w:val="21"/>
                <w:szCs w:val="21"/>
                <w:lang w:val="en-US" w:eastAsia="zh-CN"/>
              </w:rPr>
              <w:t>根据2017</w:t>
            </w:r>
            <w:r>
              <w:rPr>
                <w:rFonts w:hint="eastAsia" w:ascii="Times New Roman" w:hAnsi="Times New Roman" w:eastAsia="仿宋" w:cs="Times New Roman"/>
                <w:color w:val="auto"/>
                <w:sz w:val="21"/>
                <w:szCs w:val="21"/>
                <w:lang w:val="en-US" w:eastAsia="zh-CN"/>
              </w:rPr>
              <w:t>—</w:t>
            </w:r>
            <w:r>
              <w:rPr>
                <w:rFonts w:hint="default" w:ascii="Times New Roman" w:hAnsi="Times New Roman" w:eastAsia="仿宋" w:cs="Times New Roman"/>
                <w:color w:val="auto"/>
                <w:sz w:val="21"/>
                <w:szCs w:val="21"/>
                <w:lang w:val="en-US" w:eastAsia="zh-CN"/>
              </w:rPr>
              <w:t>2021年玉溪市生态环境局提供的大气约束性考核文件《玉溪市人民政府办公室关于印发2017年度环保约束性指标计划的通知》《玉溪市2018年度大气污染防治约束性指标计划的通知》《玉溪市环境污染防治工作领导小组办公室关于印发玉溪市2019年度大气污染防治约束性指标计划的通知》等文件，确定上级考核目标；根据《玉溪市生态环境质量公报》及约束性考核结果文件及证明材料等，新平县2017-2021年均完成上级考核要求。</w:t>
            </w:r>
          </w:p>
        </w:tc>
      </w:tr>
      <w:tr w14:paraId="6976C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05" w:type="pct"/>
            <w:vMerge w:val="continue"/>
            <w:noWrap w:val="0"/>
            <w:vAlign w:val="center"/>
          </w:tcPr>
          <w:p w14:paraId="728EC48D">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212" w:type="pct"/>
            <w:vMerge w:val="continue"/>
            <w:noWrap w:val="0"/>
            <w:vAlign w:val="center"/>
          </w:tcPr>
          <w:p w14:paraId="52C2D98A">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102" w:type="pct"/>
            <w:vMerge w:val="continue"/>
            <w:noWrap w:val="0"/>
            <w:vAlign w:val="center"/>
          </w:tcPr>
          <w:p w14:paraId="53D2D74C">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432" w:type="pct"/>
            <w:gridSpan w:val="3"/>
            <w:vMerge w:val="restart"/>
            <w:noWrap w:val="0"/>
            <w:vAlign w:val="center"/>
          </w:tcPr>
          <w:p w14:paraId="70141152">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（1）优良天数比例</w:t>
            </w:r>
          </w:p>
        </w:tc>
        <w:tc>
          <w:tcPr>
            <w:tcW w:w="245" w:type="pct"/>
            <w:noWrap w:val="0"/>
            <w:vAlign w:val="center"/>
          </w:tcPr>
          <w:p w14:paraId="3A45189A">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上级考核目标</w:t>
            </w:r>
          </w:p>
        </w:tc>
        <w:tc>
          <w:tcPr>
            <w:tcW w:w="192" w:type="pct"/>
            <w:vMerge w:val="restart"/>
            <w:noWrap w:val="0"/>
            <w:vAlign w:val="center"/>
          </w:tcPr>
          <w:p w14:paraId="5697E409">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w:t>
            </w:r>
          </w:p>
        </w:tc>
        <w:tc>
          <w:tcPr>
            <w:tcW w:w="321" w:type="pct"/>
            <w:vMerge w:val="continue"/>
            <w:noWrap w:val="0"/>
            <w:vAlign w:val="center"/>
          </w:tcPr>
          <w:p w14:paraId="6E962CD8">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322" w:type="pct"/>
            <w:vMerge w:val="continue"/>
            <w:noWrap w:val="0"/>
            <w:vAlign w:val="center"/>
          </w:tcPr>
          <w:p w14:paraId="1DFCF1A6">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320" w:type="pct"/>
            <w:noWrap w:val="0"/>
            <w:vAlign w:val="center"/>
          </w:tcPr>
          <w:p w14:paraId="3230D250">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县政府所在地≥99.2</w:t>
            </w:r>
          </w:p>
        </w:tc>
        <w:tc>
          <w:tcPr>
            <w:tcW w:w="367" w:type="pct"/>
            <w:noWrap w:val="0"/>
            <w:vAlign w:val="center"/>
          </w:tcPr>
          <w:p w14:paraId="48F05B30">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县政府所在地≥99.2</w:t>
            </w:r>
          </w:p>
        </w:tc>
        <w:tc>
          <w:tcPr>
            <w:tcW w:w="361" w:type="pct"/>
            <w:noWrap w:val="0"/>
            <w:vAlign w:val="center"/>
          </w:tcPr>
          <w:p w14:paraId="3D891E2C">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县政府所在地≥99.2</w:t>
            </w:r>
          </w:p>
        </w:tc>
        <w:tc>
          <w:tcPr>
            <w:tcW w:w="381" w:type="pct"/>
            <w:noWrap w:val="0"/>
            <w:vAlign w:val="center"/>
          </w:tcPr>
          <w:p w14:paraId="48DE9CCD">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县政府所在地≥99.2</w:t>
            </w:r>
          </w:p>
        </w:tc>
        <w:tc>
          <w:tcPr>
            <w:tcW w:w="357" w:type="pct"/>
            <w:noWrap w:val="0"/>
            <w:vAlign w:val="center"/>
          </w:tcPr>
          <w:p w14:paraId="3FF77BF7">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县政府所在地≥99.2</w:t>
            </w:r>
          </w:p>
        </w:tc>
        <w:tc>
          <w:tcPr>
            <w:tcW w:w="1276" w:type="pct"/>
            <w:vMerge w:val="continue"/>
            <w:noWrap w:val="0"/>
            <w:vAlign w:val="center"/>
          </w:tcPr>
          <w:p w14:paraId="6A2F939E">
            <w:pPr>
              <w:spacing w:line="260" w:lineRule="exact"/>
              <w:jc w:val="center"/>
              <w:rPr>
                <w:rFonts w:hint="default" w:ascii="Times New Roman" w:hAnsi="Times New Roman" w:eastAsia="仿宋" w:cs="Times New Roman"/>
                <w:color w:val="auto"/>
                <w:sz w:val="21"/>
                <w:szCs w:val="21"/>
                <w:lang w:val="en-US" w:eastAsia="zh-CN"/>
              </w:rPr>
            </w:pPr>
          </w:p>
        </w:tc>
      </w:tr>
      <w:tr w14:paraId="594E4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05" w:type="pct"/>
            <w:vMerge w:val="continue"/>
            <w:noWrap w:val="0"/>
            <w:vAlign w:val="center"/>
          </w:tcPr>
          <w:p w14:paraId="7BE316B5">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212" w:type="pct"/>
            <w:vMerge w:val="continue"/>
            <w:noWrap w:val="0"/>
            <w:vAlign w:val="center"/>
          </w:tcPr>
          <w:p w14:paraId="1B71F532">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102" w:type="pct"/>
            <w:vMerge w:val="continue"/>
            <w:noWrap w:val="0"/>
            <w:vAlign w:val="center"/>
          </w:tcPr>
          <w:p w14:paraId="1920614C">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432" w:type="pct"/>
            <w:gridSpan w:val="3"/>
            <w:vMerge w:val="continue"/>
            <w:noWrap w:val="0"/>
            <w:vAlign w:val="center"/>
          </w:tcPr>
          <w:p w14:paraId="2F2581E5">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245" w:type="pct"/>
            <w:noWrap w:val="0"/>
            <w:vAlign w:val="center"/>
          </w:tcPr>
          <w:p w14:paraId="23299C80">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完成情况</w:t>
            </w:r>
          </w:p>
        </w:tc>
        <w:tc>
          <w:tcPr>
            <w:tcW w:w="192" w:type="pct"/>
            <w:vMerge w:val="continue"/>
            <w:noWrap w:val="0"/>
            <w:vAlign w:val="center"/>
          </w:tcPr>
          <w:p w14:paraId="5BD868FC">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321" w:type="pct"/>
            <w:vMerge w:val="continue"/>
            <w:noWrap w:val="0"/>
            <w:vAlign w:val="center"/>
          </w:tcPr>
          <w:p w14:paraId="20A0C50F">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322" w:type="pct"/>
            <w:vMerge w:val="continue"/>
            <w:noWrap w:val="0"/>
            <w:vAlign w:val="center"/>
          </w:tcPr>
          <w:p w14:paraId="64F5F15B">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320" w:type="pct"/>
            <w:noWrap w:val="0"/>
            <w:vAlign w:val="center"/>
          </w:tcPr>
          <w:p w14:paraId="68035D0C">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98.9</w:t>
            </w:r>
          </w:p>
        </w:tc>
        <w:tc>
          <w:tcPr>
            <w:tcW w:w="367" w:type="pct"/>
            <w:noWrap w:val="0"/>
            <w:vAlign w:val="center"/>
          </w:tcPr>
          <w:p w14:paraId="13C5578D">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99.4</w:t>
            </w:r>
          </w:p>
        </w:tc>
        <w:tc>
          <w:tcPr>
            <w:tcW w:w="361" w:type="pct"/>
            <w:noWrap w:val="0"/>
            <w:vAlign w:val="center"/>
          </w:tcPr>
          <w:p w14:paraId="3CA33817">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98.6</w:t>
            </w:r>
          </w:p>
        </w:tc>
        <w:tc>
          <w:tcPr>
            <w:tcW w:w="381" w:type="pct"/>
            <w:noWrap w:val="0"/>
            <w:vAlign w:val="center"/>
          </w:tcPr>
          <w:p w14:paraId="597B9AB1">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100</w:t>
            </w:r>
          </w:p>
        </w:tc>
        <w:tc>
          <w:tcPr>
            <w:tcW w:w="357" w:type="pct"/>
            <w:noWrap w:val="0"/>
            <w:vAlign w:val="center"/>
          </w:tcPr>
          <w:p w14:paraId="2F720D37">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99.72</w:t>
            </w:r>
          </w:p>
        </w:tc>
        <w:tc>
          <w:tcPr>
            <w:tcW w:w="1276" w:type="pct"/>
            <w:vMerge w:val="continue"/>
            <w:noWrap w:val="0"/>
            <w:vAlign w:val="center"/>
          </w:tcPr>
          <w:p w14:paraId="446510AE">
            <w:pPr>
              <w:spacing w:line="260" w:lineRule="exact"/>
              <w:jc w:val="center"/>
              <w:rPr>
                <w:rFonts w:hint="default" w:ascii="Times New Roman" w:hAnsi="Times New Roman" w:eastAsia="仿宋" w:cs="Times New Roman"/>
                <w:color w:val="auto"/>
                <w:sz w:val="21"/>
                <w:szCs w:val="21"/>
                <w:lang w:val="en-US" w:eastAsia="zh-CN"/>
              </w:rPr>
            </w:pPr>
          </w:p>
        </w:tc>
      </w:tr>
      <w:tr w14:paraId="6E544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05" w:type="pct"/>
            <w:vMerge w:val="continue"/>
            <w:noWrap w:val="0"/>
            <w:vAlign w:val="center"/>
          </w:tcPr>
          <w:p w14:paraId="1EF80FE8">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212" w:type="pct"/>
            <w:vMerge w:val="continue"/>
            <w:noWrap w:val="0"/>
            <w:vAlign w:val="center"/>
          </w:tcPr>
          <w:p w14:paraId="444BCB15">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102" w:type="pct"/>
            <w:vMerge w:val="continue"/>
            <w:noWrap w:val="0"/>
            <w:vAlign w:val="center"/>
          </w:tcPr>
          <w:p w14:paraId="6446140E">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432" w:type="pct"/>
            <w:gridSpan w:val="3"/>
            <w:vMerge w:val="restart"/>
            <w:noWrap w:val="0"/>
            <w:vAlign w:val="center"/>
          </w:tcPr>
          <w:p w14:paraId="584DE536">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（2）细颗粒物（PM</w:t>
            </w:r>
            <w:r>
              <w:rPr>
                <w:rFonts w:hint="default" w:ascii="Times New Roman" w:hAnsi="Times New Roman" w:eastAsia="仿宋" w:cs="Times New Roman"/>
                <w:color w:val="auto"/>
                <w:kern w:val="2"/>
                <w:sz w:val="21"/>
                <w:szCs w:val="21"/>
                <w:vertAlign w:val="subscript"/>
                <w:lang w:val="en-US" w:eastAsia="zh-CN" w:bidi="ar-SA"/>
              </w:rPr>
              <w:t>2.5</w:t>
            </w:r>
            <w:r>
              <w:rPr>
                <w:rFonts w:hint="default" w:ascii="Times New Roman" w:hAnsi="Times New Roman" w:eastAsia="仿宋" w:cs="Times New Roman"/>
                <w:color w:val="auto"/>
                <w:kern w:val="2"/>
                <w:sz w:val="21"/>
                <w:szCs w:val="21"/>
                <w:lang w:val="en-US" w:eastAsia="zh-CN" w:bidi="ar-SA"/>
              </w:rPr>
              <w:t>）浓度</w:t>
            </w:r>
          </w:p>
        </w:tc>
        <w:tc>
          <w:tcPr>
            <w:tcW w:w="245" w:type="pct"/>
            <w:noWrap w:val="0"/>
            <w:vAlign w:val="center"/>
          </w:tcPr>
          <w:p w14:paraId="4C85B5CC">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上级考核目标（未下达下降幅度要求，考核浓度）</w:t>
            </w:r>
          </w:p>
        </w:tc>
        <w:tc>
          <w:tcPr>
            <w:tcW w:w="192" w:type="pct"/>
            <w:vMerge w:val="restart"/>
            <w:noWrap w:val="0"/>
            <w:vAlign w:val="center"/>
          </w:tcPr>
          <w:p w14:paraId="4198C151">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微克/立方米</w:t>
            </w:r>
          </w:p>
        </w:tc>
        <w:tc>
          <w:tcPr>
            <w:tcW w:w="321" w:type="pct"/>
            <w:vMerge w:val="continue"/>
            <w:noWrap w:val="0"/>
            <w:vAlign w:val="center"/>
          </w:tcPr>
          <w:p w14:paraId="01BBCA10">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322" w:type="pct"/>
            <w:vMerge w:val="continue"/>
            <w:noWrap w:val="0"/>
            <w:vAlign w:val="center"/>
          </w:tcPr>
          <w:p w14:paraId="60A269F0">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320" w:type="pct"/>
            <w:noWrap w:val="0"/>
            <w:vAlign w:val="center"/>
          </w:tcPr>
          <w:p w14:paraId="378B69DE">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≤35</w:t>
            </w:r>
          </w:p>
        </w:tc>
        <w:tc>
          <w:tcPr>
            <w:tcW w:w="367" w:type="pct"/>
            <w:noWrap w:val="0"/>
            <w:vAlign w:val="center"/>
          </w:tcPr>
          <w:p w14:paraId="1D8E72B9">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≤35</w:t>
            </w:r>
          </w:p>
        </w:tc>
        <w:tc>
          <w:tcPr>
            <w:tcW w:w="361" w:type="pct"/>
            <w:noWrap w:val="0"/>
            <w:vAlign w:val="center"/>
          </w:tcPr>
          <w:p w14:paraId="3E8D6638">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≤35</w:t>
            </w:r>
          </w:p>
        </w:tc>
        <w:tc>
          <w:tcPr>
            <w:tcW w:w="381" w:type="pct"/>
            <w:noWrap w:val="0"/>
            <w:vAlign w:val="center"/>
          </w:tcPr>
          <w:p w14:paraId="4C7DD0DC">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≤35</w:t>
            </w:r>
          </w:p>
        </w:tc>
        <w:tc>
          <w:tcPr>
            <w:tcW w:w="357" w:type="pct"/>
            <w:noWrap w:val="0"/>
            <w:vAlign w:val="center"/>
          </w:tcPr>
          <w:p w14:paraId="46C440BE">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≤35</w:t>
            </w:r>
          </w:p>
        </w:tc>
        <w:tc>
          <w:tcPr>
            <w:tcW w:w="1276" w:type="pct"/>
            <w:vMerge w:val="continue"/>
            <w:noWrap w:val="0"/>
            <w:vAlign w:val="center"/>
          </w:tcPr>
          <w:p w14:paraId="7C15C868">
            <w:pPr>
              <w:spacing w:line="260" w:lineRule="exact"/>
              <w:jc w:val="center"/>
              <w:rPr>
                <w:rFonts w:hint="default" w:ascii="Times New Roman" w:hAnsi="Times New Roman" w:eastAsia="仿宋" w:cs="Times New Roman"/>
                <w:color w:val="auto"/>
                <w:sz w:val="21"/>
                <w:szCs w:val="21"/>
                <w:lang w:val="en-US" w:eastAsia="zh-CN"/>
              </w:rPr>
            </w:pPr>
          </w:p>
        </w:tc>
      </w:tr>
      <w:tr w14:paraId="65227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05" w:type="pct"/>
            <w:vMerge w:val="continue"/>
            <w:noWrap w:val="0"/>
            <w:vAlign w:val="center"/>
          </w:tcPr>
          <w:p w14:paraId="3BF546EA">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212" w:type="pct"/>
            <w:vMerge w:val="continue"/>
            <w:noWrap w:val="0"/>
            <w:vAlign w:val="center"/>
          </w:tcPr>
          <w:p w14:paraId="28E940E8">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102" w:type="pct"/>
            <w:vMerge w:val="continue"/>
            <w:noWrap w:val="0"/>
            <w:vAlign w:val="center"/>
          </w:tcPr>
          <w:p w14:paraId="79ED7300">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432" w:type="pct"/>
            <w:gridSpan w:val="3"/>
            <w:vMerge w:val="continue"/>
            <w:noWrap w:val="0"/>
            <w:vAlign w:val="center"/>
          </w:tcPr>
          <w:p w14:paraId="158431CF">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245" w:type="pct"/>
            <w:noWrap w:val="0"/>
            <w:vAlign w:val="center"/>
          </w:tcPr>
          <w:p w14:paraId="3A640476">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完成情况</w:t>
            </w:r>
          </w:p>
        </w:tc>
        <w:tc>
          <w:tcPr>
            <w:tcW w:w="192" w:type="pct"/>
            <w:vMerge w:val="continue"/>
            <w:noWrap w:val="0"/>
            <w:vAlign w:val="center"/>
          </w:tcPr>
          <w:p w14:paraId="228F4D6B">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321" w:type="pct"/>
            <w:vMerge w:val="continue"/>
            <w:noWrap w:val="0"/>
            <w:vAlign w:val="center"/>
          </w:tcPr>
          <w:p w14:paraId="3787B188">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322" w:type="pct"/>
            <w:vMerge w:val="continue"/>
            <w:noWrap w:val="0"/>
            <w:vAlign w:val="center"/>
          </w:tcPr>
          <w:p w14:paraId="53D4B915">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320" w:type="pct"/>
            <w:noWrap w:val="0"/>
            <w:vAlign w:val="center"/>
          </w:tcPr>
          <w:p w14:paraId="63354D72">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18</w:t>
            </w:r>
          </w:p>
        </w:tc>
        <w:tc>
          <w:tcPr>
            <w:tcW w:w="367" w:type="pct"/>
            <w:noWrap w:val="0"/>
            <w:vAlign w:val="center"/>
          </w:tcPr>
          <w:p w14:paraId="3D863B01">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19</w:t>
            </w:r>
          </w:p>
        </w:tc>
        <w:tc>
          <w:tcPr>
            <w:tcW w:w="361" w:type="pct"/>
            <w:noWrap w:val="0"/>
            <w:vAlign w:val="center"/>
          </w:tcPr>
          <w:p w14:paraId="11692CA7">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18</w:t>
            </w:r>
          </w:p>
        </w:tc>
        <w:tc>
          <w:tcPr>
            <w:tcW w:w="381" w:type="pct"/>
            <w:noWrap w:val="0"/>
            <w:vAlign w:val="center"/>
          </w:tcPr>
          <w:p w14:paraId="79A97CD0">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16</w:t>
            </w:r>
          </w:p>
        </w:tc>
        <w:tc>
          <w:tcPr>
            <w:tcW w:w="357" w:type="pct"/>
            <w:noWrap w:val="0"/>
            <w:vAlign w:val="center"/>
          </w:tcPr>
          <w:p w14:paraId="67B29674">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18</w:t>
            </w:r>
          </w:p>
        </w:tc>
        <w:tc>
          <w:tcPr>
            <w:tcW w:w="1276" w:type="pct"/>
            <w:vMerge w:val="continue"/>
            <w:noWrap w:val="0"/>
            <w:vAlign w:val="center"/>
          </w:tcPr>
          <w:p w14:paraId="230988F2">
            <w:pPr>
              <w:spacing w:line="260" w:lineRule="exact"/>
              <w:jc w:val="center"/>
              <w:rPr>
                <w:rFonts w:hint="default" w:ascii="Times New Roman" w:hAnsi="Times New Roman" w:eastAsia="仿宋" w:cs="Times New Roman"/>
                <w:color w:val="auto"/>
                <w:sz w:val="21"/>
                <w:szCs w:val="21"/>
                <w:lang w:val="en-US" w:eastAsia="zh-CN"/>
              </w:rPr>
            </w:pPr>
          </w:p>
        </w:tc>
      </w:tr>
      <w:tr w14:paraId="0B232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05" w:type="pct"/>
            <w:vMerge w:val="continue"/>
            <w:noWrap w:val="0"/>
            <w:vAlign w:val="center"/>
          </w:tcPr>
          <w:p w14:paraId="25B7699F">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212" w:type="pct"/>
            <w:vMerge w:val="continue"/>
            <w:noWrap w:val="0"/>
            <w:vAlign w:val="center"/>
          </w:tcPr>
          <w:p w14:paraId="74B979AB">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102" w:type="pct"/>
            <w:vMerge w:val="restart"/>
            <w:noWrap w:val="0"/>
            <w:vAlign w:val="center"/>
          </w:tcPr>
          <w:p w14:paraId="42792745">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9</w:t>
            </w:r>
          </w:p>
        </w:tc>
        <w:tc>
          <w:tcPr>
            <w:tcW w:w="678" w:type="pct"/>
            <w:gridSpan w:val="4"/>
            <w:noWrap w:val="0"/>
            <w:vAlign w:val="center"/>
          </w:tcPr>
          <w:p w14:paraId="0050B44F">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水环境质量</w:t>
            </w:r>
          </w:p>
        </w:tc>
        <w:tc>
          <w:tcPr>
            <w:tcW w:w="192" w:type="pct"/>
            <w:vMerge w:val="restart"/>
            <w:noWrap w:val="0"/>
            <w:vAlign w:val="center"/>
          </w:tcPr>
          <w:p w14:paraId="6D332A63">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w:t>
            </w:r>
          </w:p>
        </w:tc>
        <w:tc>
          <w:tcPr>
            <w:tcW w:w="321" w:type="pct"/>
            <w:vMerge w:val="restart"/>
            <w:noWrap w:val="0"/>
            <w:vAlign w:val="center"/>
          </w:tcPr>
          <w:p w14:paraId="78B46F46">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完成上级规定的考核任务；保持稳定或持续改善</w:t>
            </w:r>
          </w:p>
        </w:tc>
        <w:tc>
          <w:tcPr>
            <w:tcW w:w="322" w:type="pct"/>
            <w:vMerge w:val="restart"/>
            <w:noWrap w:val="0"/>
            <w:vAlign w:val="center"/>
          </w:tcPr>
          <w:p w14:paraId="3FBA9B15">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完成上级规定的考核任务；保持稳定或持续改善</w:t>
            </w:r>
          </w:p>
        </w:tc>
        <w:tc>
          <w:tcPr>
            <w:tcW w:w="320" w:type="pct"/>
            <w:noWrap w:val="0"/>
            <w:vAlign w:val="center"/>
          </w:tcPr>
          <w:p w14:paraId="1874038B">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367" w:type="pct"/>
            <w:noWrap w:val="0"/>
            <w:vAlign w:val="center"/>
          </w:tcPr>
          <w:p w14:paraId="3E70FBC8">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361" w:type="pct"/>
            <w:noWrap w:val="0"/>
            <w:vAlign w:val="center"/>
          </w:tcPr>
          <w:p w14:paraId="23BC2142">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381" w:type="pct"/>
            <w:noWrap w:val="0"/>
            <w:vAlign w:val="center"/>
          </w:tcPr>
          <w:p w14:paraId="27E09C88">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357" w:type="pct"/>
            <w:noWrap w:val="0"/>
            <w:vAlign w:val="center"/>
          </w:tcPr>
          <w:p w14:paraId="00A5872F">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1276" w:type="pct"/>
            <w:vMerge w:val="restart"/>
            <w:noWrap w:val="0"/>
            <w:vAlign w:val="center"/>
          </w:tcPr>
          <w:p w14:paraId="783E1580">
            <w:pPr>
              <w:spacing w:line="260" w:lineRule="exact"/>
              <w:jc w:val="center"/>
              <w:rPr>
                <w:rFonts w:hint="default" w:ascii="Times New Roman" w:hAnsi="Times New Roman" w:eastAsia="仿宋" w:cs="Times New Roman"/>
                <w:color w:val="auto"/>
                <w:sz w:val="21"/>
                <w:szCs w:val="21"/>
                <w:lang w:val="en-US" w:eastAsia="zh-CN"/>
              </w:rPr>
            </w:pPr>
            <w:r>
              <w:rPr>
                <w:rFonts w:hint="default" w:ascii="Times New Roman" w:hAnsi="Times New Roman" w:eastAsia="仿宋" w:cs="Times New Roman"/>
                <w:color w:val="auto"/>
                <w:sz w:val="21"/>
                <w:szCs w:val="21"/>
                <w:lang w:val="en-US" w:eastAsia="zh-CN"/>
              </w:rPr>
              <w:t>根据2016</w:t>
            </w:r>
            <w:r>
              <w:rPr>
                <w:rFonts w:hint="eastAsia" w:ascii="Times New Roman" w:hAnsi="Times New Roman" w:eastAsia="仿宋" w:cs="Times New Roman"/>
                <w:color w:val="auto"/>
                <w:sz w:val="21"/>
                <w:szCs w:val="21"/>
                <w:lang w:val="en-US" w:eastAsia="zh-CN"/>
              </w:rPr>
              <w:t>—</w:t>
            </w:r>
            <w:r>
              <w:rPr>
                <w:rFonts w:hint="default" w:ascii="Times New Roman" w:hAnsi="Times New Roman" w:eastAsia="仿宋" w:cs="Times New Roman"/>
                <w:color w:val="auto"/>
                <w:sz w:val="21"/>
                <w:szCs w:val="21"/>
                <w:lang w:val="en-US" w:eastAsia="zh-CN"/>
              </w:rPr>
              <w:t>2021年玉溪市生态环境局提供的水环境约束性考核文件《玉溪市2018年水污染防治实施计划》《玉溪市2019年水污染防治实施计划》《玉溪市2020年水污染防治实施计划》《玉溪市十四五及2021</w:t>
            </w:r>
            <w:r>
              <w:rPr>
                <w:rFonts w:hint="eastAsia" w:ascii="Times New Roman" w:hAnsi="Times New Roman" w:eastAsia="仿宋" w:cs="Times New Roman"/>
                <w:color w:val="auto"/>
                <w:sz w:val="21"/>
                <w:szCs w:val="21"/>
                <w:lang w:val="en-US" w:eastAsia="zh-CN"/>
              </w:rPr>
              <w:t>—</w:t>
            </w:r>
            <w:r>
              <w:rPr>
                <w:rFonts w:hint="default" w:ascii="Times New Roman" w:hAnsi="Times New Roman" w:eastAsia="仿宋" w:cs="Times New Roman"/>
                <w:color w:val="auto"/>
                <w:sz w:val="21"/>
                <w:szCs w:val="21"/>
                <w:lang w:val="en-US" w:eastAsia="zh-CN"/>
              </w:rPr>
              <w:t>2022年生态环境有关指标计划的函》等文件，确定上级考核目标；根据《玉溪市生态环境质量公报》及约束性考核结果文件及证明材料等，新平县2017-2021年均完成上级考核要求。</w:t>
            </w:r>
          </w:p>
        </w:tc>
      </w:tr>
      <w:tr w14:paraId="4DB86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05" w:type="pct"/>
            <w:vMerge w:val="continue"/>
            <w:noWrap w:val="0"/>
            <w:vAlign w:val="center"/>
          </w:tcPr>
          <w:p w14:paraId="7370D9CA">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212" w:type="pct"/>
            <w:vMerge w:val="continue"/>
            <w:noWrap w:val="0"/>
            <w:vAlign w:val="center"/>
          </w:tcPr>
          <w:p w14:paraId="7C1350B2">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102" w:type="pct"/>
            <w:vMerge w:val="continue"/>
            <w:noWrap w:val="0"/>
            <w:vAlign w:val="center"/>
          </w:tcPr>
          <w:p w14:paraId="5EE7163B">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432" w:type="pct"/>
            <w:gridSpan w:val="3"/>
            <w:vMerge w:val="restart"/>
            <w:noWrap w:val="0"/>
            <w:vAlign w:val="center"/>
          </w:tcPr>
          <w:p w14:paraId="27D2EA94">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（1）水质达到或优于Ⅲ类比例</w:t>
            </w:r>
          </w:p>
        </w:tc>
        <w:tc>
          <w:tcPr>
            <w:tcW w:w="245" w:type="pct"/>
            <w:noWrap w:val="0"/>
            <w:vAlign w:val="center"/>
          </w:tcPr>
          <w:p w14:paraId="2A0B292F">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上级考核目标</w:t>
            </w:r>
          </w:p>
        </w:tc>
        <w:tc>
          <w:tcPr>
            <w:tcW w:w="192" w:type="pct"/>
            <w:vMerge w:val="continue"/>
            <w:noWrap w:val="0"/>
            <w:vAlign w:val="center"/>
          </w:tcPr>
          <w:p w14:paraId="1693051E">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321" w:type="pct"/>
            <w:vMerge w:val="continue"/>
            <w:noWrap w:val="0"/>
            <w:vAlign w:val="center"/>
          </w:tcPr>
          <w:p w14:paraId="2C284FD8">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322" w:type="pct"/>
            <w:vMerge w:val="continue"/>
            <w:noWrap w:val="0"/>
            <w:vAlign w:val="center"/>
          </w:tcPr>
          <w:p w14:paraId="025C8421">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320" w:type="pct"/>
            <w:noWrap w:val="0"/>
            <w:vAlign w:val="center"/>
          </w:tcPr>
          <w:p w14:paraId="4DBC42FC">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100</w:t>
            </w:r>
          </w:p>
        </w:tc>
        <w:tc>
          <w:tcPr>
            <w:tcW w:w="367" w:type="pct"/>
            <w:noWrap w:val="0"/>
            <w:vAlign w:val="center"/>
          </w:tcPr>
          <w:p w14:paraId="33808AE8">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100</w:t>
            </w:r>
          </w:p>
        </w:tc>
        <w:tc>
          <w:tcPr>
            <w:tcW w:w="361" w:type="pct"/>
            <w:noWrap w:val="0"/>
            <w:vAlign w:val="center"/>
          </w:tcPr>
          <w:p w14:paraId="1F1F7221">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100</w:t>
            </w:r>
          </w:p>
        </w:tc>
        <w:tc>
          <w:tcPr>
            <w:tcW w:w="381" w:type="pct"/>
            <w:noWrap w:val="0"/>
            <w:vAlign w:val="center"/>
          </w:tcPr>
          <w:p w14:paraId="496FC95A">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100</w:t>
            </w:r>
          </w:p>
        </w:tc>
        <w:tc>
          <w:tcPr>
            <w:tcW w:w="357" w:type="pct"/>
            <w:noWrap w:val="0"/>
            <w:vAlign w:val="center"/>
          </w:tcPr>
          <w:p w14:paraId="1FCA2BD3">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100</w:t>
            </w:r>
          </w:p>
        </w:tc>
        <w:tc>
          <w:tcPr>
            <w:tcW w:w="1276" w:type="pct"/>
            <w:vMerge w:val="continue"/>
            <w:noWrap w:val="0"/>
            <w:vAlign w:val="center"/>
          </w:tcPr>
          <w:p w14:paraId="582CED59">
            <w:pPr>
              <w:spacing w:line="260" w:lineRule="exact"/>
              <w:jc w:val="center"/>
              <w:rPr>
                <w:rFonts w:hint="default" w:ascii="Times New Roman" w:hAnsi="Times New Roman" w:eastAsia="仿宋" w:cs="Times New Roman"/>
                <w:color w:val="auto"/>
                <w:sz w:val="21"/>
                <w:szCs w:val="21"/>
                <w:lang w:val="en-US" w:eastAsia="zh-CN"/>
              </w:rPr>
            </w:pPr>
          </w:p>
        </w:tc>
      </w:tr>
      <w:tr w14:paraId="15F61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05" w:type="pct"/>
            <w:vMerge w:val="continue"/>
            <w:noWrap w:val="0"/>
            <w:vAlign w:val="center"/>
          </w:tcPr>
          <w:p w14:paraId="3FC269A2">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212" w:type="pct"/>
            <w:vMerge w:val="continue"/>
            <w:noWrap w:val="0"/>
            <w:vAlign w:val="center"/>
          </w:tcPr>
          <w:p w14:paraId="21ED5B26">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102" w:type="pct"/>
            <w:vMerge w:val="continue"/>
            <w:noWrap w:val="0"/>
            <w:vAlign w:val="center"/>
          </w:tcPr>
          <w:p w14:paraId="7888329D">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432" w:type="pct"/>
            <w:gridSpan w:val="3"/>
            <w:vMerge w:val="continue"/>
            <w:noWrap w:val="0"/>
            <w:vAlign w:val="center"/>
          </w:tcPr>
          <w:p w14:paraId="1983371B">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245" w:type="pct"/>
            <w:noWrap w:val="0"/>
            <w:vAlign w:val="center"/>
          </w:tcPr>
          <w:p w14:paraId="2F5F788A">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完成情况</w:t>
            </w:r>
          </w:p>
        </w:tc>
        <w:tc>
          <w:tcPr>
            <w:tcW w:w="192" w:type="pct"/>
            <w:vMerge w:val="continue"/>
            <w:noWrap w:val="0"/>
            <w:vAlign w:val="center"/>
          </w:tcPr>
          <w:p w14:paraId="6B52C25E">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321" w:type="pct"/>
            <w:vMerge w:val="continue"/>
            <w:noWrap w:val="0"/>
            <w:vAlign w:val="center"/>
          </w:tcPr>
          <w:p w14:paraId="2B536EA4">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322" w:type="pct"/>
            <w:vMerge w:val="continue"/>
            <w:noWrap w:val="0"/>
            <w:vAlign w:val="center"/>
          </w:tcPr>
          <w:p w14:paraId="3000FBAA">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320" w:type="pct"/>
            <w:noWrap w:val="0"/>
            <w:vAlign w:val="center"/>
          </w:tcPr>
          <w:p w14:paraId="1428AAF4">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100</w:t>
            </w:r>
          </w:p>
        </w:tc>
        <w:tc>
          <w:tcPr>
            <w:tcW w:w="367" w:type="pct"/>
            <w:noWrap w:val="0"/>
            <w:vAlign w:val="center"/>
          </w:tcPr>
          <w:p w14:paraId="5BAC9BF1">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100</w:t>
            </w:r>
          </w:p>
        </w:tc>
        <w:tc>
          <w:tcPr>
            <w:tcW w:w="361" w:type="pct"/>
            <w:noWrap w:val="0"/>
            <w:vAlign w:val="center"/>
          </w:tcPr>
          <w:p w14:paraId="28EEDC5C">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100</w:t>
            </w:r>
          </w:p>
        </w:tc>
        <w:tc>
          <w:tcPr>
            <w:tcW w:w="381" w:type="pct"/>
            <w:noWrap w:val="0"/>
            <w:vAlign w:val="center"/>
          </w:tcPr>
          <w:p w14:paraId="0D8A852A">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100</w:t>
            </w:r>
          </w:p>
        </w:tc>
        <w:tc>
          <w:tcPr>
            <w:tcW w:w="357" w:type="pct"/>
            <w:noWrap w:val="0"/>
            <w:vAlign w:val="center"/>
          </w:tcPr>
          <w:p w14:paraId="1507188A">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100</w:t>
            </w:r>
          </w:p>
        </w:tc>
        <w:tc>
          <w:tcPr>
            <w:tcW w:w="1276" w:type="pct"/>
            <w:vMerge w:val="continue"/>
            <w:noWrap w:val="0"/>
            <w:vAlign w:val="center"/>
          </w:tcPr>
          <w:p w14:paraId="50207764">
            <w:pPr>
              <w:spacing w:line="260" w:lineRule="exact"/>
              <w:jc w:val="center"/>
              <w:rPr>
                <w:rFonts w:hint="default" w:ascii="Times New Roman" w:hAnsi="Times New Roman" w:eastAsia="仿宋" w:cs="Times New Roman"/>
                <w:color w:val="auto"/>
                <w:sz w:val="21"/>
                <w:szCs w:val="21"/>
                <w:lang w:val="en-US" w:eastAsia="zh-CN"/>
              </w:rPr>
            </w:pPr>
          </w:p>
        </w:tc>
      </w:tr>
      <w:tr w14:paraId="07091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7" w:hRule="atLeast"/>
          <w:jc w:val="center"/>
        </w:trPr>
        <w:tc>
          <w:tcPr>
            <w:tcW w:w="105" w:type="pct"/>
            <w:vMerge w:val="continue"/>
            <w:noWrap w:val="0"/>
            <w:vAlign w:val="center"/>
          </w:tcPr>
          <w:p w14:paraId="3EFA0969">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212" w:type="pct"/>
            <w:vMerge w:val="continue"/>
            <w:noWrap w:val="0"/>
            <w:vAlign w:val="center"/>
          </w:tcPr>
          <w:p w14:paraId="4510E0B3">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102" w:type="pct"/>
            <w:vMerge w:val="continue"/>
            <w:noWrap w:val="0"/>
            <w:vAlign w:val="center"/>
          </w:tcPr>
          <w:p w14:paraId="613AA9F8">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432" w:type="pct"/>
            <w:gridSpan w:val="3"/>
            <w:vMerge w:val="restart"/>
            <w:noWrap w:val="0"/>
            <w:vAlign w:val="center"/>
          </w:tcPr>
          <w:p w14:paraId="560D194C">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（2）劣V类水体比例</w:t>
            </w:r>
          </w:p>
        </w:tc>
        <w:tc>
          <w:tcPr>
            <w:tcW w:w="245" w:type="pct"/>
            <w:noWrap w:val="0"/>
            <w:vAlign w:val="center"/>
          </w:tcPr>
          <w:p w14:paraId="7144AC3B">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上级考核目标</w:t>
            </w:r>
          </w:p>
        </w:tc>
        <w:tc>
          <w:tcPr>
            <w:tcW w:w="192" w:type="pct"/>
            <w:vMerge w:val="continue"/>
            <w:noWrap w:val="0"/>
            <w:vAlign w:val="center"/>
          </w:tcPr>
          <w:p w14:paraId="199A9BFF">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321" w:type="pct"/>
            <w:vMerge w:val="continue"/>
            <w:noWrap w:val="0"/>
            <w:vAlign w:val="center"/>
          </w:tcPr>
          <w:p w14:paraId="0C3F15C4">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322" w:type="pct"/>
            <w:vMerge w:val="continue"/>
            <w:noWrap w:val="0"/>
            <w:vAlign w:val="center"/>
          </w:tcPr>
          <w:p w14:paraId="30BA1B6A">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320" w:type="pct"/>
            <w:noWrap w:val="0"/>
            <w:vAlign w:val="center"/>
          </w:tcPr>
          <w:p w14:paraId="34C98D9E">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无劣V类水体</w:t>
            </w:r>
          </w:p>
        </w:tc>
        <w:tc>
          <w:tcPr>
            <w:tcW w:w="367" w:type="pct"/>
            <w:noWrap w:val="0"/>
            <w:vAlign w:val="center"/>
          </w:tcPr>
          <w:p w14:paraId="6A5A15CF">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无劣V类水体</w:t>
            </w:r>
          </w:p>
        </w:tc>
        <w:tc>
          <w:tcPr>
            <w:tcW w:w="361" w:type="pct"/>
            <w:noWrap w:val="0"/>
            <w:vAlign w:val="center"/>
          </w:tcPr>
          <w:p w14:paraId="6317BF61">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无劣V类水体</w:t>
            </w:r>
          </w:p>
        </w:tc>
        <w:tc>
          <w:tcPr>
            <w:tcW w:w="381" w:type="pct"/>
            <w:noWrap w:val="0"/>
            <w:vAlign w:val="center"/>
          </w:tcPr>
          <w:p w14:paraId="5BC1F092">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无劣V类水体</w:t>
            </w:r>
          </w:p>
        </w:tc>
        <w:tc>
          <w:tcPr>
            <w:tcW w:w="357" w:type="pct"/>
            <w:noWrap w:val="0"/>
            <w:vAlign w:val="center"/>
          </w:tcPr>
          <w:p w14:paraId="0073BC02">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无劣V类水体</w:t>
            </w:r>
          </w:p>
        </w:tc>
        <w:tc>
          <w:tcPr>
            <w:tcW w:w="1276" w:type="pct"/>
            <w:vMerge w:val="continue"/>
            <w:noWrap w:val="0"/>
            <w:vAlign w:val="center"/>
          </w:tcPr>
          <w:p w14:paraId="0CEC6944">
            <w:pPr>
              <w:spacing w:line="260" w:lineRule="exact"/>
              <w:jc w:val="center"/>
              <w:rPr>
                <w:rFonts w:hint="default" w:ascii="Times New Roman" w:hAnsi="Times New Roman" w:eastAsia="仿宋" w:cs="Times New Roman"/>
                <w:color w:val="auto"/>
                <w:sz w:val="21"/>
                <w:szCs w:val="21"/>
                <w:lang w:val="en-US" w:eastAsia="zh-CN"/>
              </w:rPr>
            </w:pPr>
          </w:p>
        </w:tc>
      </w:tr>
      <w:tr w14:paraId="0CB67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05" w:type="pct"/>
            <w:vMerge w:val="continue"/>
            <w:noWrap w:val="0"/>
            <w:vAlign w:val="center"/>
          </w:tcPr>
          <w:p w14:paraId="3AF54571">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212" w:type="pct"/>
            <w:vMerge w:val="continue"/>
            <w:noWrap w:val="0"/>
            <w:vAlign w:val="center"/>
          </w:tcPr>
          <w:p w14:paraId="274CAC63">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102" w:type="pct"/>
            <w:vMerge w:val="continue"/>
            <w:noWrap w:val="0"/>
            <w:vAlign w:val="center"/>
          </w:tcPr>
          <w:p w14:paraId="072A0991">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432" w:type="pct"/>
            <w:gridSpan w:val="3"/>
            <w:vMerge w:val="continue"/>
            <w:noWrap w:val="0"/>
            <w:vAlign w:val="center"/>
          </w:tcPr>
          <w:p w14:paraId="7C95C4E4">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245" w:type="pct"/>
            <w:noWrap w:val="0"/>
            <w:vAlign w:val="center"/>
          </w:tcPr>
          <w:p w14:paraId="78A3DA94">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完成情况</w:t>
            </w:r>
          </w:p>
        </w:tc>
        <w:tc>
          <w:tcPr>
            <w:tcW w:w="192" w:type="pct"/>
            <w:vMerge w:val="continue"/>
            <w:noWrap w:val="0"/>
            <w:vAlign w:val="center"/>
          </w:tcPr>
          <w:p w14:paraId="3EC389D1">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321" w:type="pct"/>
            <w:vMerge w:val="continue"/>
            <w:noWrap w:val="0"/>
            <w:vAlign w:val="center"/>
          </w:tcPr>
          <w:p w14:paraId="482B6BA3">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322" w:type="pct"/>
            <w:vMerge w:val="continue"/>
            <w:noWrap w:val="0"/>
            <w:vAlign w:val="center"/>
          </w:tcPr>
          <w:p w14:paraId="5DEA1F7B">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320" w:type="pct"/>
            <w:noWrap w:val="0"/>
            <w:vAlign w:val="center"/>
          </w:tcPr>
          <w:p w14:paraId="22C91375">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无劣V类水体</w:t>
            </w:r>
          </w:p>
        </w:tc>
        <w:tc>
          <w:tcPr>
            <w:tcW w:w="367" w:type="pct"/>
            <w:noWrap w:val="0"/>
            <w:vAlign w:val="center"/>
          </w:tcPr>
          <w:p w14:paraId="32ECFADC">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无劣V类水体</w:t>
            </w:r>
          </w:p>
        </w:tc>
        <w:tc>
          <w:tcPr>
            <w:tcW w:w="361" w:type="pct"/>
            <w:noWrap w:val="0"/>
            <w:vAlign w:val="center"/>
          </w:tcPr>
          <w:p w14:paraId="14F24A4B">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无劣V类水体</w:t>
            </w:r>
          </w:p>
        </w:tc>
        <w:tc>
          <w:tcPr>
            <w:tcW w:w="381" w:type="pct"/>
            <w:noWrap w:val="0"/>
            <w:vAlign w:val="center"/>
          </w:tcPr>
          <w:p w14:paraId="15A11E0D">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无劣V类水体</w:t>
            </w:r>
          </w:p>
        </w:tc>
        <w:tc>
          <w:tcPr>
            <w:tcW w:w="357" w:type="pct"/>
            <w:noWrap w:val="0"/>
            <w:vAlign w:val="center"/>
          </w:tcPr>
          <w:p w14:paraId="4A6C812C">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无劣V类水体</w:t>
            </w:r>
          </w:p>
        </w:tc>
        <w:tc>
          <w:tcPr>
            <w:tcW w:w="1276" w:type="pct"/>
            <w:vMerge w:val="continue"/>
            <w:noWrap w:val="0"/>
            <w:vAlign w:val="center"/>
          </w:tcPr>
          <w:p w14:paraId="23DA53BC">
            <w:pPr>
              <w:spacing w:line="260" w:lineRule="exact"/>
              <w:jc w:val="center"/>
              <w:rPr>
                <w:rFonts w:hint="default" w:ascii="Times New Roman" w:hAnsi="Times New Roman" w:eastAsia="仿宋" w:cs="Times New Roman"/>
                <w:color w:val="auto"/>
                <w:sz w:val="21"/>
                <w:szCs w:val="21"/>
                <w:lang w:val="en-US" w:eastAsia="zh-CN"/>
              </w:rPr>
            </w:pPr>
          </w:p>
        </w:tc>
      </w:tr>
      <w:tr w14:paraId="5809E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05" w:type="pct"/>
            <w:vMerge w:val="continue"/>
            <w:noWrap w:val="0"/>
            <w:vAlign w:val="center"/>
          </w:tcPr>
          <w:p w14:paraId="137552EC">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212" w:type="pct"/>
            <w:vMerge w:val="continue"/>
            <w:noWrap w:val="0"/>
            <w:vAlign w:val="center"/>
          </w:tcPr>
          <w:p w14:paraId="276B691E">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102" w:type="pct"/>
            <w:vMerge w:val="continue"/>
            <w:noWrap w:val="0"/>
            <w:vAlign w:val="center"/>
          </w:tcPr>
          <w:p w14:paraId="14E03266">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432" w:type="pct"/>
            <w:gridSpan w:val="3"/>
            <w:vMerge w:val="restart"/>
            <w:noWrap w:val="0"/>
            <w:vAlign w:val="center"/>
          </w:tcPr>
          <w:p w14:paraId="24943E1F">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（3）城市黑臭水体消除比例</w:t>
            </w:r>
          </w:p>
        </w:tc>
        <w:tc>
          <w:tcPr>
            <w:tcW w:w="245" w:type="pct"/>
            <w:noWrap w:val="0"/>
            <w:vAlign w:val="center"/>
          </w:tcPr>
          <w:p w14:paraId="5692C47E">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上级考核目标</w:t>
            </w:r>
          </w:p>
        </w:tc>
        <w:tc>
          <w:tcPr>
            <w:tcW w:w="192" w:type="pct"/>
            <w:vMerge w:val="continue"/>
            <w:noWrap w:val="0"/>
            <w:vAlign w:val="center"/>
          </w:tcPr>
          <w:p w14:paraId="4F6E078A">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321" w:type="pct"/>
            <w:vMerge w:val="continue"/>
            <w:noWrap w:val="0"/>
            <w:vAlign w:val="center"/>
          </w:tcPr>
          <w:p w14:paraId="57602410">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322" w:type="pct"/>
            <w:vMerge w:val="continue"/>
            <w:noWrap w:val="0"/>
            <w:vAlign w:val="center"/>
          </w:tcPr>
          <w:p w14:paraId="1A11E15C">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320" w:type="pct"/>
            <w:noWrap w:val="0"/>
            <w:vAlign w:val="center"/>
          </w:tcPr>
          <w:p w14:paraId="2BA75636">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无黑臭水体</w:t>
            </w:r>
          </w:p>
        </w:tc>
        <w:tc>
          <w:tcPr>
            <w:tcW w:w="367" w:type="pct"/>
            <w:noWrap w:val="0"/>
            <w:vAlign w:val="center"/>
          </w:tcPr>
          <w:p w14:paraId="61438923">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无黑臭水体</w:t>
            </w:r>
          </w:p>
        </w:tc>
        <w:tc>
          <w:tcPr>
            <w:tcW w:w="361" w:type="pct"/>
            <w:noWrap w:val="0"/>
            <w:vAlign w:val="center"/>
          </w:tcPr>
          <w:p w14:paraId="755BB104">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无黑臭水体</w:t>
            </w:r>
          </w:p>
        </w:tc>
        <w:tc>
          <w:tcPr>
            <w:tcW w:w="381" w:type="pct"/>
            <w:noWrap w:val="0"/>
            <w:vAlign w:val="center"/>
          </w:tcPr>
          <w:p w14:paraId="4B2185BD">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无黑臭水体</w:t>
            </w:r>
          </w:p>
        </w:tc>
        <w:tc>
          <w:tcPr>
            <w:tcW w:w="357" w:type="pct"/>
            <w:noWrap w:val="0"/>
            <w:vAlign w:val="center"/>
          </w:tcPr>
          <w:p w14:paraId="2163D0F8">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无黑臭水体</w:t>
            </w:r>
          </w:p>
        </w:tc>
        <w:tc>
          <w:tcPr>
            <w:tcW w:w="1276" w:type="pct"/>
            <w:vMerge w:val="continue"/>
            <w:noWrap w:val="0"/>
            <w:vAlign w:val="center"/>
          </w:tcPr>
          <w:p w14:paraId="08574CDE">
            <w:pPr>
              <w:spacing w:line="260" w:lineRule="exact"/>
              <w:jc w:val="center"/>
              <w:rPr>
                <w:rFonts w:hint="default" w:ascii="Times New Roman" w:hAnsi="Times New Roman" w:eastAsia="仿宋" w:cs="Times New Roman"/>
                <w:color w:val="auto"/>
                <w:sz w:val="21"/>
                <w:szCs w:val="21"/>
                <w:lang w:val="en-US" w:eastAsia="zh-CN"/>
              </w:rPr>
            </w:pPr>
          </w:p>
        </w:tc>
      </w:tr>
      <w:tr w14:paraId="21AFB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05" w:type="pct"/>
            <w:vMerge w:val="continue"/>
            <w:noWrap w:val="0"/>
            <w:vAlign w:val="center"/>
          </w:tcPr>
          <w:p w14:paraId="25CE9481">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212" w:type="pct"/>
            <w:vMerge w:val="continue"/>
            <w:noWrap w:val="0"/>
            <w:vAlign w:val="center"/>
          </w:tcPr>
          <w:p w14:paraId="78267C1D">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102" w:type="pct"/>
            <w:vMerge w:val="continue"/>
            <w:noWrap w:val="0"/>
            <w:vAlign w:val="center"/>
          </w:tcPr>
          <w:p w14:paraId="71628075">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432" w:type="pct"/>
            <w:gridSpan w:val="3"/>
            <w:vMerge w:val="continue"/>
            <w:noWrap w:val="0"/>
            <w:vAlign w:val="center"/>
          </w:tcPr>
          <w:p w14:paraId="79A2A7DB">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245" w:type="pct"/>
            <w:noWrap w:val="0"/>
            <w:vAlign w:val="center"/>
          </w:tcPr>
          <w:p w14:paraId="52D538D3">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完成情况</w:t>
            </w:r>
          </w:p>
        </w:tc>
        <w:tc>
          <w:tcPr>
            <w:tcW w:w="192" w:type="pct"/>
            <w:vMerge w:val="continue"/>
            <w:noWrap w:val="0"/>
            <w:vAlign w:val="center"/>
          </w:tcPr>
          <w:p w14:paraId="6C665E83">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321" w:type="pct"/>
            <w:vMerge w:val="continue"/>
            <w:noWrap w:val="0"/>
            <w:vAlign w:val="center"/>
          </w:tcPr>
          <w:p w14:paraId="6DB90345">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322" w:type="pct"/>
            <w:vMerge w:val="continue"/>
            <w:noWrap w:val="0"/>
            <w:vAlign w:val="center"/>
          </w:tcPr>
          <w:p w14:paraId="6491C9A9">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320" w:type="pct"/>
            <w:noWrap w:val="0"/>
            <w:vAlign w:val="center"/>
          </w:tcPr>
          <w:p w14:paraId="5001094A">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无黑臭水体</w:t>
            </w:r>
          </w:p>
        </w:tc>
        <w:tc>
          <w:tcPr>
            <w:tcW w:w="367" w:type="pct"/>
            <w:noWrap w:val="0"/>
            <w:vAlign w:val="center"/>
          </w:tcPr>
          <w:p w14:paraId="20F59452">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无黑臭水体</w:t>
            </w:r>
          </w:p>
        </w:tc>
        <w:tc>
          <w:tcPr>
            <w:tcW w:w="361" w:type="pct"/>
            <w:noWrap w:val="0"/>
            <w:vAlign w:val="center"/>
          </w:tcPr>
          <w:p w14:paraId="4C9DB279">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无黑臭水体</w:t>
            </w:r>
          </w:p>
        </w:tc>
        <w:tc>
          <w:tcPr>
            <w:tcW w:w="381" w:type="pct"/>
            <w:noWrap w:val="0"/>
            <w:vAlign w:val="center"/>
          </w:tcPr>
          <w:p w14:paraId="6209C93F">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无黑臭水体</w:t>
            </w:r>
          </w:p>
        </w:tc>
        <w:tc>
          <w:tcPr>
            <w:tcW w:w="357" w:type="pct"/>
            <w:noWrap w:val="0"/>
            <w:vAlign w:val="center"/>
          </w:tcPr>
          <w:p w14:paraId="2EB52C00">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无黑臭水体</w:t>
            </w:r>
          </w:p>
        </w:tc>
        <w:tc>
          <w:tcPr>
            <w:tcW w:w="1276" w:type="pct"/>
            <w:vMerge w:val="continue"/>
            <w:noWrap w:val="0"/>
            <w:vAlign w:val="center"/>
          </w:tcPr>
          <w:p w14:paraId="5D856A15">
            <w:pPr>
              <w:spacing w:line="260" w:lineRule="exact"/>
              <w:jc w:val="center"/>
              <w:rPr>
                <w:rFonts w:hint="default" w:ascii="Times New Roman" w:hAnsi="Times New Roman" w:eastAsia="仿宋" w:cs="Times New Roman"/>
                <w:color w:val="auto"/>
                <w:sz w:val="21"/>
                <w:szCs w:val="21"/>
                <w:lang w:val="en-US" w:eastAsia="zh-CN"/>
              </w:rPr>
            </w:pPr>
          </w:p>
        </w:tc>
      </w:tr>
      <w:tr w14:paraId="22374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05" w:type="pct"/>
            <w:vMerge w:val="continue"/>
            <w:noWrap w:val="0"/>
            <w:vAlign w:val="center"/>
          </w:tcPr>
          <w:p w14:paraId="6D9F338A">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212" w:type="pct"/>
            <w:vMerge w:val="continue"/>
            <w:noWrap w:val="0"/>
            <w:vAlign w:val="center"/>
          </w:tcPr>
          <w:p w14:paraId="0D6B5727">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102" w:type="pct"/>
            <w:noWrap w:val="0"/>
            <w:vAlign w:val="center"/>
          </w:tcPr>
          <w:p w14:paraId="0E80DF4C">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10</w:t>
            </w:r>
          </w:p>
        </w:tc>
        <w:tc>
          <w:tcPr>
            <w:tcW w:w="678" w:type="pct"/>
            <w:gridSpan w:val="4"/>
            <w:noWrap w:val="0"/>
            <w:vAlign w:val="center"/>
          </w:tcPr>
          <w:p w14:paraId="34CB1EA1">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城市声环境质量</w:t>
            </w:r>
          </w:p>
        </w:tc>
        <w:tc>
          <w:tcPr>
            <w:tcW w:w="192" w:type="pct"/>
            <w:noWrap w:val="0"/>
            <w:vAlign w:val="center"/>
          </w:tcPr>
          <w:p w14:paraId="7599D20B">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w:t>
            </w:r>
          </w:p>
        </w:tc>
        <w:tc>
          <w:tcPr>
            <w:tcW w:w="321" w:type="pct"/>
            <w:noWrap w:val="0"/>
            <w:vAlign w:val="center"/>
          </w:tcPr>
          <w:p w14:paraId="5B690DB0">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w:t>
            </w:r>
          </w:p>
        </w:tc>
        <w:tc>
          <w:tcPr>
            <w:tcW w:w="322" w:type="pct"/>
            <w:noWrap w:val="0"/>
            <w:vAlign w:val="center"/>
          </w:tcPr>
          <w:p w14:paraId="117A1FEF">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声环境功能区夜间达标率≥85</w:t>
            </w:r>
          </w:p>
        </w:tc>
        <w:tc>
          <w:tcPr>
            <w:tcW w:w="320" w:type="pct"/>
            <w:noWrap w:val="0"/>
            <w:vAlign w:val="center"/>
          </w:tcPr>
          <w:p w14:paraId="3C5F3EC6">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未划分功能区划</w:t>
            </w:r>
          </w:p>
        </w:tc>
        <w:tc>
          <w:tcPr>
            <w:tcW w:w="367" w:type="pct"/>
            <w:noWrap w:val="0"/>
            <w:vAlign w:val="center"/>
          </w:tcPr>
          <w:p w14:paraId="13B68EC4">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未划分功能区划</w:t>
            </w:r>
          </w:p>
        </w:tc>
        <w:tc>
          <w:tcPr>
            <w:tcW w:w="361" w:type="pct"/>
            <w:noWrap w:val="0"/>
            <w:vAlign w:val="center"/>
          </w:tcPr>
          <w:p w14:paraId="15634B0C">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100</w:t>
            </w:r>
          </w:p>
        </w:tc>
        <w:tc>
          <w:tcPr>
            <w:tcW w:w="381" w:type="pct"/>
            <w:noWrap w:val="0"/>
            <w:vAlign w:val="center"/>
          </w:tcPr>
          <w:p w14:paraId="520B620E">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100</w:t>
            </w:r>
          </w:p>
        </w:tc>
        <w:tc>
          <w:tcPr>
            <w:tcW w:w="357" w:type="pct"/>
            <w:noWrap w:val="0"/>
            <w:vAlign w:val="center"/>
          </w:tcPr>
          <w:p w14:paraId="02D89810">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100</w:t>
            </w:r>
          </w:p>
        </w:tc>
        <w:tc>
          <w:tcPr>
            <w:tcW w:w="1276" w:type="pct"/>
            <w:noWrap w:val="0"/>
            <w:vAlign w:val="center"/>
          </w:tcPr>
          <w:p w14:paraId="53303811">
            <w:pPr>
              <w:spacing w:line="260" w:lineRule="exact"/>
              <w:jc w:val="center"/>
              <w:rPr>
                <w:rFonts w:hint="default" w:ascii="Times New Roman" w:hAnsi="Times New Roman" w:eastAsia="仿宋" w:cs="Times New Roman"/>
                <w:color w:val="auto"/>
                <w:sz w:val="21"/>
                <w:szCs w:val="21"/>
                <w:lang w:val="en-US" w:eastAsia="zh-CN"/>
              </w:rPr>
            </w:pPr>
            <w:r>
              <w:rPr>
                <w:rFonts w:hint="default" w:ascii="Times New Roman" w:hAnsi="Times New Roman" w:eastAsia="仿宋" w:cs="Times New Roman"/>
                <w:color w:val="auto"/>
                <w:sz w:val="21"/>
                <w:szCs w:val="21"/>
                <w:lang w:val="en-US" w:eastAsia="zh-CN"/>
              </w:rPr>
              <w:t>根据《新平县声环境功能区划》，2019年和2021年声环境质量监测报告及总结材料，功能区夜间监测点均满足功能区要求。</w:t>
            </w:r>
          </w:p>
        </w:tc>
      </w:tr>
      <w:tr w14:paraId="5FC4F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05" w:type="pct"/>
            <w:vMerge w:val="continue"/>
            <w:noWrap w:val="0"/>
            <w:vAlign w:val="center"/>
          </w:tcPr>
          <w:p w14:paraId="4FF99C70">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212" w:type="pct"/>
            <w:vMerge w:val="restart"/>
            <w:noWrap w:val="0"/>
            <w:vAlign w:val="center"/>
          </w:tcPr>
          <w:p w14:paraId="2BE0D411">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（三）</w:t>
            </w:r>
          </w:p>
          <w:p w14:paraId="24C5FD5B">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生态系统保护</w:t>
            </w:r>
          </w:p>
        </w:tc>
        <w:tc>
          <w:tcPr>
            <w:tcW w:w="102" w:type="pct"/>
            <w:noWrap w:val="0"/>
            <w:vAlign w:val="center"/>
          </w:tcPr>
          <w:p w14:paraId="3DA83D6E">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11</w:t>
            </w:r>
          </w:p>
        </w:tc>
        <w:tc>
          <w:tcPr>
            <w:tcW w:w="678" w:type="pct"/>
            <w:gridSpan w:val="4"/>
            <w:noWrap w:val="0"/>
            <w:vAlign w:val="center"/>
          </w:tcPr>
          <w:p w14:paraId="69846FE9">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生态环境状况指数</w:t>
            </w:r>
          </w:p>
        </w:tc>
        <w:tc>
          <w:tcPr>
            <w:tcW w:w="192" w:type="pct"/>
            <w:noWrap w:val="0"/>
            <w:vAlign w:val="center"/>
          </w:tcPr>
          <w:p w14:paraId="18B3ED93">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w:t>
            </w:r>
          </w:p>
        </w:tc>
        <w:tc>
          <w:tcPr>
            <w:tcW w:w="321" w:type="pct"/>
            <w:noWrap w:val="0"/>
            <w:vAlign w:val="center"/>
          </w:tcPr>
          <w:p w14:paraId="5F53F1D8">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≥60</w:t>
            </w:r>
          </w:p>
        </w:tc>
        <w:tc>
          <w:tcPr>
            <w:tcW w:w="322" w:type="pct"/>
            <w:noWrap w:val="0"/>
            <w:vAlign w:val="center"/>
          </w:tcPr>
          <w:p w14:paraId="5CEDCEE7">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保持稳定或变好</w:t>
            </w:r>
          </w:p>
        </w:tc>
        <w:tc>
          <w:tcPr>
            <w:tcW w:w="320" w:type="pct"/>
            <w:noWrap w:val="0"/>
            <w:vAlign w:val="center"/>
          </w:tcPr>
          <w:p w14:paraId="3EAE20D9">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w:t>
            </w:r>
          </w:p>
        </w:tc>
        <w:tc>
          <w:tcPr>
            <w:tcW w:w="367" w:type="pct"/>
            <w:noWrap w:val="0"/>
            <w:vAlign w:val="center"/>
          </w:tcPr>
          <w:p w14:paraId="53881548">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w:t>
            </w:r>
          </w:p>
        </w:tc>
        <w:tc>
          <w:tcPr>
            <w:tcW w:w="361" w:type="pct"/>
            <w:noWrap w:val="0"/>
            <w:vAlign w:val="center"/>
          </w:tcPr>
          <w:p w14:paraId="7A2A9533">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79.28</w:t>
            </w:r>
          </w:p>
        </w:tc>
        <w:tc>
          <w:tcPr>
            <w:tcW w:w="381" w:type="pct"/>
            <w:noWrap w:val="0"/>
            <w:vAlign w:val="center"/>
          </w:tcPr>
          <w:p w14:paraId="64B777BD">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77.71</w:t>
            </w:r>
          </w:p>
        </w:tc>
        <w:tc>
          <w:tcPr>
            <w:tcW w:w="357" w:type="pct"/>
            <w:noWrap w:val="0"/>
            <w:vAlign w:val="center"/>
          </w:tcPr>
          <w:p w14:paraId="6BCBFA22">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79.1</w:t>
            </w:r>
          </w:p>
        </w:tc>
        <w:tc>
          <w:tcPr>
            <w:tcW w:w="1276" w:type="pct"/>
            <w:noWrap w:val="0"/>
            <w:vAlign w:val="center"/>
          </w:tcPr>
          <w:p w14:paraId="63DA4BD1">
            <w:pPr>
              <w:spacing w:line="260" w:lineRule="exact"/>
              <w:jc w:val="center"/>
              <w:rPr>
                <w:rFonts w:hint="default" w:ascii="Times New Roman" w:hAnsi="Times New Roman" w:eastAsia="仿宋" w:cs="Times New Roman"/>
                <w:color w:val="auto"/>
                <w:sz w:val="21"/>
                <w:szCs w:val="21"/>
                <w:lang w:val="en-US" w:eastAsia="zh-CN"/>
              </w:rPr>
            </w:pPr>
            <w:r>
              <w:rPr>
                <w:rFonts w:hint="default" w:ascii="Times New Roman" w:hAnsi="Times New Roman" w:eastAsia="仿宋" w:cs="Times New Roman"/>
                <w:color w:val="auto"/>
                <w:sz w:val="21"/>
                <w:szCs w:val="21"/>
                <w:lang w:val="en-US" w:eastAsia="zh-CN"/>
              </w:rPr>
              <w:t>根据云南省生态环境厅《云南省生态环境监测中心关于玉溪市新平县生态环境质量状况说明的函》，新平县2021年生态环境状况指数为79.1。</w:t>
            </w:r>
          </w:p>
        </w:tc>
      </w:tr>
      <w:tr w14:paraId="11CCA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05" w:type="pct"/>
            <w:vMerge w:val="continue"/>
            <w:noWrap w:val="0"/>
            <w:vAlign w:val="center"/>
          </w:tcPr>
          <w:p w14:paraId="2C87CFE7">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212" w:type="pct"/>
            <w:vMerge w:val="continue"/>
            <w:noWrap w:val="0"/>
            <w:vAlign w:val="center"/>
          </w:tcPr>
          <w:p w14:paraId="631A0AE3">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102" w:type="pct"/>
            <w:vMerge w:val="restart"/>
            <w:noWrap w:val="0"/>
            <w:vAlign w:val="center"/>
          </w:tcPr>
          <w:p w14:paraId="3A334614">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12</w:t>
            </w:r>
          </w:p>
        </w:tc>
        <w:tc>
          <w:tcPr>
            <w:tcW w:w="678" w:type="pct"/>
            <w:gridSpan w:val="4"/>
            <w:noWrap w:val="0"/>
            <w:vAlign w:val="center"/>
          </w:tcPr>
          <w:p w14:paraId="2979BE0D">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林草覆盖率</w:t>
            </w:r>
          </w:p>
        </w:tc>
        <w:tc>
          <w:tcPr>
            <w:tcW w:w="192" w:type="pct"/>
            <w:noWrap w:val="0"/>
            <w:vAlign w:val="center"/>
          </w:tcPr>
          <w:p w14:paraId="040E7DF6">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w:t>
            </w:r>
          </w:p>
        </w:tc>
        <w:tc>
          <w:tcPr>
            <w:tcW w:w="321" w:type="pct"/>
            <w:noWrap w:val="0"/>
            <w:vAlign w:val="center"/>
          </w:tcPr>
          <w:p w14:paraId="0B9F3544">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林草覆盖率≥60</w:t>
            </w:r>
          </w:p>
        </w:tc>
        <w:tc>
          <w:tcPr>
            <w:tcW w:w="322" w:type="pct"/>
            <w:noWrap w:val="0"/>
            <w:vAlign w:val="center"/>
          </w:tcPr>
          <w:p w14:paraId="4DA8EAB1">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w:t>
            </w:r>
          </w:p>
        </w:tc>
        <w:tc>
          <w:tcPr>
            <w:tcW w:w="320" w:type="pct"/>
            <w:noWrap w:val="0"/>
            <w:vAlign w:val="center"/>
          </w:tcPr>
          <w:p w14:paraId="47EE44EC">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64.6</w:t>
            </w:r>
          </w:p>
        </w:tc>
        <w:tc>
          <w:tcPr>
            <w:tcW w:w="367" w:type="pct"/>
            <w:noWrap w:val="0"/>
            <w:vAlign w:val="center"/>
          </w:tcPr>
          <w:p w14:paraId="1FC7467A">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65.2</w:t>
            </w:r>
          </w:p>
        </w:tc>
        <w:tc>
          <w:tcPr>
            <w:tcW w:w="361" w:type="pct"/>
            <w:noWrap w:val="0"/>
            <w:vAlign w:val="center"/>
          </w:tcPr>
          <w:p w14:paraId="163DCA61">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69.54</w:t>
            </w:r>
          </w:p>
        </w:tc>
        <w:tc>
          <w:tcPr>
            <w:tcW w:w="381" w:type="pct"/>
            <w:noWrap w:val="0"/>
            <w:vAlign w:val="center"/>
          </w:tcPr>
          <w:p w14:paraId="696178E2">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73.71</w:t>
            </w:r>
          </w:p>
        </w:tc>
        <w:tc>
          <w:tcPr>
            <w:tcW w:w="357" w:type="pct"/>
            <w:noWrap w:val="0"/>
            <w:vAlign w:val="center"/>
          </w:tcPr>
          <w:p w14:paraId="1DA41B00">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73.71</w:t>
            </w:r>
          </w:p>
        </w:tc>
        <w:tc>
          <w:tcPr>
            <w:tcW w:w="1276" w:type="pct"/>
            <w:noWrap w:val="0"/>
            <w:vAlign w:val="center"/>
          </w:tcPr>
          <w:p w14:paraId="0D600E35">
            <w:pPr>
              <w:spacing w:line="260" w:lineRule="exact"/>
              <w:jc w:val="center"/>
              <w:rPr>
                <w:rFonts w:hint="default" w:ascii="Times New Roman" w:hAnsi="Times New Roman" w:eastAsia="仿宋" w:cs="Times New Roman"/>
                <w:color w:val="auto"/>
                <w:sz w:val="21"/>
                <w:szCs w:val="21"/>
                <w:lang w:val="en-US" w:eastAsia="zh-CN"/>
              </w:rPr>
            </w:pPr>
            <w:r>
              <w:rPr>
                <w:rFonts w:hint="default" w:ascii="Times New Roman" w:hAnsi="Times New Roman" w:eastAsia="仿宋" w:cs="Times New Roman"/>
                <w:color w:val="auto"/>
                <w:sz w:val="21"/>
                <w:szCs w:val="21"/>
                <w:lang w:val="en-US" w:eastAsia="zh-CN"/>
              </w:rPr>
              <w:t>2017</w:t>
            </w:r>
            <w:r>
              <w:rPr>
                <w:rFonts w:hint="eastAsia" w:ascii="Times New Roman" w:hAnsi="Times New Roman" w:eastAsia="仿宋" w:cs="Times New Roman"/>
                <w:color w:val="auto"/>
                <w:sz w:val="21"/>
                <w:szCs w:val="21"/>
                <w:lang w:val="en-US" w:eastAsia="zh-CN"/>
              </w:rPr>
              <w:t>—</w:t>
            </w:r>
            <w:r>
              <w:rPr>
                <w:rFonts w:hint="default" w:ascii="Times New Roman" w:hAnsi="Times New Roman" w:eastAsia="仿宋" w:cs="Times New Roman"/>
                <w:color w:val="auto"/>
                <w:sz w:val="21"/>
                <w:szCs w:val="21"/>
                <w:lang w:val="en-US" w:eastAsia="zh-CN"/>
              </w:rPr>
              <w:t>2020年森林覆盖率数据来源为《云南省森林资源主要指标监测报告》《新平县森林资源调查报告或监测报告》，2021年森林覆盖率暂未公报，因此沿用2020年数据。2020-2021草地面积根据国土调查数据核定，为2151.22公顷；2017</w:t>
            </w:r>
            <w:r>
              <w:rPr>
                <w:rFonts w:hint="eastAsia" w:ascii="Times New Roman" w:hAnsi="Times New Roman" w:eastAsia="仿宋" w:cs="Times New Roman"/>
                <w:color w:val="auto"/>
                <w:sz w:val="21"/>
                <w:szCs w:val="21"/>
                <w:lang w:val="en-US" w:eastAsia="zh-CN"/>
              </w:rPr>
              <w:t>—</w:t>
            </w:r>
            <w:r>
              <w:rPr>
                <w:rFonts w:hint="default" w:ascii="Times New Roman" w:hAnsi="Times New Roman" w:eastAsia="仿宋" w:cs="Times New Roman"/>
                <w:color w:val="auto"/>
                <w:sz w:val="21"/>
                <w:szCs w:val="21"/>
                <w:lang w:val="en-US" w:eastAsia="zh-CN"/>
              </w:rPr>
              <w:t>2019年因草地面积未核定，该指标2017</w:t>
            </w:r>
            <w:r>
              <w:rPr>
                <w:rFonts w:hint="eastAsia" w:ascii="Times New Roman" w:hAnsi="Times New Roman" w:eastAsia="仿宋" w:cs="Times New Roman"/>
                <w:color w:val="auto"/>
                <w:sz w:val="21"/>
                <w:szCs w:val="21"/>
                <w:lang w:val="en-US" w:eastAsia="zh-CN"/>
              </w:rPr>
              <w:t>—</w:t>
            </w:r>
            <w:r>
              <w:rPr>
                <w:rFonts w:hint="default" w:ascii="Times New Roman" w:hAnsi="Times New Roman" w:eastAsia="仿宋" w:cs="Times New Roman"/>
                <w:color w:val="auto"/>
                <w:sz w:val="21"/>
                <w:szCs w:val="21"/>
                <w:lang w:val="en-US" w:eastAsia="zh-CN"/>
              </w:rPr>
              <w:t>2019年林草覆盖率数值采用森林覆盖数值。</w:t>
            </w:r>
          </w:p>
        </w:tc>
      </w:tr>
      <w:tr w14:paraId="5908B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05" w:type="pct"/>
            <w:vMerge w:val="continue"/>
            <w:noWrap w:val="0"/>
            <w:vAlign w:val="center"/>
          </w:tcPr>
          <w:p w14:paraId="613667BC">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212" w:type="pct"/>
            <w:vMerge w:val="continue"/>
            <w:noWrap w:val="0"/>
            <w:vAlign w:val="center"/>
          </w:tcPr>
          <w:p w14:paraId="7807BB98">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102" w:type="pct"/>
            <w:vMerge w:val="continue"/>
            <w:noWrap w:val="0"/>
            <w:vAlign w:val="center"/>
          </w:tcPr>
          <w:p w14:paraId="1AF3A4E4">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678" w:type="pct"/>
            <w:gridSpan w:val="4"/>
            <w:noWrap w:val="0"/>
            <w:vAlign w:val="center"/>
          </w:tcPr>
          <w:p w14:paraId="372DFA85">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森林覆盖率</w:t>
            </w:r>
          </w:p>
        </w:tc>
        <w:tc>
          <w:tcPr>
            <w:tcW w:w="192" w:type="pct"/>
            <w:noWrap w:val="0"/>
            <w:vAlign w:val="center"/>
          </w:tcPr>
          <w:p w14:paraId="36760893">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321" w:type="pct"/>
            <w:noWrap w:val="0"/>
            <w:vAlign w:val="center"/>
          </w:tcPr>
          <w:p w14:paraId="096BE737">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w:t>
            </w:r>
          </w:p>
        </w:tc>
        <w:tc>
          <w:tcPr>
            <w:tcW w:w="322" w:type="pct"/>
            <w:noWrap w:val="0"/>
            <w:vAlign w:val="center"/>
          </w:tcPr>
          <w:p w14:paraId="754230CB">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森林覆盖率≥60或逐年提高</w:t>
            </w:r>
          </w:p>
        </w:tc>
        <w:tc>
          <w:tcPr>
            <w:tcW w:w="320" w:type="pct"/>
            <w:noWrap w:val="0"/>
            <w:vAlign w:val="center"/>
          </w:tcPr>
          <w:p w14:paraId="70F539D8">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64.6</w:t>
            </w:r>
          </w:p>
        </w:tc>
        <w:tc>
          <w:tcPr>
            <w:tcW w:w="367" w:type="pct"/>
            <w:noWrap w:val="0"/>
            <w:vAlign w:val="center"/>
          </w:tcPr>
          <w:p w14:paraId="3CE2366E">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65.2</w:t>
            </w:r>
          </w:p>
        </w:tc>
        <w:tc>
          <w:tcPr>
            <w:tcW w:w="361" w:type="pct"/>
            <w:noWrap w:val="0"/>
            <w:vAlign w:val="center"/>
          </w:tcPr>
          <w:p w14:paraId="2B1AF04C">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69.54</w:t>
            </w:r>
          </w:p>
        </w:tc>
        <w:tc>
          <w:tcPr>
            <w:tcW w:w="381" w:type="pct"/>
            <w:noWrap w:val="0"/>
            <w:vAlign w:val="center"/>
          </w:tcPr>
          <w:p w14:paraId="37E437D9">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73.66</w:t>
            </w:r>
          </w:p>
        </w:tc>
        <w:tc>
          <w:tcPr>
            <w:tcW w:w="357" w:type="pct"/>
            <w:noWrap w:val="0"/>
            <w:vAlign w:val="center"/>
          </w:tcPr>
          <w:p w14:paraId="63DAEA4D">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73.66</w:t>
            </w:r>
          </w:p>
        </w:tc>
        <w:tc>
          <w:tcPr>
            <w:tcW w:w="1276" w:type="pct"/>
            <w:noWrap w:val="0"/>
            <w:vAlign w:val="center"/>
          </w:tcPr>
          <w:p w14:paraId="6A93FD72">
            <w:pPr>
              <w:spacing w:line="260" w:lineRule="exact"/>
              <w:jc w:val="center"/>
              <w:rPr>
                <w:rFonts w:hint="default" w:ascii="Times New Roman" w:hAnsi="Times New Roman" w:eastAsia="仿宋" w:cs="Times New Roman"/>
                <w:color w:val="auto"/>
                <w:sz w:val="21"/>
                <w:szCs w:val="21"/>
                <w:lang w:val="en-US" w:eastAsia="zh-CN"/>
              </w:rPr>
            </w:pPr>
            <w:r>
              <w:rPr>
                <w:rFonts w:hint="default" w:ascii="Times New Roman" w:hAnsi="Times New Roman" w:eastAsia="仿宋" w:cs="Times New Roman"/>
                <w:color w:val="auto"/>
                <w:sz w:val="21"/>
                <w:szCs w:val="21"/>
                <w:lang w:val="en-US" w:eastAsia="zh-CN"/>
              </w:rPr>
              <w:t>2017</w:t>
            </w:r>
            <w:r>
              <w:rPr>
                <w:rFonts w:hint="eastAsia" w:ascii="Times New Roman" w:hAnsi="Times New Roman" w:eastAsia="仿宋" w:cs="Times New Roman"/>
                <w:color w:val="auto"/>
                <w:sz w:val="21"/>
                <w:szCs w:val="21"/>
                <w:lang w:val="en-US" w:eastAsia="zh-CN"/>
              </w:rPr>
              <w:t>—</w:t>
            </w:r>
            <w:r>
              <w:rPr>
                <w:rFonts w:hint="default" w:ascii="Times New Roman" w:hAnsi="Times New Roman" w:eastAsia="仿宋" w:cs="Times New Roman"/>
                <w:color w:val="auto"/>
                <w:sz w:val="21"/>
                <w:szCs w:val="21"/>
                <w:lang w:val="en-US" w:eastAsia="zh-CN"/>
              </w:rPr>
              <w:t>2020年森林覆盖率数据来源为《云南省森林资源主要指标监测报告》《新平县森林资源调查报告或监测报告》，2021年森林覆盖率暂未公报，因此沿用2020年数据。</w:t>
            </w:r>
          </w:p>
        </w:tc>
      </w:tr>
      <w:tr w14:paraId="5206B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05" w:type="pct"/>
            <w:vMerge w:val="continue"/>
            <w:noWrap w:val="0"/>
            <w:vAlign w:val="center"/>
          </w:tcPr>
          <w:p w14:paraId="66099767">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212" w:type="pct"/>
            <w:vMerge w:val="continue"/>
            <w:noWrap w:val="0"/>
            <w:vAlign w:val="center"/>
          </w:tcPr>
          <w:p w14:paraId="02F4B80C">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102" w:type="pct"/>
            <w:vMerge w:val="restart"/>
            <w:noWrap w:val="0"/>
            <w:vAlign w:val="center"/>
          </w:tcPr>
          <w:p w14:paraId="5219C05A">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13</w:t>
            </w:r>
          </w:p>
        </w:tc>
        <w:tc>
          <w:tcPr>
            <w:tcW w:w="678" w:type="pct"/>
            <w:gridSpan w:val="4"/>
            <w:noWrap w:val="0"/>
            <w:vAlign w:val="center"/>
          </w:tcPr>
          <w:p w14:paraId="6FEE1FF8">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生物多样性保护</w:t>
            </w:r>
          </w:p>
        </w:tc>
        <w:tc>
          <w:tcPr>
            <w:tcW w:w="192" w:type="pct"/>
            <w:noWrap w:val="0"/>
            <w:vAlign w:val="center"/>
          </w:tcPr>
          <w:p w14:paraId="3506647A">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321" w:type="pct"/>
            <w:noWrap w:val="0"/>
            <w:vAlign w:val="center"/>
          </w:tcPr>
          <w:p w14:paraId="3A6E16EA">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322" w:type="pct"/>
            <w:noWrap w:val="0"/>
            <w:vAlign w:val="center"/>
          </w:tcPr>
          <w:p w14:paraId="30187A50">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320" w:type="pct"/>
            <w:noWrap w:val="0"/>
            <w:vAlign w:val="center"/>
          </w:tcPr>
          <w:p w14:paraId="1F62641F">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367" w:type="pct"/>
            <w:noWrap w:val="0"/>
            <w:vAlign w:val="center"/>
          </w:tcPr>
          <w:p w14:paraId="4608A619">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361" w:type="pct"/>
            <w:noWrap w:val="0"/>
            <w:vAlign w:val="center"/>
          </w:tcPr>
          <w:p w14:paraId="6C40BC5B">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381" w:type="pct"/>
            <w:noWrap w:val="0"/>
            <w:vAlign w:val="center"/>
          </w:tcPr>
          <w:p w14:paraId="67FF6D8B">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357" w:type="pct"/>
            <w:noWrap w:val="0"/>
            <w:vAlign w:val="center"/>
          </w:tcPr>
          <w:p w14:paraId="0153D5CB">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1276" w:type="pct"/>
            <w:vMerge w:val="restart"/>
            <w:noWrap w:val="0"/>
            <w:vAlign w:val="center"/>
          </w:tcPr>
          <w:p w14:paraId="5E32C9A7">
            <w:pPr>
              <w:spacing w:line="260" w:lineRule="exact"/>
              <w:jc w:val="center"/>
              <w:rPr>
                <w:rFonts w:hint="default" w:ascii="Times New Roman" w:hAnsi="Times New Roman" w:eastAsia="仿宋" w:cs="Times New Roman"/>
                <w:color w:val="auto"/>
                <w:sz w:val="21"/>
                <w:szCs w:val="21"/>
                <w:lang w:val="en-US" w:eastAsia="zh-CN"/>
              </w:rPr>
            </w:pPr>
            <w:r>
              <w:rPr>
                <w:rFonts w:hint="default" w:ascii="Times New Roman" w:hAnsi="Times New Roman" w:eastAsia="仿宋" w:cs="Times New Roman"/>
                <w:color w:val="auto"/>
                <w:sz w:val="21"/>
                <w:szCs w:val="21"/>
                <w:lang w:val="en-US" w:eastAsia="zh-CN"/>
              </w:rPr>
              <w:t>根据《新平县分布国家重点保护野生动植物目录（2021年）》，新平县境内国家一级保护植物有4种，国家一级保护动物共21种。长期以来，新平县切实加强生物多样性保护和生态修复，不断完善生物多样性保护规划及管理体系，加大监管和执法力度，生物多样性保护工作取得显著成效。根据县林草局、水务局、农业农村局调查，境内有薇甘菊、空心莲子草（水花生）、凤眼莲（水葫芦）3种等外来入侵植物物种，县内外来物种未造成明显影响。新平县境内并无特有性或指示性水生物种</w:t>
            </w:r>
          </w:p>
        </w:tc>
      </w:tr>
      <w:tr w14:paraId="2B9E5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00" w:hRule="atLeast"/>
          <w:jc w:val="center"/>
        </w:trPr>
        <w:tc>
          <w:tcPr>
            <w:tcW w:w="105" w:type="pct"/>
            <w:vMerge w:val="continue"/>
            <w:noWrap w:val="0"/>
            <w:vAlign w:val="center"/>
          </w:tcPr>
          <w:p w14:paraId="121695DE">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212" w:type="pct"/>
            <w:vMerge w:val="continue"/>
            <w:noWrap w:val="0"/>
            <w:vAlign w:val="center"/>
          </w:tcPr>
          <w:p w14:paraId="338A5997">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102" w:type="pct"/>
            <w:vMerge w:val="continue"/>
            <w:noWrap w:val="0"/>
            <w:vAlign w:val="center"/>
          </w:tcPr>
          <w:p w14:paraId="08C12BC3">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678" w:type="pct"/>
            <w:gridSpan w:val="4"/>
            <w:noWrap w:val="0"/>
            <w:vAlign w:val="center"/>
          </w:tcPr>
          <w:p w14:paraId="5EE55C7E">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（1）国家重点保护野生动植物保护率</w:t>
            </w:r>
          </w:p>
        </w:tc>
        <w:tc>
          <w:tcPr>
            <w:tcW w:w="192" w:type="pct"/>
            <w:noWrap w:val="0"/>
            <w:vAlign w:val="center"/>
          </w:tcPr>
          <w:p w14:paraId="20E4F669">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w:t>
            </w:r>
          </w:p>
        </w:tc>
        <w:tc>
          <w:tcPr>
            <w:tcW w:w="321" w:type="pct"/>
            <w:noWrap w:val="0"/>
            <w:vAlign w:val="center"/>
          </w:tcPr>
          <w:p w14:paraId="3964D8CE">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≥95</w:t>
            </w:r>
          </w:p>
        </w:tc>
        <w:tc>
          <w:tcPr>
            <w:tcW w:w="322" w:type="pct"/>
            <w:noWrap w:val="0"/>
            <w:vAlign w:val="center"/>
          </w:tcPr>
          <w:p w14:paraId="5E4B1AB7">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≥85</w:t>
            </w:r>
          </w:p>
        </w:tc>
        <w:tc>
          <w:tcPr>
            <w:tcW w:w="320" w:type="pct"/>
            <w:noWrap w:val="0"/>
            <w:vAlign w:val="center"/>
          </w:tcPr>
          <w:p w14:paraId="190C1ADE">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eastAsia" w:ascii="Times New Roman" w:hAnsi="Times New Roman" w:eastAsia="仿宋" w:cs="Times New Roman"/>
                <w:color w:val="auto"/>
                <w:kern w:val="2"/>
                <w:sz w:val="21"/>
                <w:szCs w:val="21"/>
                <w:lang w:val="en-US" w:eastAsia="zh-CN" w:bidi="ar-SA"/>
              </w:rPr>
              <w:t>95</w:t>
            </w:r>
          </w:p>
        </w:tc>
        <w:tc>
          <w:tcPr>
            <w:tcW w:w="367" w:type="pct"/>
            <w:noWrap w:val="0"/>
            <w:vAlign w:val="center"/>
          </w:tcPr>
          <w:p w14:paraId="7CF398C3">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eastAsia" w:ascii="Times New Roman" w:hAnsi="Times New Roman" w:eastAsia="仿宋" w:cs="Times New Roman"/>
                <w:color w:val="auto"/>
                <w:kern w:val="2"/>
                <w:sz w:val="21"/>
                <w:szCs w:val="21"/>
                <w:lang w:val="en-US" w:eastAsia="zh-CN" w:bidi="ar-SA"/>
              </w:rPr>
              <w:t>95</w:t>
            </w:r>
          </w:p>
        </w:tc>
        <w:tc>
          <w:tcPr>
            <w:tcW w:w="361" w:type="pct"/>
            <w:noWrap w:val="0"/>
            <w:vAlign w:val="center"/>
          </w:tcPr>
          <w:p w14:paraId="3E694B51">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eastAsia" w:ascii="Times New Roman" w:hAnsi="Times New Roman" w:eastAsia="仿宋" w:cs="Times New Roman"/>
                <w:color w:val="auto"/>
                <w:kern w:val="2"/>
                <w:sz w:val="21"/>
                <w:szCs w:val="21"/>
                <w:lang w:val="en-US" w:eastAsia="zh-CN" w:bidi="ar-SA"/>
              </w:rPr>
              <w:t>95</w:t>
            </w:r>
          </w:p>
        </w:tc>
        <w:tc>
          <w:tcPr>
            <w:tcW w:w="381" w:type="pct"/>
            <w:noWrap w:val="0"/>
            <w:vAlign w:val="center"/>
          </w:tcPr>
          <w:p w14:paraId="315F3624">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eastAsia" w:ascii="Times New Roman" w:hAnsi="Times New Roman" w:eastAsia="仿宋" w:cs="Times New Roman"/>
                <w:color w:val="auto"/>
                <w:kern w:val="2"/>
                <w:sz w:val="21"/>
                <w:szCs w:val="21"/>
                <w:lang w:val="en-US" w:eastAsia="zh-CN" w:bidi="ar-SA"/>
              </w:rPr>
              <w:t>95</w:t>
            </w:r>
          </w:p>
        </w:tc>
        <w:tc>
          <w:tcPr>
            <w:tcW w:w="357" w:type="pct"/>
            <w:noWrap w:val="0"/>
            <w:vAlign w:val="center"/>
          </w:tcPr>
          <w:p w14:paraId="06CB2CD0">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eastAsia" w:ascii="Times New Roman" w:hAnsi="Times New Roman" w:eastAsia="仿宋" w:cs="Times New Roman"/>
                <w:color w:val="auto"/>
                <w:kern w:val="2"/>
                <w:sz w:val="21"/>
                <w:szCs w:val="21"/>
                <w:lang w:val="en-US" w:eastAsia="zh-CN" w:bidi="ar-SA"/>
              </w:rPr>
              <w:t>95</w:t>
            </w:r>
          </w:p>
        </w:tc>
        <w:tc>
          <w:tcPr>
            <w:tcW w:w="1276" w:type="pct"/>
            <w:vMerge w:val="continue"/>
            <w:noWrap w:val="0"/>
            <w:vAlign w:val="center"/>
          </w:tcPr>
          <w:p w14:paraId="0C61F714">
            <w:pPr>
              <w:spacing w:line="260" w:lineRule="exact"/>
              <w:jc w:val="center"/>
              <w:rPr>
                <w:rFonts w:hint="default" w:ascii="Times New Roman" w:hAnsi="Times New Roman" w:eastAsia="仿宋" w:cs="Times New Roman"/>
                <w:color w:val="auto"/>
                <w:sz w:val="21"/>
                <w:szCs w:val="21"/>
                <w:lang w:val="en-US" w:eastAsia="zh-CN"/>
              </w:rPr>
            </w:pPr>
          </w:p>
        </w:tc>
      </w:tr>
      <w:tr w14:paraId="20756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14" w:hRule="atLeast"/>
          <w:jc w:val="center"/>
        </w:trPr>
        <w:tc>
          <w:tcPr>
            <w:tcW w:w="105" w:type="pct"/>
            <w:vMerge w:val="continue"/>
            <w:noWrap w:val="0"/>
            <w:vAlign w:val="center"/>
          </w:tcPr>
          <w:p w14:paraId="6AB85930">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212" w:type="pct"/>
            <w:vMerge w:val="continue"/>
            <w:noWrap w:val="0"/>
            <w:vAlign w:val="center"/>
          </w:tcPr>
          <w:p w14:paraId="54E4C3D7">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102" w:type="pct"/>
            <w:vMerge w:val="continue"/>
            <w:noWrap w:val="0"/>
            <w:vAlign w:val="center"/>
          </w:tcPr>
          <w:p w14:paraId="62B11C93">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678" w:type="pct"/>
            <w:gridSpan w:val="4"/>
            <w:noWrap w:val="0"/>
            <w:vAlign w:val="center"/>
          </w:tcPr>
          <w:p w14:paraId="519C9088">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（2）外来物种入侵</w:t>
            </w:r>
          </w:p>
          <w:p w14:paraId="4F7AB567">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192" w:type="pct"/>
            <w:noWrap w:val="0"/>
            <w:vAlign w:val="center"/>
          </w:tcPr>
          <w:p w14:paraId="4CBEEE92">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w:t>
            </w:r>
          </w:p>
        </w:tc>
        <w:tc>
          <w:tcPr>
            <w:tcW w:w="321" w:type="pct"/>
            <w:noWrap w:val="0"/>
            <w:vAlign w:val="center"/>
          </w:tcPr>
          <w:p w14:paraId="29D92AA0">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不明显</w:t>
            </w:r>
          </w:p>
        </w:tc>
        <w:tc>
          <w:tcPr>
            <w:tcW w:w="322" w:type="pct"/>
            <w:noWrap w:val="0"/>
            <w:vAlign w:val="center"/>
          </w:tcPr>
          <w:p w14:paraId="14024AF5">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不明显</w:t>
            </w:r>
          </w:p>
        </w:tc>
        <w:tc>
          <w:tcPr>
            <w:tcW w:w="320" w:type="pct"/>
            <w:noWrap w:val="0"/>
            <w:vAlign w:val="center"/>
          </w:tcPr>
          <w:p w14:paraId="0DAD7659">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不明显</w:t>
            </w:r>
          </w:p>
        </w:tc>
        <w:tc>
          <w:tcPr>
            <w:tcW w:w="367" w:type="pct"/>
            <w:noWrap w:val="0"/>
            <w:vAlign w:val="center"/>
          </w:tcPr>
          <w:p w14:paraId="1CE6EB80">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不明显</w:t>
            </w:r>
          </w:p>
        </w:tc>
        <w:tc>
          <w:tcPr>
            <w:tcW w:w="361" w:type="pct"/>
            <w:noWrap w:val="0"/>
            <w:vAlign w:val="center"/>
          </w:tcPr>
          <w:p w14:paraId="7E0DC750">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不明显</w:t>
            </w:r>
          </w:p>
        </w:tc>
        <w:tc>
          <w:tcPr>
            <w:tcW w:w="381" w:type="pct"/>
            <w:noWrap w:val="0"/>
            <w:vAlign w:val="center"/>
          </w:tcPr>
          <w:p w14:paraId="19D32D73">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不明显</w:t>
            </w:r>
          </w:p>
        </w:tc>
        <w:tc>
          <w:tcPr>
            <w:tcW w:w="357" w:type="pct"/>
            <w:noWrap w:val="0"/>
            <w:vAlign w:val="center"/>
          </w:tcPr>
          <w:p w14:paraId="0CA63B36">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不明显</w:t>
            </w:r>
          </w:p>
        </w:tc>
        <w:tc>
          <w:tcPr>
            <w:tcW w:w="1276" w:type="pct"/>
            <w:vMerge w:val="continue"/>
            <w:noWrap w:val="0"/>
            <w:vAlign w:val="center"/>
          </w:tcPr>
          <w:p w14:paraId="4BBE10C7">
            <w:pPr>
              <w:spacing w:line="260" w:lineRule="exact"/>
              <w:jc w:val="center"/>
              <w:rPr>
                <w:rFonts w:hint="default" w:ascii="Times New Roman" w:hAnsi="Times New Roman" w:eastAsia="仿宋" w:cs="Times New Roman"/>
                <w:color w:val="auto"/>
                <w:sz w:val="21"/>
                <w:szCs w:val="21"/>
                <w:lang w:val="en-US" w:eastAsia="zh-CN"/>
              </w:rPr>
            </w:pPr>
          </w:p>
        </w:tc>
      </w:tr>
      <w:tr w14:paraId="6A912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6" w:hRule="atLeast"/>
          <w:jc w:val="center"/>
        </w:trPr>
        <w:tc>
          <w:tcPr>
            <w:tcW w:w="105" w:type="pct"/>
            <w:vMerge w:val="continue"/>
            <w:noWrap w:val="0"/>
            <w:vAlign w:val="center"/>
          </w:tcPr>
          <w:p w14:paraId="7964C4CC">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212" w:type="pct"/>
            <w:vMerge w:val="continue"/>
            <w:noWrap w:val="0"/>
            <w:vAlign w:val="center"/>
          </w:tcPr>
          <w:p w14:paraId="1B048F20">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102" w:type="pct"/>
            <w:vMerge w:val="continue"/>
            <w:noWrap w:val="0"/>
            <w:vAlign w:val="center"/>
          </w:tcPr>
          <w:p w14:paraId="459E4806">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678" w:type="pct"/>
            <w:gridSpan w:val="4"/>
            <w:noWrap w:val="0"/>
            <w:vAlign w:val="center"/>
          </w:tcPr>
          <w:p w14:paraId="23AB3299">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（3）特有性或指示性水生物种保持率</w:t>
            </w:r>
          </w:p>
        </w:tc>
        <w:tc>
          <w:tcPr>
            <w:tcW w:w="192" w:type="pct"/>
            <w:noWrap w:val="0"/>
            <w:vAlign w:val="center"/>
          </w:tcPr>
          <w:p w14:paraId="31AADB54">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w:t>
            </w:r>
          </w:p>
        </w:tc>
        <w:tc>
          <w:tcPr>
            <w:tcW w:w="321" w:type="pct"/>
            <w:noWrap w:val="0"/>
            <w:vAlign w:val="center"/>
          </w:tcPr>
          <w:p w14:paraId="00DB8B49">
            <w:pPr>
              <w:spacing w:line="260" w:lineRule="exact"/>
              <w:jc w:val="center"/>
              <w:rPr>
                <w:rFonts w:hint="eastAsia"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新平县境内并无特有性或指示性水生物种</w:t>
            </w:r>
          </w:p>
        </w:tc>
        <w:tc>
          <w:tcPr>
            <w:tcW w:w="322" w:type="pct"/>
            <w:noWrap w:val="0"/>
            <w:vAlign w:val="center"/>
          </w:tcPr>
          <w:p w14:paraId="2DD86111">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新平县境内并无特有性或指示性水生物种</w:t>
            </w:r>
          </w:p>
        </w:tc>
        <w:tc>
          <w:tcPr>
            <w:tcW w:w="320" w:type="pct"/>
            <w:noWrap w:val="0"/>
            <w:vAlign w:val="center"/>
          </w:tcPr>
          <w:p w14:paraId="71DCE8F6">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无特有性或指示性水生物种</w:t>
            </w:r>
          </w:p>
        </w:tc>
        <w:tc>
          <w:tcPr>
            <w:tcW w:w="367" w:type="pct"/>
            <w:noWrap w:val="0"/>
            <w:vAlign w:val="center"/>
          </w:tcPr>
          <w:p w14:paraId="06C75641">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无特有性或指示性水生物种</w:t>
            </w:r>
          </w:p>
        </w:tc>
        <w:tc>
          <w:tcPr>
            <w:tcW w:w="361" w:type="pct"/>
            <w:noWrap w:val="0"/>
            <w:vAlign w:val="center"/>
          </w:tcPr>
          <w:p w14:paraId="53BA7255">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无特有性或指示性水生物种</w:t>
            </w:r>
          </w:p>
        </w:tc>
        <w:tc>
          <w:tcPr>
            <w:tcW w:w="381" w:type="pct"/>
            <w:noWrap w:val="0"/>
            <w:vAlign w:val="center"/>
          </w:tcPr>
          <w:p w14:paraId="175D2715">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无特有性或指示性水生物种</w:t>
            </w:r>
          </w:p>
        </w:tc>
        <w:tc>
          <w:tcPr>
            <w:tcW w:w="357" w:type="pct"/>
            <w:noWrap w:val="0"/>
            <w:vAlign w:val="center"/>
          </w:tcPr>
          <w:p w14:paraId="6F25E27B">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无特有性或指示性水生物种</w:t>
            </w:r>
          </w:p>
        </w:tc>
        <w:tc>
          <w:tcPr>
            <w:tcW w:w="1276" w:type="pct"/>
            <w:vMerge w:val="continue"/>
            <w:noWrap w:val="0"/>
            <w:vAlign w:val="center"/>
          </w:tcPr>
          <w:p w14:paraId="4754FF80">
            <w:pPr>
              <w:spacing w:line="260" w:lineRule="exact"/>
              <w:jc w:val="center"/>
              <w:rPr>
                <w:rFonts w:hint="default" w:ascii="Times New Roman" w:hAnsi="Times New Roman" w:eastAsia="仿宋" w:cs="Times New Roman"/>
                <w:color w:val="auto"/>
                <w:sz w:val="21"/>
                <w:szCs w:val="21"/>
                <w:lang w:val="en-US" w:eastAsia="zh-CN"/>
              </w:rPr>
            </w:pPr>
          </w:p>
        </w:tc>
      </w:tr>
      <w:tr w14:paraId="3E993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05" w:type="pct"/>
            <w:vMerge w:val="continue"/>
            <w:noWrap w:val="0"/>
            <w:vAlign w:val="center"/>
          </w:tcPr>
          <w:p w14:paraId="23218091">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212" w:type="pct"/>
            <w:vMerge w:val="restart"/>
            <w:noWrap w:val="0"/>
            <w:vAlign w:val="center"/>
          </w:tcPr>
          <w:p w14:paraId="125C0B8F">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（四）</w:t>
            </w:r>
          </w:p>
          <w:p w14:paraId="777D28E6">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生态环境风险防范</w:t>
            </w:r>
          </w:p>
        </w:tc>
        <w:tc>
          <w:tcPr>
            <w:tcW w:w="102" w:type="pct"/>
            <w:noWrap w:val="0"/>
            <w:vAlign w:val="center"/>
          </w:tcPr>
          <w:p w14:paraId="7BEA3CAC">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14</w:t>
            </w:r>
          </w:p>
        </w:tc>
        <w:tc>
          <w:tcPr>
            <w:tcW w:w="678" w:type="pct"/>
            <w:gridSpan w:val="4"/>
            <w:noWrap w:val="0"/>
            <w:vAlign w:val="center"/>
          </w:tcPr>
          <w:p w14:paraId="082326AE">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危险废物利用处置率</w:t>
            </w:r>
          </w:p>
        </w:tc>
        <w:tc>
          <w:tcPr>
            <w:tcW w:w="192" w:type="pct"/>
            <w:noWrap w:val="0"/>
            <w:vAlign w:val="center"/>
          </w:tcPr>
          <w:p w14:paraId="7C384983">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w:t>
            </w:r>
          </w:p>
        </w:tc>
        <w:tc>
          <w:tcPr>
            <w:tcW w:w="321" w:type="pct"/>
            <w:noWrap w:val="0"/>
            <w:vAlign w:val="center"/>
          </w:tcPr>
          <w:p w14:paraId="7294F269">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100</w:t>
            </w:r>
          </w:p>
        </w:tc>
        <w:tc>
          <w:tcPr>
            <w:tcW w:w="322" w:type="pct"/>
            <w:noWrap w:val="0"/>
            <w:vAlign w:val="center"/>
          </w:tcPr>
          <w:p w14:paraId="398DD49C">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100</w:t>
            </w:r>
          </w:p>
        </w:tc>
        <w:tc>
          <w:tcPr>
            <w:tcW w:w="320" w:type="pct"/>
            <w:noWrap w:val="0"/>
            <w:vAlign w:val="center"/>
          </w:tcPr>
          <w:p w14:paraId="0C63DAB8">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100</w:t>
            </w:r>
          </w:p>
        </w:tc>
        <w:tc>
          <w:tcPr>
            <w:tcW w:w="367" w:type="pct"/>
            <w:noWrap w:val="0"/>
            <w:vAlign w:val="center"/>
          </w:tcPr>
          <w:p w14:paraId="4C380177">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100</w:t>
            </w:r>
          </w:p>
        </w:tc>
        <w:tc>
          <w:tcPr>
            <w:tcW w:w="361" w:type="pct"/>
            <w:noWrap w:val="0"/>
            <w:vAlign w:val="center"/>
          </w:tcPr>
          <w:p w14:paraId="644D900D">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100</w:t>
            </w:r>
          </w:p>
        </w:tc>
        <w:tc>
          <w:tcPr>
            <w:tcW w:w="381" w:type="pct"/>
            <w:noWrap w:val="0"/>
            <w:vAlign w:val="center"/>
          </w:tcPr>
          <w:p w14:paraId="7E5160A8">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100</w:t>
            </w:r>
          </w:p>
        </w:tc>
        <w:tc>
          <w:tcPr>
            <w:tcW w:w="357" w:type="pct"/>
            <w:noWrap w:val="0"/>
            <w:vAlign w:val="center"/>
          </w:tcPr>
          <w:p w14:paraId="37B68566">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100</w:t>
            </w:r>
          </w:p>
        </w:tc>
        <w:tc>
          <w:tcPr>
            <w:tcW w:w="1276" w:type="pct"/>
            <w:noWrap w:val="0"/>
            <w:vAlign w:val="center"/>
          </w:tcPr>
          <w:p w14:paraId="52B69AD7">
            <w:pPr>
              <w:spacing w:line="260" w:lineRule="exact"/>
              <w:jc w:val="center"/>
              <w:rPr>
                <w:rFonts w:hint="default" w:ascii="Times New Roman" w:hAnsi="Times New Roman" w:eastAsia="仿宋" w:cs="Times New Roman"/>
                <w:color w:val="auto"/>
                <w:sz w:val="21"/>
                <w:szCs w:val="21"/>
                <w:lang w:val="en-US" w:eastAsia="zh-CN"/>
              </w:rPr>
            </w:pPr>
            <w:r>
              <w:rPr>
                <w:rFonts w:hint="default" w:ascii="Times New Roman" w:hAnsi="Times New Roman" w:eastAsia="仿宋" w:cs="Times New Roman"/>
                <w:color w:val="auto"/>
                <w:sz w:val="21"/>
                <w:szCs w:val="21"/>
                <w:lang w:val="en-US" w:eastAsia="zh-CN"/>
              </w:rPr>
              <w:t>根据新平县2016</w:t>
            </w:r>
            <w:r>
              <w:rPr>
                <w:rFonts w:hint="eastAsia" w:ascii="Times New Roman" w:hAnsi="Times New Roman" w:eastAsia="仿宋" w:cs="Times New Roman"/>
                <w:color w:val="auto"/>
                <w:sz w:val="21"/>
                <w:szCs w:val="21"/>
                <w:lang w:val="en-US" w:eastAsia="zh-CN"/>
              </w:rPr>
              <w:t>—</w:t>
            </w:r>
            <w:r>
              <w:rPr>
                <w:rFonts w:hint="default" w:ascii="Times New Roman" w:hAnsi="Times New Roman" w:eastAsia="仿宋" w:cs="Times New Roman"/>
                <w:color w:val="auto"/>
                <w:sz w:val="21"/>
                <w:szCs w:val="21"/>
                <w:lang w:val="en-US" w:eastAsia="zh-CN"/>
              </w:rPr>
              <w:t>2021年环境统计危险废物统计表及新平县卫健局2016</w:t>
            </w:r>
            <w:r>
              <w:rPr>
                <w:rFonts w:hint="eastAsia" w:ascii="Times New Roman" w:hAnsi="Times New Roman" w:eastAsia="仿宋" w:cs="Times New Roman"/>
                <w:color w:val="auto"/>
                <w:sz w:val="21"/>
                <w:szCs w:val="21"/>
                <w:lang w:val="en-US" w:eastAsia="zh-CN"/>
              </w:rPr>
              <w:t>—</w:t>
            </w:r>
            <w:r>
              <w:rPr>
                <w:rFonts w:hint="default" w:ascii="Times New Roman" w:hAnsi="Times New Roman" w:eastAsia="仿宋" w:cs="Times New Roman"/>
                <w:color w:val="auto"/>
                <w:sz w:val="21"/>
                <w:szCs w:val="21"/>
                <w:lang w:val="en-US" w:eastAsia="zh-CN"/>
              </w:rPr>
              <w:t>2021年医疗废物统计表。全县危险废物和医疗废物均由有资质的第三方进行收集处理。</w:t>
            </w:r>
          </w:p>
        </w:tc>
      </w:tr>
      <w:tr w14:paraId="40012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05" w:type="pct"/>
            <w:vMerge w:val="continue"/>
            <w:noWrap w:val="0"/>
            <w:vAlign w:val="center"/>
          </w:tcPr>
          <w:p w14:paraId="7642316A">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212" w:type="pct"/>
            <w:vMerge w:val="continue"/>
            <w:noWrap w:val="0"/>
            <w:vAlign w:val="center"/>
          </w:tcPr>
          <w:p w14:paraId="4A864C3A">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102" w:type="pct"/>
            <w:noWrap w:val="0"/>
            <w:vAlign w:val="center"/>
          </w:tcPr>
          <w:p w14:paraId="5E71EFA4">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15</w:t>
            </w:r>
          </w:p>
        </w:tc>
        <w:tc>
          <w:tcPr>
            <w:tcW w:w="678" w:type="pct"/>
            <w:gridSpan w:val="4"/>
            <w:noWrap w:val="0"/>
            <w:vAlign w:val="center"/>
          </w:tcPr>
          <w:p w14:paraId="69BFAB31">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突发生态环境事件应急管理机制</w:t>
            </w:r>
          </w:p>
        </w:tc>
        <w:tc>
          <w:tcPr>
            <w:tcW w:w="192" w:type="pct"/>
            <w:noWrap w:val="0"/>
            <w:vAlign w:val="center"/>
          </w:tcPr>
          <w:p w14:paraId="7765EE49">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w:t>
            </w:r>
          </w:p>
        </w:tc>
        <w:tc>
          <w:tcPr>
            <w:tcW w:w="321" w:type="pct"/>
            <w:noWrap w:val="0"/>
            <w:vAlign w:val="center"/>
          </w:tcPr>
          <w:p w14:paraId="622B4E40">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建立</w:t>
            </w:r>
          </w:p>
        </w:tc>
        <w:tc>
          <w:tcPr>
            <w:tcW w:w="322" w:type="pct"/>
            <w:noWrap w:val="0"/>
            <w:vAlign w:val="center"/>
          </w:tcPr>
          <w:p w14:paraId="78EBB500">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建立</w:t>
            </w:r>
          </w:p>
        </w:tc>
        <w:tc>
          <w:tcPr>
            <w:tcW w:w="320" w:type="pct"/>
            <w:noWrap w:val="0"/>
            <w:vAlign w:val="center"/>
          </w:tcPr>
          <w:p w14:paraId="797AD992">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建立</w:t>
            </w:r>
          </w:p>
        </w:tc>
        <w:tc>
          <w:tcPr>
            <w:tcW w:w="367" w:type="pct"/>
            <w:noWrap w:val="0"/>
            <w:vAlign w:val="center"/>
          </w:tcPr>
          <w:p w14:paraId="3F354006">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建立</w:t>
            </w:r>
          </w:p>
        </w:tc>
        <w:tc>
          <w:tcPr>
            <w:tcW w:w="361" w:type="pct"/>
            <w:noWrap w:val="0"/>
            <w:vAlign w:val="center"/>
          </w:tcPr>
          <w:p w14:paraId="51EE34FA">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建立</w:t>
            </w:r>
          </w:p>
        </w:tc>
        <w:tc>
          <w:tcPr>
            <w:tcW w:w="381" w:type="pct"/>
            <w:noWrap w:val="0"/>
            <w:vAlign w:val="center"/>
          </w:tcPr>
          <w:p w14:paraId="55F6AE29">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建立</w:t>
            </w:r>
          </w:p>
        </w:tc>
        <w:tc>
          <w:tcPr>
            <w:tcW w:w="357" w:type="pct"/>
            <w:noWrap w:val="0"/>
            <w:vAlign w:val="center"/>
          </w:tcPr>
          <w:p w14:paraId="06180DFD">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建立</w:t>
            </w:r>
          </w:p>
        </w:tc>
        <w:tc>
          <w:tcPr>
            <w:tcW w:w="1276" w:type="pct"/>
            <w:noWrap w:val="0"/>
            <w:vAlign w:val="center"/>
          </w:tcPr>
          <w:p w14:paraId="531A8665">
            <w:pPr>
              <w:spacing w:line="260" w:lineRule="exact"/>
              <w:jc w:val="center"/>
              <w:rPr>
                <w:rFonts w:hint="default" w:ascii="Times New Roman" w:hAnsi="Times New Roman" w:eastAsia="仿宋" w:cs="Times New Roman"/>
                <w:color w:val="auto"/>
                <w:sz w:val="21"/>
                <w:szCs w:val="21"/>
                <w:lang w:val="en-US" w:eastAsia="zh-CN"/>
              </w:rPr>
            </w:pPr>
            <w:r>
              <w:rPr>
                <w:rFonts w:hint="default" w:ascii="Times New Roman" w:hAnsi="Times New Roman" w:eastAsia="仿宋" w:cs="Times New Roman"/>
                <w:color w:val="auto"/>
                <w:sz w:val="21"/>
                <w:szCs w:val="21"/>
                <w:lang w:val="en-US" w:eastAsia="zh-CN"/>
              </w:rPr>
              <w:t>2019年12月30日，《新平彝族傣族自治县人民政府办公室关于印发新平县突发环境事件应急预案（2019年版）的通知》（新政办发〔2019〕12号）；2019年12月30日，《新平彝族傣族自治县人民政府办公室关于印发新平县重污染天气应急预案（2019年版）的通知》（新政办发〔2019〕13号）；2019年11月19日，玉溪市生态环境局新平分局关于印发《玉溪市生态环境局新平分局突发环境事件应急响应预案（2019年版）》的通知（市环新发〔2019〕49号），全县建立和不断完善突发环境事件应对工作机制，规划程序，明确职责，提高应对处置突发环境事件能力，保障公众生命财产安全和环境安全。</w:t>
            </w:r>
          </w:p>
        </w:tc>
      </w:tr>
      <w:tr w14:paraId="3AA4E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05" w:type="pct"/>
            <w:vMerge w:val="continue"/>
            <w:noWrap w:val="0"/>
            <w:vAlign w:val="center"/>
          </w:tcPr>
          <w:p w14:paraId="7A4B6619">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212" w:type="pct"/>
            <w:vMerge w:val="continue"/>
            <w:noWrap w:val="0"/>
            <w:vAlign w:val="center"/>
          </w:tcPr>
          <w:p w14:paraId="0AAA9200">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102" w:type="pct"/>
            <w:noWrap w:val="0"/>
            <w:vAlign w:val="center"/>
          </w:tcPr>
          <w:p w14:paraId="059FA52C">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16</w:t>
            </w:r>
          </w:p>
        </w:tc>
        <w:tc>
          <w:tcPr>
            <w:tcW w:w="678" w:type="pct"/>
            <w:gridSpan w:val="4"/>
            <w:noWrap w:val="0"/>
            <w:vAlign w:val="center"/>
          </w:tcPr>
          <w:p w14:paraId="7802A9F5">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建设用地土壤污染风险管控和修复名录制度</w:t>
            </w:r>
          </w:p>
        </w:tc>
        <w:tc>
          <w:tcPr>
            <w:tcW w:w="192" w:type="pct"/>
            <w:noWrap w:val="0"/>
            <w:vAlign w:val="center"/>
          </w:tcPr>
          <w:p w14:paraId="5EF18665">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w:t>
            </w:r>
          </w:p>
        </w:tc>
        <w:tc>
          <w:tcPr>
            <w:tcW w:w="321" w:type="pct"/>
            <w:noWrap w:val="0"/>
            <w:vAlign w:val="center"/>
          </w:tcPr>
          <w:p w14:paraId="40703EBD">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建立</w:t>
            </w:r>
          </w:p>
        </w:tc>
        <w:tc>
          <w:tcPr>
            <w:tcW w:w="322" w:type="pct"/>
            <w:noWrap w:val="0"/>
            <w:vAlign w:val="center"/>
          </w:tcPr>
          <w:p w14:paraId="34DD9A64">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实施</w:t>
            </w:r>
          </w:p>
        </w:tc>
        <w:tc>
          <w:tcPr>
            <w:tcW w:w="320" w:type="pct"/>
            <w:noWrap w:val="0"/>
            <w:vAlign w:val="center"/>
          </w:tcPr>
          <w:p w14:paraId="3DB6BA35">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实施</w:t>
            </w:r>
          </w:p>
        </w:tc>
        <w:tc>
          <w:tcPr>
            <w:tcW w:w="367" w:type="pct"/>
            <w:noWrap w:val="0"/>
            <w:vAlign w:val="center"/>
          </w:tcPr>
          <w:p w14:paraId="13556335">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实施</w:t>
            </w:r>
          </w:p>
        </w:tc>
        <w:tc>
          <w:tcPr>
            <w:tcW w:w="361" w:type="pct"/>
            <w:noWrap w:val="0"/>
            <w:vAlign w:val="center"/>
          </w:tcPr>
          <w:p w14:paraId="739D8698">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实施</w:t>
            </w:r>
          </w:p>
        </w:tc>
        <w:tc>
          <w:tcPr>
            <w:tcW w:w="381" w:type="pct"/>
            <w:noWrap w:val="0"/>
            <w:vAlign w:val="center"/>
          </w:tcPr>
          <w:p w14:paraId="7F1A0137">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实施</w:t>
            </w:r>
          </w:p>
        </w:tc>
        <w:tc>
          <w:tcPr>
            <w:tcW w:w="357" w:type="pct"/>
            <w:noWrap w:val="0"/>
            <w:vAlign w:val="center"/>
          </w:tcPr>
          <w:p w14:paraId="649E3B2E">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实施</w:t>
            </w:r>
          </w:p>
        </w:tc>
        <w:tc>
          <w:tcPr>
            <w:tcW w:w="1276" w:type="pct"/>
            <w:noWrap w:val="0"/>
            <w:vAlign w:val="center"/>
          </w:tcPr>
          <w:p w14:paraId="619D4F18">
            <w:pPr>
              <w:spacing w:line="260" w:lineRule="exact"/>
              <w:jc w:val="center"/>
              <w:rPr>
                <w:rFonts w:hint="default" w:ascii="Times New Roman" w:hAnsi="Times New Roman" w:eastAsia="仿宋" w:cs="Times New Roman"/>
                <w:color w:val="auto"/>
                <w:sz w:val="21"/>
                <w:szCs w:val="21"/>
                <w:lang w:val="en-US" w:eastAsia="zh-CN"/>
              </w:rPr>
            </w:pPr>
            <w:r>
              <w:rPr>
                <w:rFonts w:hint="default" w:ascii="Times New Roman" w:hAnsi="Times New Roman" w:eastAsia="仿宋" w:cs="Times New Roman"/>
                <w:color w:val="auto"/>
                <w:sz w:val="21"/>
                <w:szCs w:val="21"/>
                <w:lang w:val="en-US" w:eastAsia="zh-CN"/>
              </w:rPr>
              <w:t>新平县认真贯彻《土壤污染防治行动计划》《云南省土壤污染防治工作方案》，以改善土壤环境质量为核心，以保障农产品质量和人居环境安全为出发点，切实推进土壤污染防治工作，建立了建设用地土壤污染风险管控和修复名录制度。</w:t>
            </w:r>
          </w:p>
        </w:tc>
      </w:tr>
      <w:tr w14:paraId="34765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05" w:type="pct"/>
            <w:vMerge w:val="continue"/>
            <w:noWrap w:val="0"/>
            <w:vAlign w:val="center"/>
          </w:tcPr>
          <w:p w14:paraId="5AF056BD">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212" w:type="pct"/>
            <w:vMerge w:val="continue"/>
            <w:noWrap w:val="0"/>
            <w:vAlign w:val="center"/>
          </w:tcPr>
          <w:p w14:paraId="6BC78310">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102" w:type="pct"/>
            <w:noWrap w:val="0"/>
            <w:vAlign w:val="center"/>
          </w:tcPr>
          <w:p w14:paraId="5BFE56C3">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17</w:t>
            </w:r>
          </w:p>
        </w:tc>
        <w:tc>
          <w:tcPr>
            <w:tcW w:w="678" w:type="pct"/>
            <w:gridSpan w:val="4"/>
            <w:noWrap w:val="0"/>
            <w:vAlign w:val="center"/>
          </w:tcPr>
          <w:p w14:paraId="1E2385D1">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受污染耕地安全利用率</w:t>
            </w:r>
          </w:p>
        </w:tc>
        <w:tc>
          <w:tcPr>
            <w:tcW w:w="192" w:type="pct"/>
            <w:noWrap w:val="0"/>
            <w:vAlign w:val="center"/>
          </w:tcPr>
          <w:p w14:paraId="769E8423">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w:t>
            </w:r>
          </w:p>
        </w:tc>
        <w:tc>
          <w:tcPr>
            <w:tcW w:w="321" w:type="pct"/>
            <w:noWrap w:val="0"/>
            <w:vAlign w:val="center"/>
          </w:tcPr>
          <w:p w14:paraId="36BAF873">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w:t>
            </w:r>
          </w:p>
        </w:tc>
        <w:tc>
          <w:tcPr>
            <w:tcW w:w="322" w:type="pct"/>
            <w:noWrap w:val="0"/>
            <w:vAlign w:val="center"/>
          </w:tcPr>
          <w:p w14:paraId="11F97A06">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完成上级规定的考核任务</w:t>
            </w:r>
          </w:p>
        </w:tc>
        <w:tc>
          <w:tcPr>
            <w:tcW w:w="320" w:type="pct"/>
            <w:noWrap w:val="0"/>
            <w:vAlign w:val="center"/>
          </w:tcPr>
          <w:p w14:paraId="3333356C">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未统计</w:t>
            </w:r>
          </w:p>
        </w:tc>
        <w:tc>
          <w:tcPr>
            <w:tcW w:w="367" w:type="pct"/>
            <w:noWrap w:val="0"/>
            <w:vAlign w:val="center"/>
          </w:tcPr>
          <w:p w14:paraId="723B2442">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上级未下达任务</w:t>
            </w:r>
          </w:p>
        </w:tc>
        <w:tc>
          <w:tcPr>
            <w:tcW w:w="361" w:type="pct"/>
            <w:noWrap w:val="0"/>
            <w:vAlign w:val="center"/>
          </w:tcPr>
          <w:p w14:paraId="5B55D837">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上级未下达任务</w:t>
            </w:r>
          </w:p>
        </w:tc>
        <w:tc>
          <w:tcPr>
            <w:tcW w:w="381" w:type="pct"/>
            <w:noWrap w:val="0"/>
            <w:vAlign w:val="center"/>
          </w:tcPr>
          <w:p w14:paraId="4A819AD8">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完成上级规定的考核任务</w:t>
            </w:r>
          </w:p>
        </w:tc>
        <w:tc>
          <w:tcPr>
            <w:tcW w:w="357" w:type="pct"/>
            <w:noWrap w:val="0"/>
            <w:vAlign w:val="center"/>
          </w:tcPr>
          <w:p w14:paraId="5638E6E0">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完成上级规定的考核任务</w:t>
            </w:r>
          </w:p>
        </w:tc>
        <w:tc>
          <w:tcPr>
            <w:tcW w:w="1276" w:type="pct"/>
            <w:noWrap w:val="0"/>
            <w:vAlign w:val="center"/>
          </w:tcPr>
          <w:p w14:paraId="4AA5E560">
            <w:pPr>
              <w:spacing w:line="260" w:lineRule="exact"/>
              <w:jc w:val="center"/>
              <w:rPr>
                <w:rFonts w:hint="default" w:ascii="Times New Roman" w:hAnsi="Times New Roman" w:eastAsia="仿宋" w:cs="Times New Roman"/>
                <w:color w:val="auto"/>
                <w:sz w:val="21"/>
                <w:szCs w:val="21"/>
                <w:lang w:val="en-US" w:eastAsia="zh-CN"/>
              </w:rPr>
            </w:pPr>
            <w:r>
              <w:rPr>
                <w:rFonts w:hint="default" w:ascii="Times New Roman" w:hAnsi="Times New Roman" w:eastAsia="仿宋" w:cs="Times New Roman"/>
                <w:color w:val="auto"/>
                <w:sz w:val="21"/>
                <w:szCs w:val="21"/>
                <w:lang w:val="en-US" w:eastAsia="zh-CN"/>
              </w:rPr>
              <w:t>根据《玉溪市受污染耕地安全利用工作方案（2019</w:t>
            </w:r>
            <w:r>
              <w:rPr>
                <w:rFonts w:hint="eastAsia" w:ascii="Times New Roman" w:hAnsi="Times New Roman" w:eastAsia="仿宋" w:cs="Times New Roman"/>
                <w:color w:val="auto"/>
                <w:sz w:val="21"/>
                <w:szCs w:val="21"/>
                <w:lang w:val="en-US" w:eastAsia="zh-CN"/>
              </w:rPr>
              <w:t>—</w:t>
            </w:r>
            <w:r>
              <w:rPr>
                <w:rFonts w:hint="default" w:ascii="Times New Roman" w:hAnsi="Times New Roman" w:eastAsia="仿宋" w:cs="Times New Roman"/>
                <w:color w:val="auto"/>
                <w:sz w:val="21"/>
                <w:szCs w:val="21"/>
                <w:lang w:val="en-US" w:eastAsia="zh-CN"/>
              </w:rPr>
              <w:t>2020年）》《关于下达2021年受污染耕地安全利用目标任务的函》的要求，新平县严格管控类耕地要全部落实风险管控措施的目标要求。根据2019</w:t>
            </w:r>
            <w:r>
              <w:rPr>
                <w:rFonts w:hint="eastAsia" w:ascii="Times New Roman" w:hAnsi="Times New Roman" w:eastAsia="仿宋" w:cs="Times New Roman"/>
                <w:color w:val="auto"/>
                <w:sz w:val="21"/>
                <w:szCs w:val="21"/>
                <w:lang w:val="en-US" w:eastAsia="zh-CN"/>
              </w:rPr>
              <w:t>—</w:t>
            </w:r>
            <w:r>
              <w:rPr>
                <w:rFonts w:hint="default" w:ascii="Times New Roman" w:hAnsi="Times New Roman" w:eastAsia="仿宋" w:cs="Times New Roman"/>
                <w:color w:val="auto"/>
                <w:sz w:val="21"/>
                <w:szCs w:val="21"/>
                <w:lang w:val="en-US" w:eastAsia="zh-CN"/>
              </w:rPr>
              <w:t>2021年《新平县年度土壤污染防治行动计划实施情况报告》，安全利用类和严格管控类的受污染耕地都得到了安全利用。</w:t>
            </w:r>
          </w:p>
        </w:tc>
      </w:tr>
      <w:tr w14:paraId="3C43E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05" w:type="pct"/>
            <w:vMerge w:val="continue"/>
            <w:noWrap w:val="0"/>
            <w:vAlign w:val="center"/>
          </w:tcPr>
          <w:p w14:paraId="5B6CCF70">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212" w:type="pct"/>
            <w:vMerge w:val="continue"/>
            <w:noWrap w:val="0"/>
            <w:vAlign w:val="center"/>
          </w:tcPr>
          <w:p w14:paraId="341F9DC7">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102" w:type="pct"/>
            <w:noWrap w:val="0"/>
            <w:vAlign w:val="center"/>
          </w:tcPr>
          <w:p w14:paraId="167A471B">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18</w:t>
            </w:r>
          </w:p>
        </w:tc>
        <w:tc>
          <w:tcPr>
            <w:tcW w:w="678" w:type="pct"/>
            <w:gridSpan w:val="4"/>
            <w:noWrap w:val="0"/>
            <w:vAlign w:val="center"/>
          </w:tcPr>
          <w:p w14:paraId="1F7E1690">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重点建设用地安全利用</w:t>
            </w:r>
          </w:p>
        </w:tc>
        <w:tc>
          <w:tcPr>
            <w:tcW w:w="192" w:type="pct"/>
            <w:noWrap w:val="0"/>
            <w:vAlign w:val="center"/>
          </w:tcPr>
          <w:p w14:paraId="1136D10C">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w:t>
            </w:r>
          </w:p>
        </w:tc>
        <w:tc>
          <w:tcPr>
            <w:tcW w:w="321" w:type="pct"/>
            <w:noWrap w:val="0"/>
            <w:vAlign w:val="center"/>
          </w:tcPr>
          <w:p w14:paraId="1BF77154">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w:t>
            </w:r>
          </w:p>
        </w:tc>
        <w:tc>
          <w:tcPr>
            <w:tcW w:w="322" w:type="pct"/>
            <w:noWrap w:val="0"/>
            <w:vAlign w:val="center"/>
          </w:tcPr>
          <w:p w14:paraId="1A97240D">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有效保障</w:t>
            </w:r>
          </w:p>
        </w:tc>
        <w:tc>
          <w:tcPr>
            <w:tcW w:w="320" w:type="pct"/>
            <w:noWrap w:val="0"/>
            <w:vAlign w:val="center"/>
          </w:tcPr>
          <w:p w14:paraId="3936385B">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有效保障</w:t>
            </w:r>
          </w:p>
        </w:tc>
        <w:tc>
          <w:tcPr>
            <w:tcW w:w="367" w:type="pct"/>
            <w:noWrap w:val="0"/>
            <w:vAlign w:val="center"/>
          </w:tcPr>
          <w:p w14:paraId="231F392B">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有效保障</w:t>
            </w:r>
          </w:p>
        </w:tc>
        <w:tc>
          <w:tcPr>
            <w:tcW w:w="361" w:type="pct"/>
            <w:noWrap w:val="0"/>
            <w:vAlign w:val="center"/>
          </w:tcPr>
          <w:p w14:paraId="28AD05C7">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有效保障</w:t>
            </w:r>
          </w:p>
        </w:tc>
        <w:tc>
          <w:tcPr>
            <w:tcW w:w="381" w:type="pct"/>
            <w:noWrap w:val="0"/>
            <w:vAlign w:val="center"/>
          </w:tcPr>
          <w:p w14:paraId="32A34E80">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有效保障</w:t>
            </w:r>
          </w:p>
        </w:tc>
        <w:tc>
          <w:tcPr>
            <w:tcW w:w="357" w:type="pct"/>
            <w:noWrap w:val="0"/>
            <w:vAlign w:val="center"/>
          </w:tcPr>
          <w:p w14:paraId="47C8A09E">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有效保障</w:t>
            </w:r>
          </w:p>
        </w:tc>
        <w:tc>
          <w:tcPr>
            <w:tcW w:w="1276" w:type="pct"/>
            <w:noWrap w:val="0"/>
            <w:vAlign w:val="center"/>
          </w:tcPr>
          <w:p w14:paraId="3E79114F">
            <w:pPr>
              <w:spacing w:line="260" w:lineRule="exact"/>
              <w:jc w:val="center"/>
              <w:rPr>
                <w:rFonts w:hint="default" w:ascii="Times New Roman" w:hAnsi="Times New Roman" w:eastAsia="仿宋" w:cs="Times New Roman"/>
                <w:color w:val="auto"/>
                <w:sz w:val="21"/>
                <w:szCs w:val="21"/>
                <w:lang w:val="en-US" w:eastAsia="zh-CN"/>
              </w:rPr>
            </w:pPr>
            <w:r>
              <w:rPr>
                <w:rFonts w:hint="default" w:ascii="Times New Roman" w:hAnsi="Times New Roman" w:eastAsia="仿宋" w:cs="Times New Roman"/>
                <w:color w:val="auto"/>
                <w:sz w:val="21"/>
                <w:szCs w:val="21"/>
                <w:lang w:val="en-US" w:eastAsia="zh-CN"/>
              </w:rPr>
              <w:t>《玉溪市人民政府关于印发玉溪市土壤污染防治工作方案的通知》《新平县土壤污染防治工作方案》，成立土壤污染防治工作领导组，扎实推进土壤污染防治工作。</w:t>
            </w:r>
          </w:p>
        </w:tc>
      </w:tr>
      <w:tr w14:paraId="406EB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8" w:hRule="atLeast"/>
          <w:jc w:val="center"/>
        </w:trPr>
        <w:tc>
          <w:tcPr>
            <w:tcW w:w="105" w:type="pct"/>
            <w:vMerge w:val="restart"/>
            <w:noWrap w:val="0"/>
            <w:vAlign w:val="center"/>
          </w:tcPr>
          <w:p w14:paraId="4BE947C6">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生态空间</w:t>
            </w:r>
          </w:p>
        </w:tc>
        <w:tc>
          <w:tcPr>
            <w:tcW w:w="212" w:type="pct"/>
            <w:vMerge w:val="restart"/>
            <w:noWrap w:val="0"/>
            <w:vAlign w:val="center"/>
          </w:tcPr>
          <w:p w14:paraId="62C2D245">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（五）</w:t>
            </w:r>
          </w:p>
          <w:p w14:paraId="75A69836">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空间格局优化</w:t>
            </w:r>
          </w:p>
        </w:tc>
        <w:tc>
          <w:tcPr>
            <w:tcW w:w="102" w:type="pct"/>
            <w:vMerge w:val="restart"/>
            <w:noWrap w:val="0"/>
            <w:vAlign w:val="center"/>
          </w:tcPr>
          <w:p w14:paraId="67671426">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19</w:t>
            </w:r>
          </w:p>
        </w:tc>
        <w:tc>
          <w:tcPr>
            <w:tcW w:w="678" w:type="pct"/>
            <w:gridSpan w:val="4"/>
            <w:noWrap w:val="0"/>
            <w:vAlign w:val="center"/>
          </w:tcPr>
          <w:p w14:paraId="3F5CDBBC">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自然生态空间</w:t>
            </w:r>
          </w:p>
        </w:tc>
        <w:tc>
          <w:tcPr>
            <w:tcW w:w="192" w:type="pct"/>
            <w:noWrap w:val="0"/>
            <w:vAlign w:val="center"/>
          </w:tcPr>
          <w:p w14:paraId="0F8ABDA8">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321" w:type="pct"/>
            <w:noWrap w:val="0"/>
            <w:vAlign w:val="center"/>
          </w:tcPr>
          <w:p w14:paraId="7994C00F">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322" w:type="pct"/>
            <w:noWrap w:val="0"/>
            <w:vAlign w:val="center"/>
          </w:tcPr>
          <w:p w14:paraId="040E11B5">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320" w:type="pct"/>
            <w:noWrap w:val="0"/>
            <w:vAlign w:val="center"/>
          </w:tcPr>
          <w:p w14:paraId="27D9B0E2">
            <w:pPr>
              <w:spacing w:line="260" w:lineRule="exact"/>
              <w:jc w:val="center"/>
              <w:rPr>
                <w:rFonts w:hint="default" w:ascii="Times New Roman" w:hAnsi="Times New Roman" w:eastAsia="仿宋" w:cs="Times New Roman"/>
                <w:color w:val="auto"/>
                <w:kern w:val="2"/>
                <w:sz w:val="21"/>
                <w:szCs w:val="21"/>
                <w:lang w:val="zh-CN" w:eastAsia="zh-CN" w:bidi="ar-SA"/>
              </w:rPr>
            </w:pPr>
          </w:p>
        </w:tc>
        <w:tc>
          <w:tcPr>
            <w:tcW w:w="367" w:type="pct"/>
            <w:noWrap w:val="0"/>
            <w:vAlign w:val="center"/>
          </w:tcPr>
          <w:p w14:paraId="6920BA5D">
            <w:pPr>
              <w:spacing w:line="260" w:lineRule="exact"/>
              <w:jc w:val="center"/>
              <w:rPr>
                <w:rFonts w:hint="default" w:ascii="Times New Roman" w:hAnsi="Times New Roman" w:eastAsia="仿宋" w:cs="Times New Roman"/>
                <w:color w:val="auto"/>
                <w:kern w:val="2"/>
                <w:sz w:val="21"/>
                <w:szCs w:val="21"/>
                <w:lang w:val="zh-CN" w:eastAsia="zh-CN" w:bidi="ar-SA"/>
              </w:rPr>
            </w:pPr>
          </w:p>
        </w:tc>
        <w:tc>
          <w:tcPr>
            <w:tcW w:w="361" w:type="pct"/>
            <w:noWrap w:val="0"/>
            <w:vAlign w:val="center"/>
          </w:tcPr>
          <w:p w14:paraId="7B91C8DF">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381" w:type="pct"/>
            <w:noWrap w:val="0"/>
            <w:vAlign w:val="center"/>
          </w:tcPr>
          <w:p w14:paraId="6402D1E9">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357" w:type="pct"/>
            <w:noWrap w:val="0"/>
            <w:vAlign w:val="center"/>
          </w:tcPr>
          <w:p w14:paraId="4163C433">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1276" w:type="pct"/>
            <w:vMerge w:val="restart"/>
            <w:noWrap w:val="0"/>
            <w:vAlign w:val="center"/>
          </w:tcPr>
          <w:p w14:paraId="41AF010F">
            <w:pPr>
              <w:spacing w:line="260" w:lineRule="exact"/>
              <w:jc w:val="center"/>
              <w:rPr>
                <w:rFonts w:hint="default" w:ascii="Times New Roman" w:hAnsi="Times New Roman" w:eastAsia="仿宋" w:cs="Times New Roman"/>
                <w:color w:val="auto"/>
                <w:sz w:val="21"/>
                <w:szCs w:val="21"/>
                <w:lang w:val="en-US" w:eastAsia="zh-CN"/>
              </w:rPr>
            </w:pPr>
            <w:r>
              <w:rPr>
                <w:rFonts w:hint="default" w:ascii="Times New Roman" w:hAnsi="Times New Roman" w:eastAsia="仿宋" w:cs="Times New Roman"/>
                <w:color w:val="auto"/>
                <w:sz w:val="21"/>
                <w:szCs w:val="21"/>
                <w:lang w:val="en-US" w:eastAsia="zh-CN"/>
              </w:rPr>
              <w:t>按照云环发〔2018〕28号文件要求，新平县原划定生态保护红线面积1203.31平方千米，占国土面积的28.21%，类型为哀牢山—无量山山地生物多样性维护与水土保持生态保护红线，主导功能为生物多样性维护。优化调整中生态保护红线面积未减少，性质未改变，功能未降低。新平县境内现有5个自然保护地：云南省哀牢山国家级自然保护区（新平段）、玉白顶林场市级自然保护区、哀牢山县级自然保护区、磨盘山县级自然保护区和磨盘山国家级森林公园，自然保护地批复面积累计59413.03hm2（含交叉重叠），占国土总面积的13.92%。近年来新平县自然保护地面积增加，性质未改变，功能未降低。根据《玉溪市土地利用总体规划（2006</w:t>
            </w:r>
            <w:r>
              <w:rPr>
                <w:rFonts w:hint="eastAsia" w:ascii="Times New Roman" w:hAnsi="Times New Roman" w:eastAsia="仿宋" w:cs="Times New Roman"/>
                <w:color w:val="auto"/>
                <w:sz w:val="21"/>
                <w:szCs w:val="21"/>
                <w:lang w:val="en-US" w:eastAsia="zh-CN"/>
              </w:rPr>
              <w:t>—</w:t>
            </w:r>
            <w:r>
              <w:rPr>
                <w:rFonts w:hint="default" w:ascii="Times New Roman" w:hAnsi="Times New Roman" w:eastAsia="仿宋" w:cs="Times New Roman"/>
                <w:color w:val="auto"/>
                <w:sz w:val="21"/>
                <w:szCs w:val="21"/>
                <w:lang w:val="en-US" w:eastAsia="zh-CN"/>
              </w:rPr>
              <w:t>2020年）调整方案》确定的新平县58.494万亩，基本农田保护任务，新平县2016年开展永久基本农田划定工作，最终划定永久基本农田58.4982万亩。面积不减少，质量不降低，布局更优化。</w:t>
            </w:r>
          </w:p>
        </w:tc>
      </w:tr>
      <w:tr w14:paraId="0C12F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05" w:type="pct"/>
            <w:vMerge w:val="continue"/>
            <w:noWrap w:val="0"/>
            <w:vAlign w:val="center"/>
          </w:tcPr>
          <w:p w14:paraId="443F6DB8">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212" w:type="pct"/>
            <w:vMerge w:val="continue"/>
            <w:noWrap w:val="0"/>
            <w:vAlign w:val="center"/>
          </w:tcPr>
          <w:p w14:paraId="58676B7B">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102" w:type="pct"/>
            <w:vMerge w:val="continue"/>
            <w:noWrap w:val="0"/>
            <w:vAlign w:val="center"/>
          </w:tcPr>
          <w:p w14:paraId="729D48D6">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678" w:type="pct"/>
            <w:gridSpan w:val="4"/>
            <w:noWrap w:val="0"/>
            <w:vAlign w:val="center"/>
          </w:tcPr>
          <w:p w14:paraId="43959F05">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（1）生态保护红线</w:t>
            </w:r>
          </w:p>
        </w:tc>
        <w:tc>
          <w:tcPr>
            <w:tcW w:w="192" w:type="pct"/>
            <w:noWrap w:val="0"/>
            <w:vAlign w:val="center"/>
          </w:tcPr>
          <w:p w14:paraId="73D29880">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w:t>
            </w:r>
          </w:p>
        </w:tc>
        <w:tc>
          <w:tcPr>
            <w:tcW w:w="321" w:type="pct"/>
            <w:vMerge w:val="restart"/>
            <w:noWrap w:val="0"/>
            <w:vAlign w:val="center"/>
          </w:tcPr>
          <w:p w14:paraId="7017E31A">
            <w:pPr>
              <w:spacing w:line="260" w:lineRule="exact"/>
              <w:jc w:val="center"/>
              <w:rPr>
                <w:rFonts w:hint="default" w:ascii="Times New Roman" w:hAnsi="Times New Roman" w:eastAsia="仿宋" w:cs="Times New Roman"/>
                <w:color w:val="auto"/>
                <w:kern w:val="2"/>
                <w:sz w:val="21"/>
                <w:szCs w:val="21"/>
                <w:lang w:val="zh-CN" w:eastAsia="zh-CN" w:bidi="ar-SA"/>
              </w:rPr>
            </w:pPr>
            <w:r>
              <w:rPr>
                <w:rFonts w:hint="default" w:ascii="Times New Roman" w:hAnsi="Times New Roman" w:eastAsia="仿宋" w:cs="Times New Roman"/>
                <w:color w:val="auto"/>
                <w:kern w:val="2"/>
                <w:sz w:val="21"/>
                <w:szCs w:val="21"/>
                <w:lang w:val="en-US" w:eastAsia="zh-CN" w:bidi="ar-SA"/>
              </w:rPr>
              <w:t>面积不减少，性质不改变，功能不降低</w:t>
            </w:r>
          </w:p>
          <w:p w14:paraId="4AD016F4">
            <w:pPr>
              <w:spacing w:line="260" w:lineRule="exact"/>
              <w:jc w:val="center"/>
              <w:rPr>
                <w:rFonts w:hint="default" w:ascii="Times New Roman" w:hAnsi="Times New Roman" w:eastAsia="仿宋" w:cs="Times New Roman"/>
                <w:color w:val="auto"/>
                <w:kern w:val="2"/>
                <w:sz w:val="21"/>
                <w:szCs w:val="21"/>
                <w:lang w:val="zh-CN" w:eastAsia="zh-CN" w:bidi="ar-SA"/>
              </w:rPr>
            </w:pPr>
          </w:p>
        </w:tc>
        <w:tc>
          <w:tcPr>
            <w:tcW w:w="322" w:type="pct"/>
            <w:noWrap w:val="0"/>
            <w:vAlign w:val="center"/>
          </w:tcPr>
          <w:p w14:paraId="1B7A2B68">
            <w:pPr>
              <w:spacing w:line="260" w:lineRule="exact"/>
              <w:jc w:val="center"/>
              <w:rPr>
                <w:rFonts w:hint="default" w:ascii="Times New Roman" w:hAnsi="Times New Roman" w:eastAsia="仿宋" w:cs="Times New Roman"/>
                <w:color w:val="auto"/>
                <w:kern w:val="2"/>
                <w:sz w:val="21"/>
                <w:szCs w:val="21"/>
                <w:lang w:val="zh-CN" w:eastAsia="zh-CN" w:bidi="ar-SA"/>
              </w:rPr>
            </w:pPr>
            <w:r>
              <w:rPr>
                <w:rFonts w:hint="default" w:ascii="Times New Roman" w:hAnsi="Times New Roman" w:eastAsia="仿宋" w:cs="Times New Roman"/>
                <w:color w:val="auto"/>
                <w:kern w:val="2"/>
                <w:sz w:val="21"/>
                <w:szCs w:val="21"/>
                <w:lang w:val="en-US" w:eastAsia="zh-CN" w:bidi="ar-SA"/>
              </w:rPr>
              <w:t>面积不减少，性质不改变，功能不降低</w:t>
            </w:r>
          </w:p>
        </w:tc>
        <w:tc>
          <w:tcPr>
            <w:tcW w:w="320" w:type="pct"/>
            <w:noWrap w:val="0"/>
            <w:vAlign w:val="center"/>
          </w:tcPr>
          <w:p w14:paraId="62CA67AE">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未划定</w:t>
            </w:r>
          </w:p>
        </w:tc>
        <w:tc>
          <w:tcPr>
            <w:tcW w:w="367" w:type="pct"/>
            <w:noWrap w:val="0"/>
            <w:vAlign w:val="center"/>
          </w:tcPr>
          <w:p w14:paraId="1655CF5E">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面积为1203.31平方千米，占国土面积的28.21%，面积不减少，性质不改变，功能不降低</w:t>
            </w:r>
          </w:p>
        </w:tc>
        <w:tc>
          <w:tcPr>
            <w:tcW w:w="361" w:type="pct"/>
            <w:noWrap w:val="0"/>
            <w:vAlign w:val="center"/>
          </w:tcPr>
          <w:p w14:paraId="573597F6">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面积为1203.31平方千米，占国土面积的28.21%，面积不减少，性质不改变，功能不降低</w:t>
            </w:r>
          </w:p>
        </w:tc>
        <w:tc>
          <w:tcPr>
            <w:tcW w:w="381" w:type="pct"/>
            <w:noWrap w:val="0"/>
            <w:vAlign w:val="center"/>
          </w:tcPr>
          <w:p w14:paraId="36885FF1">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面积为1203.31平方千米，占国土面积的28.21%，面积不减少，性质不改变，功能不降低</w:t>
            </w:r>
          </w:p>
        </w:tc>
        <w:tc>
          <w:tcPr>
            <w:tcW w:w="357" w:type="pct"/>
            <w:noWrap w:val="0"/>
            <w:vAlign w:val="center"/>
          </w:tcPr>
          <w:p w14:paraId="544FFC59">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面积为1203.31平方千米，占国土面积的28.21%，面积不减少，性质不改变，功能不降低</w:t>
            </w:r>
          </w:p>
        </w:tc>
        <w:tc>
          <w:tcPr>
            <w:tcW w:w="1276" w:type="pct"/>
            <w:vMerge w:val="continue"/>
            <w:noWrap w:val="0"/>
            <w:vAlign w:val="center"/>
          </w:tcPr>
          <w:p w14:paraId="158CA5C8">
            <w:pPr>
              <w:spacing w:line="260" w:lineRule="exact"/>
              <w:jc w:val="center"/>
              <w:rPr>
                <w:rFonts w:hint="eastAsia" w:ascii="Times New Roman" w:hAnsi="Times New Roman" w:eastAsia="仿宋" w:cs="Times New Roman"/>
                <w:color w:val="auto"/>
                <w:sz w:val="21"/>
                <w:szCs w:val="21"/>
                <w:lang w:val="en-US" w:eastAsia="zh-CN"/>
              </w:rPr>
            </w:pPr>
          </w:p>
        </w:tc>
      </w:tr>
      <w:tr w14:paraId="777B1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05" w:type="pct"/>
            <w:vMerge w:val="continue"/>
            <w:noWrap w:val="0"/>
            <w:vAlign w:val="center"/>
          </w:tcPr>
          <w:p w14:paraId="320CDBE6">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212" w:type="pct"/>
            <w:vMerge w:val="continue"/>
            <w:noWrap w:val="0"/>
            <w:vAlign w:val="center"/>
          </w:tcPr>
          <w:p w14:paraId="078B2D31">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102" w:type="pct"/>
            <w:vMerge w:val="continue"/>
            <w:noWrap w:val="0"/>
            <w:vAlign w:val="center"/>
          </w:tcPr>
          <w:p w14:paraId="00B98C30">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678" w:type="pct"/>
            <w:gridSpan w:val="4"/>
            <w:noWrap w:val="0"/>
            <w:vAlign w:val="center"/>
          </w:tcPr>
          <w:p w14:paraId="16B9381A">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（2）自然保护地</w:t>
            </w:r>
          </w:p>
        </w:tc>
        <w:tc>
          <w:tcPr>
            <w:tcW w:w="192" w:type="pct"/>
            <w:noWrap w:val="0"/>
            <w:vAlign w:val="center"/>
          </w:tcPr>
          <w:p w14:paraId="1A11D701">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w:t>
            </w:r>
          </w:p>
        </w:tc>
        <w:tc>
          <w:tcPr>
            <w:tcW w:w="321" w:type="pct"/>
            <w:vMerge w:val="continue"/>
            <w:noWrap w:val="0"/>
            <w:vAlign w:val="center"/>
          </w:tcPr>
          <w:p w14:paraId="18F045BD">
            <w:pPr>
              <w:spacing w:line="260" w:lineRule="exact"/>
              <w:jc w:val="center"/>
              <w:rPr>
                <w:rFonts w:hint="default" w:ascii="Times New Roman" w:hAnsi="Times New Roman" w:eastAsia="仿宋" w:cs="Times New Roman"/>
                <w:color w:val="auto"/>
                <w:kern w:val="2"/>
                <w:sz w:val="21"/>
                <w:szCs w:val="21"/>
                <w:lang w:val="zh-CN" w:eastAsia="zh-CN" w:bidi="ar-SA"/>
              </w:rPr>
            </w:pPr>
          </w:p>
        </w:tc>
        <w:tc>
          <w:tcPr>
            <w:tcW w:w="322" w:type="pct"/>
            <w:noWrap w:val="0"/>
            <w:vAlign w:val="center"/>
          </w:tcPr>
          <w:p w14:paraId="0B0F775C">
            <w:pPr>
              <w:spacing w:line="260" w:lineRule="exact"/>
              <w:jc w:val="center"/>
              <w:rPr>
                <w:rFonts w:hint="default" w:ascii="Times New Roman" w:hAnsi="Times New Roman" w:eastAsia="仿宋" w:cs="Times New Roman"/>
                <w:color w:val="auto"/>
                <w:kern w:val="2"/>
                <w:sz w:val="21"/>
                <w:szCs w:val="21"/>
                <w:lang w:val="zh-CN" w:eastAsia="zh-CN" w:bidi="ar-SA"/>
              </w:rPr>
            </w:pPr>
            <w:r>
              <w:rPr>
                <w:rFonts w:hint="default" w:ascii="Times New Roman" w:hAnsi="Times New Roman" w:eastAsia="仿宋" w:cs="Times New Roman"/>
                <w:color w:val="auto"/>
                <w:kern w:val="2"/>
                <w:sz w:val="21"/>
                <w:szCs w:val="21"/>
                <w:lang w:val="en-US" w:eastAsia="zh-CN" w:bidi="ar-SA"/>
              </w:rPr>
              <w:t>自然保护地数量与面积不减少</w:t>
            </w:r>
          </w:p>
        </w:tc>
        <w:tc>
          <w:tcPr>
            <w:tcW w:w="320" w:type="pct"/>
            <w:noWrap w:val="0"/>
            <w:vAlign w:val="center"/>
          </w:tcPr>
          <w:p w14:paraId="7249B180">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5个，数量与面积不减少</w:t>
            </w:r>
          </w:p>
        </w:tc>
        <w:tc>
          <w:tcPr>
            <w:tcW w:w="367" w:type="pct"/>
            <w:noWrap w:val="0"/>
            <w:vAlign w:val="center"/>
          </w:tcPr>
          <w:p w14:paraId="779B4AC4">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5个，数量与面积不减少</w:t>
            </w:r>
          </w:p>
        </w:tc>
        <w:tc>
          <w:tcPr>
            <w:tcW w:w="361" w:type="pct"/>
            <w:noWrap w:val="0"/>
            <w:vAlign w:val="center"/>
          </w:tcPr>
          <w:p w14:paraId="5B8FDE84">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5个，数量与面积不减少</w:t>
            </w:r>
          </w:p>
        </w:tc>
        <w:tc>
          <w:tcPr>
            <w:tcW w:w="381" w:type="pct"/>
            <w:noWrap w:val="0"/>
            <w:vAlign w:val="center"/>
          </w:tcPr>
          <w:p w14:paraId="370AE9E4">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5个，数量与面积不减少</w:t>
            </w:r>
          </w:p>
        </w:tc>
        <w:tc>
          <w:tcPr>
            <w:tcW w:w="357" w:type="pct"/>
            <w:noWrap w:val="0"/>
            <w:vAlign w:val="center"/>
          </w:tcPr>
          <w:p w14:paraId="632423FC">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5个，数量与面积不减少</w:t>
            </w:r>
          </w:p>
        </w:tc>
        <w:tc>
          <w:tcPr>
            <w:tcW w:w="1276" w:type="pct"/>
            <w:vMerge w:val="continue"/>
            <w:noWrap w:val="0"/>
            <w:vAlign w:val="center"/>
          </w:tcPr>
          <w:p w14:paraId="4F48F01A">
            <w:pPr>
              <w:spacing w:line="260" w:lineRule="exact"/>
              <w:jc w:val="center"/>
              <w:rPr>
                <w:rFonts w:hint="default" w:ascii="Times New Roman" w:hAnsi="Times New Roman" w:eastAsia="仿宋" w:cs="Times New Roman"/>
                <w:color w:val="auto"/>
                <w:sz w:val="21"/>
                <w:szCs w:val="21"/>
                <w:lang w:val="en-US" w:eastAsia="zh-CN"/>
              </w:rPr>
            </w:pPr>
          </w:p>
        </w:tc>
      </w:tr>
      <w:tr w14:paraId="3C63D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05" w:type="pct"/>
            <w:vMerge w:val="continue"/>
            <w:noWrap w:val="0"/>
            <w:vAlign w:val="center"/>
          </w:tcPr>
          <w:p w14:paraId="0921F626">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212" w:type="pct"/>
            <w:vMerge w:val="continue"/>
            <w:noWrap w:val="0"/>
            <w:vAlign w:val="center"/>
          </w:tcPr>
          <w:p w14:paraId="5F54B04C">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102" w:type="pct"/>
            <w:vMerge w:val="continue"/>
            <w:noWrap w:val="0"/>
            <w:vAlign w:val="center"/>
          </w:tcPr>
          <w:p w14:paraId="237125C0">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678" w:type="pct"/>
            <w:gridSpan w:val="4"/>
            <w:noWrap w:val="0"/>
            <w:vAlign w:val="center"/>
          </w:tcPr>
          <w:p w14:paraId="64E6FE91">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（3）永久基本农田保护红线</w:t>
            </w:r>
          </w:p>
        </w:tc>
        <w:tc>
          <w:tcPr>
            <w:tcW w:w="192" w:type="pct"/>
            <w:noWrap w:val="0"/>
            <w:vAlign w:val="center"/>
          </w:tcPr>
          <w:p w14:paraId="1696DF27">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w:t>
            </w:r>
          </w:p>
        </w:tc>
        <w:tc>
          <w:tcPr>
            <w:tcW w:w="321" w:type="pct"/>
            <w:noWrap w:val="0"/>
            <w:vAlign w:val="center"/>
          </w:tcPr>
          <w:p w14:paraId="3026FB5B">
            <w:pPr>
              <w:spacing w:line="260" w:lineRule="exact"/>
              <w:jc w:val="center"/>
              <w:rPr>
                <w:rFonts w:hint="default" w:ascii="Times New Roman" w:hAnsi="Times New Roman" w:eastAsia="仿宋" w:cs="Times New Roman"/>
                <w:color w:val="auto"/>
                <w:kern w:val="2"/>
                <w:sz w:val="21"/>
                <w:szCs w:val="21"/>
                <w:lang w:val="zh-CN" w:eastAsia="zh-CN" w:bidi="ar-SA"/>
              </w:rPr>
            </w:pPr>
            <w:r>
              <w:rPr>
                <w:rFonts w:hint="default" w:ascii="Times New Roman" w:hAnsi="Times New Roman" w:eastAsia="仿宋" w:cs="Times New Roman"/>
                <w:color w:val="auto"/>
                <w:kern w:val="2"/>
                <w:sz w:val="21"/>
                <w:szCs w:val="21"/>
                <w:lang w:val="en-US" w:eastAsia="zh-CN" w:bidi="ar-SA"/>
              </w:rPr>
              <w:t>/</w:t>
            </w:r>
          </w:p>
        </w:tc>
        <w:tc>
          <w:tcPr>
            <w:tcW w:w="322" w:type="pct"/>
            <w:noWrap w:val="0"/>
            <w:vAlign w:val="center"/>
          </w:tcPr>
          <w:p w14:paraId="42BF1535">
            <w:pPr>
              <w:spacing w:line="260" w:lineRule="exact"/>
              <w:jc w:val="center"/>
              <w:rPr>
                <w:rFonts w:hint="default" w:ascii="Times New Roman" w:hAnsi="Times New Roman" w:eastAsia="仿宋" w:cs="Times New Roman"/>
                <w:color w:val="auto"/>
                <w:kern w:val="2"/>
                <w:sz w:val="21"/>
                <w:szCs w:val="21"/>
                <w:lang w:val="zh-CN" w:eastAsia="zh-CN" w:bidi="ar-SA"/>
              </w:rPr>
            </w:pPr>
            <w:r>
              <w:rPr>
                <w:rFonts w:hint="default" w:ascii="Times New Roman" w:hAnsi="Times New Roman" w:eastAsia="仿宋" w:cs="Times New Roman"/>
                <w:color w:val="auto"/>
                <w:kern w:val="2"/>
                <w:sz w:val="21"/>
                <w:szCs w:val="21"/>
                <w:lang w:val="en-US" w:eastAsia="zh-CN" w:bidi="ar-SA"/>
              </w:rPr>
              <w:t>面积不减少，质量不降低，布局更优化</w:t>
            </w:r>
          </w:p>
        </w:tc>
        <w:tc>
          <w:tcPr>
            <w:tcW w:w="320" w:type="pct"/>
            <w:noWrap w:val="0"/>
            <w:vAlign w:val="center"/>
          </w:tcPr>
          <w:p w14:paraId="0CBA49DC">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面积为58.4982万亩，面积不减少，质量不降低，布局更优化</w:t>
            </w:r>
          </w:p>
        </w:tc>
        <w:tc>
          <w:tcPr>
            <w:tcW w:w="367" w:type="pct"/>
            <w:noWrap w:val="0"/>
            <w:vAlign w:val="center"/>
          </w:tcPr>
          <w:p w14:paraId="16EF23E1">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面积为58.4982万亩，面积不减少，质量不降低，布局更优化</w:t>
            </w:r>
          </w:p>
        </w:tc>
        <w:tc>
          <w:tcPr>
            <w:tcW w:w="361" w:type="pct"/>
            <w:noWrap w:val="0"/>
            <w:vAlign w:val="center"/>
          </w:tcPr>
          <w:p w14:paraId="366E2A81">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面积为58.4982万亩，面积不减少，质量不降低，布局更优化</w:t>
            </w:r>
          </w:p>
        </w:tc>
        <w:tc>
          <w:tcPr>
            <w:tcW w:w="381" w:type="pct"/>
            <w:noWrap w:val="0"/>
            <w:vAlign w:val="center"/>
          </w:tcPr>
          <w:p w14:paraId="38C434B6">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面积为58.4982万亩，面积不减少，质量不降低，布局更优化</w:t>
            </w:r>
          </w:p>
        </w:tc>
        <w:tc>
          <w:tcPr>
            <w:tcW w:w="357" w:type="pct"/>
            <w:noWrap w:val="0"/>
            <w:vAlign w:val="center"/>
          </w:tcPr>
          <w:p w14:paraId="56C4F80F">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面积为58.4982万亩，面积不减少，质量不降低，布局更优化</w:t>
            </w:r>
          </w:p>
        </w:tc>
        <w:tc>
          <w:tcPr>
            <w:tcW w:w="1276" w:type="pct"/>
            <w:vMerge w:val="continue"/>
            <w:noWrap w:val="0"/>
            <w:vAlign w:val="center"/>
          </w:tcPr>
          <w:p w14:paraId="27126F9F">
            <w:pPr>
              <w:spacing w:line="260" w:lineRule="exact"/>
              <w:jc w:val="center"/>
              <w:rPr>
                <w:rFonts w:hint="default" w:ascii="Times New Roman" w:hAnsi="Times New Roman" w:eastAsia="仿宋" w:cs="Times New Roman"/>
                <w:color w:val="auto"/>
                <w:sz w:val="21"/>
                <w:szCs w:val="21"/>
                <w:lang w:val="en-US" w:eastAsia="zh-CN"/>
              </w:rPr>
            </w:pPr>
          </w:p>
        </w:tc>
      </w:tr>
      <w:tr w14:paraId="1D1AD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6" w:hRule="atLeast"/>
          <w:jc w:val="center"/>
        </w:trPr>
        <w:tc>
          <w:tcPr>
            <w:tcW w:w="105" w:type="pct"/>
            <w:vMerge w:val="continue"/>
            <w:noWrap w:val="0"/>
            <w:vAlign w:val="center"/>
          </w:tcPr>
          <w:p w14:paraId="390AAE74">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212" w:type="pct"/>
            <w:vMerge w:val="continue"/>
            <w:noWrap w:val="0"/>
            <w:vAlign w:val="center"/>
          </w:tcPr>
          <w:p w14:paraId="4D095AE5">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102" w:type="pct"/>
            <w:noWrap w:val="0"/>
            <w:vAlign w:val="center"/>
          </w:tcPr>
          <w:p w14:paraId="1D5184E3">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20</w:t>
            </w:r>
          </w:p>
        </w:tc>
        <w:tc>
          <w:tcPr>
            <w:tcW w:w="678" w:type="pct"/>
            <w:gridSpan w:val="4"/>
            <w:noWrap w:val="0"/>
            <w:vAlign w:val="center"/>
          </w:tcPr>
          <w:p w14:paraId="5FD90668">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河湖岸线保护率</w:t>
            </w:r>
          </w:p>
          <w:p w14:paraId="4B5F8C47">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192" w:type="pct"/>
            <w:noWrap w:val="0"/>
            <w:vAlign w:val="center"/>
          </w:tcPr>
          <w:p w14:paraId="10633E08">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w:t>
            </w:r>
          </w:p>
        </w:tc>
        <w:tc>
          <w:tcPr>
            <w:tcW w:w="321" w:type="pct"/>
            <w:noWrap w:val="0"/>
            <w:vAlign w:val="center"/>
          </w:tcPr>
          <w:p w14:paraId="4E38E351">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完成上级管控目标</w:t>
            </w:r>
          </w:p>
          <w:p w14:paraId="08618FCB">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322" w:type="pct"/>
            <w:noWrap w:val="0"/>
            <w:vAlign w:val="center"/>
          </w:tcPr>
          <w:p w14:paraId="55CFABB4">
            <w:pPr>
              <w:spacing w:line="260" w:lineRule="exact"/>
              <w:jc w:val="center"/>
              <w:rPr>
                <w:rFonts w:hint="default" w:ascii="Times New Roman" w:hAnsi="Times New Roman" w:eastAsia="仿宋" w:cs="Times New Roman"/>
                <w:color w:val="auto"/>
                <w:kern w:val="2"/>
                <w:sz w:val="21"/>
                <w:szCs w:val="21"/>
                <w:lang w:val="zh-CN" w:eastAsia="zh-CN" w:bidi="ar-SA"/>
              </w:rPr>
            </w:pPr>
            <w:r>
              <w:rPr>
                <w:rFonts w:hint="default" w:ascii="Times New Roman" w:hAnsi="Times New Roman" w:eastAsia="仿宋" w:cs="Times New Roman"/>
                <w:color w:val="auto"/>
                <w:kern w:val="2"/>
                <w:sz w:val="21"/>
                <w:szCs w:val="21"/>
                <w:lang w:val="en-US" w:eastAsia="zh-CN" w:bidi="ar-SA"/>
              </w:rPr>
              <w:t>完成上级管控目标</w:t>
            </w:r>
          </w:p>
          <w:p w14:paraId="4EE657E8">
            <w:pPr>
              <w:spacing w:line="260" w:lineRule="exact"/>
              <w:jc w:val="center"/>
              <w:rPr>
                <w:rFonts w:hint="default" w:ascii="Times New Roman" w:hAnsi="Times New Roman" w:eastAsia="仿宋" w:cs="Times New Roman"/>
                <w:color w:val="auto"/>
                <w:kern w:val="2"/>
                <w:sz w:val="21"/>
                <w:szCs w:val="21"/>
                <w:lang w:val="zh-CN" w:eastAsia="zh-CN" w:bidi="ar-SA"/>
              </w:rPr>
            </w:pPr>
          </w:p>
        </w:tc>
        <w:tc>
          <w:tcPr>
            <w:tcW w:w="320" w:type="pct"/>
            <w:noWrap w:val="0"/>
            <w:vAlign w:val="center"/>
          </w:tcPr>
          <w:p w14:paraId="457A0634">
            <w:pPr>
              <w:spacing w:line="260" w:lineRule="exact"/>
              <w:jc w:val="center"/>
              <w:rPr>
                <w:rFonts w:hint="default" w:ascii="Times New Roman" w:hAnsi="Times New Roman" w:eastAsia="仿宋" w:cs="Times New Roman"/>
                <w:color w:val="auto"/>
                <w:kern w:val="2"/>
                <w:sz w:val="21"/>
                <w:szCs w:val="21"/>
                <w:lang w:val="zh-CN" w:eastAsia="zh-CN" w:bidi="ar-SA"/>
              </w:rPr>
            </w:pPr>
            <w:r>
              <w:rPr>
                <w:rFonts w:hint="default" w:ascii="Times New Roman" w:hAnsi="Times New Roman" w:eastAsia="仿宋" w:cs="Times New Roman"/>
                <w:color w:val="auto"/>
                <w:kern w:val="2"/>
                <w:sz w:val="21"/>
                <w:szCs w:val="21"/>
                <w:lang w:val="en-US" w:eastAsia="zh-CN" w:bidi="ar-SA"/>
              </w:rPr>
              <w:t>未下达</w:t>
            </w:r>
          </w:p>
        </w:tc>
        <w:tc>
          <w:tcPr>
            <w:tcW w:w="367" w:type="pct"/>
            <w:noWrap w:val="0"/>
            <w:vAlign w:val="center"/>
          </w:tcPr>
          <w:p w14:paraId="0C020970">
            <w:pPr>
              <w:spacing w:line="260" w:lineRule="exact"/>
              <w:jc w:val="center"/>
              <w:rPr>
                <w:rFonts w:hint="default" w:ascii="Times New Roman" w:hAnsi="Times New Roman" w:eastAsia="仿宋" w:cs="Times New Roman"/>
                <w:color w:val="auto"/>
                <w:kern w:val="2"/>
                <w:sz w:val="21"/>
                <w:szCs w:val="21"/>
                <w:lang w:val="zh-CN" w:eastAsia="zh-CN" w:bidi="ar-SA"/>
              </w:rPr>
            </w:pPr>
            <w:r>
              <w:rPr>
                <w:rFonts w:hint="default" w:ascii="Times New Roman" w:hAnsi="Times New Roman" w:eastAsia="仿宋" w:cs="Times New Roman"/>
                <w:color w:val="auto"/>
                <w:kern w:val="2"/>
                <w:sz w:val="21"/>
                <w:szCs w:val="21"/>
                <w:lang w:val="en-US" w:eastAsia="zh-CN" w:bidi="ar-SA"/>
              </w:rPr>
              <w:t>未下达</w:t>
            </w:r>
          </w:p>
        </w:tc>
        <w:tc>
          <w:tcPr>
            <w:tcW w:w="361" w:type="pct"/>
            <w:noWrap w:val="0"/>
            <w:vAlign w:val="center"/>
          </w:tcPr>
          <w:p w14:paraId="17F8F18F">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未下达</w:t>
            </w:r>
          </w:p>
        </w:tc>
        <w:tc>
          <w:tcPr>
            <w:tcW w:w="381" w:type="pct"/>
            <w:noWrap w:val="0"/>
            <w:vAlign w:val="center"/>
          </w:tcPr>
          <w:p w14:paraId="5C7D39BF">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完成上级管控目标</w:t>
            </w:r>
          </w:p>
        </w:tc>
        <w:tc>
          <w:tcPr>
            <w:tcW w:w="357" w:type="pct"/>
            <w:noWrap w:val="0"/>
            <w:vAlign w:val="center"/>
          </w:tcPr>
          <w:p w14:paraId="66C09641">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完成上级管控目标</w:t>
            </w:r>
          </w:p>
        </w:tc>
        <w:tc>
          <w:tcPr>
            <w:tcW w:w="1276" w:type="pct"/>
            <w:noWrap w:val="0"/>
            <w:vAlign w:val="center"/>
          </w:tcPr>
          <w:p w14:paraId="477CB651">
            <w:pPr>
              <w:spacing w:line="260" w:lineRule="exact"/>
              <w:jc w:val="center"/>
              <w:rPr>
                <w:rFonts w:hint="default" w:ascii="Times New Roman" w:hAnsi="Times New Roman" w:eastAsia="仿宋" w:cs="Times New Roman"/>
                <w:color w:val="auto"/>
                <w:sz w:val="21"/>
                <w:szCs w:val="21"/>
                <w:lang w:val="en-US" w:eastAsia="zh-CN"/>
              </w:rPr>
            </w:pPr>
            <w:r>
              <w:rPr>
                <w:rFonts w:hint="default" w:ascii="Times New Roman" w:hAnsi="Times New Roman" w:eastAsia="仿宋" w:cs="Times New Roman"/>
                <w:color w:val="auto"/>
                <w:sz w:val="21"/>
                <w:szCs w:val="21"/>
                <w:lang w:val="en-US" w:eastAsia="zh-CN"/>
              </w:rPr>
              <w:t>按照《河湖岸线保护与利用规划编制指南（试行）》《2019年云南省全面推行河（湖）长制工作要点》《云南省水利厅河长办关于加快推进河湖管理范围划定工作的通知》《玉溪市全面推行河长制领导小组办公室关于进一步加强全</w:t>
            </w:r>
            <w:r>
              <w:rPr>
                <w:rFonts w:hint="eastAsia" w:ascii="Times New Roman" w:hAnsi="Times New Roman" w:eastAsia="仿宋" w:cs="Times New Roman"/>
                <w:color w:val="auto"/>
                <w:sz w:val="21"/>
                <w:szCs w:val="21"/>
                <w:lang w:val="en-US" w:eastAsia="zh-CN"/>
              </w:rPr>
              <w:t>市</w:t>
            </w:r>
            <w:r>
              <w:rPr>
                <w:rFonts w:hint="default" w:ascii="Times New Roman" w:hAnsi="Times New Roman" w:eastAsia="仿宋" w:cs="Times New Roman"/>
                <w:color w:val="auto"/>
                <w:sz w:val="21"/>
                <w:szCs w:val="21"/>
                <w:lang w:val="en-US" w:eastAsia="zh-CN"/>
              </w:rPr>
              <w:t>河库管理范围划定工作的通知》及《玉溪市河长制办公室关于加快推进规模以上河湖管理范围界桩埋设的通知》等文件要求，新平县积极落实国家和省市的相关河湖岸线管理要求，开展河湖岸线保护，积极开展河湖管理范围划定工作。</w:t>
            </w:r>
          </w:p>
        </w:tc>
      </w:tr>
      <w:tr w14:paraId="04F06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05" w:type="pct"/>
            <w:vMerge w:val="restart"/>
            <w:noWrap w:val="0"/>
            <w:vAlign w:val="center"/>
          </w:tcPr>
          <w:p w14:paraId="01964487">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生态经济</w:t>
            </w:r>
          </w:p>
        </w:tc>
        <w:tc>
          <w:tcPr>
            <w:tcW w:w="212" w:type="pct"/>
            <w:vMerge w:val="restart"/>
            <w:noWrap w:val="0"/>
            <w:vAlign w:val="center"/>
          </w:tcPr>
          <w:p w14:paraId="5038170A">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（六）</w:t>
            </w:r>
          </w:p>
          <w:p w14:paraId="7F9B8B23">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资源节约与利用</w:t>
            </w:r>
          </w:p>
        </w:tc>
        <w:tc>
          <w:tcPr>
            <w:tcW w:w="102" w:type="pct"/>
            <w:vMerge w:val="restart"/>
            <w:noWrap w:val="0"/>
            <w:vAlign w:val="center"/>
          </w:tcPr>
          <w:p w14:paraId="13235B5A">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21</w:t>
            </w:r>
          </w:p>
        </w:tc>
        <w:tc>
          <w:tcPr>
            <w:tcW w:w="339" w:type="pct"/>
            <w:vMerge w:val="restart"/>
            <w:noWrap w:val="0"/>
            <w:vAlign w:val="center"/>
          </w:tcPr>
          <w:p w14:paraId="587B6754">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单位地区生产总值能耗</w:t>
            </w:r>
          </w:p>
        </w:tc>
        <w:tc>
          <w:tcPr>
            <w:tcW w:w="338" w:type="pct"/>
            <w:gridSpan w:val="3"/>
            <w:noWrap w:val="0"/>
            <w:vAlign w:val="center"/>
          </w:tcPr>
          <w:p w14:paraId="75DC9FE2">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上级考核目标</w:t>
            </w:r>
          </w:p>
        </w:tc>
        <w:tc>
          <w:tcPr>
            <w:tcW w:w="192" w:type="pct"/>
            <w:vMerge w:val="restart"/>
            <w:noWrap w:val="0"/>
            <w:vAlign w:val="center"/>
          </w:tcPr>
          <w:p w14:paraId="59D78236">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吨标准煤/万元</w:t>
            </w:r>
          </w:p>
        </w:tc>
        <w:tc>
          <w:tcPr>
            <w:tcW w:w="321" w:type="pct"/>
            <w:vMerge w:val="restart"/>
            <w:noWrap w:val="0"/>
            <w:vAlign w:val="center"/>
          </w:tcPr>
          <w:p w14:paraId="237170D5">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完成上级规定的目标任务；保持稳定或持续改善</w:t>
            </w:r>
          </w:p>
        </w:tc>
        <w:tc>
          <w:tcPr>
            <w:tcW w:w="322" w:type="pct"/>
            <w:vMerge w:val="restart"/>
            <w:noWrap w:val="0"/>
            <w:vAlign w:val="center"/>
          </w:tcPr>
          <w:p w14:paraId="4CD83844">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完成上级规定的目标任务；保持稳定或持续改善</w:t>
            </w:r>
          </w:p>
        </w:tc>
        <w:tc>
          <w:tcPr>
            <w:tcW w:w="320" w:type="pct"/>
            <w:noWrap w:val="0"/>
            <w:vAlign w:val="center"/>
          </w:tcPr>
          <w:p w14:paraId="5B51B1E6">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eastAsia" w:ascii="Times New Roman" w:hAnsi="Times New Roman" w:eastAsia="仿宋" w:cs="Times New Roman"/>
                <w:color w:val="auto"/>
                <w:kern w:val="2"/>
                <w:sz w:val="21"/>
                <w:szCs w:val="21"/>
                <w:lang w:val="en-US" w:eastAsia="zh-CN" w:bidi="ar-SA"/>
              </w:rPr>
              <w:t>2.8%</w:t>
            </w:r>
          </w:p>
        </w:tc>
        <w:tc>
          <w:tcPr>
            <w:tcW w:w="367" w:type="pct"/>
            <w:noWrap w:val="0"/>
            <w:vAlign w:val="center"/>
          </w:tcPr>
          <w:p w14:paraId="67AD7860">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eastAsia" w:ascii="Times New Roman" w:hAnsi="Times New Roman" w:eastAsia="仿宋" w:cs="Times New Roman"/>
                <w:color w:val="auto"/>
                <w:kern w:val="2"/>
                <w:sz w:val="21"/>
                <w:szCs w:val="21"/>
                <w:lang w:val="en-US" w:eastAsia="zh-CN" w:bidi="ar-SA"/>
              </w:rPr>
              <w:t>2.7%</w:t>
            </w:r>
          </w:p>
        </w:tc>
        <w:tc>
          <w:tcPr>
            <w:tcW w:w="361" w:type="pct"/>
            <w:noWrap w:val="0"/>
            <w:vAlign w:val="center"/>
          </w:tcPr>
          <w:p w14:paraId="595B41C1">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eastAsia" w:ascii="Times New Roman" w:hAnsi="Times New Roman" w:eastAsia="仿宋" w:cs="Times New Roman"/>
                <w:color w:val="auto"/>
                <w:kern w:val="2"/>
                <w:sz w:val="21"/>
                <w:szCs w:val="21"/>
                <w:lang w:val="en-US" w:eastAsia="zh-CN" w:bidi="ar-SA"/>
              </w:rPr>
              <w:t>3.4%</w:t>
            </w:r>
          </w:p>
        </w:tc>
        <w:tc>
          <w:tcPr>
            <w:tcW w:w="381" w:type="pct"/>
            <w:noWrap w:val="0"/>
            <w:vAlign w:val="center"/>
          </w:tcPr>
          <w:p w14:paraId="41275F38">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eastAsia" w:ascii="Times New Roman" w:hAnsi="Times New Roman" w:eastAsia="仿宋" w:cs="Times New Roman"/>
                <w:color w:val="auto"/>
                <w:kern w:val="2"/>
                <w:sz w:val="21"/>
                <w:szCs w:val="21"/>
                <w:lang w:val="en-US" w:eastAsia="zh-CN" w:bidi="ar-SA"/>
              </w:rPr>
              <w:t>5.62%</w:t>
            </w:r>
          </w:p>
        </w:tc>
        <w:tc>
          <w:tcPr>
            <w:tcW w:w="357" w:type="pct"/>
            <w:noWrap w:val="0"/>
            <w:vAlign w:val="center"/>
          </w:tcPr>
          <w:p w14:paraId="7130399C">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eastAsia" w:ascii="Times New Roman" w:hAnsi="Times New Roman" w:eastAsia="仿宋" w:cs="Times New Roman"/>
                <w:color w:val="auto"/>
                <w:kern w:val="2"/>
                <w:sz w:val="21"/>
                <w:szCs w:val="21"/>
                <w:lang w:val="en-US" w:eastAsia="zh-CN" w:bidi="ar-SA"/>
              </w:rPr>
              <w:t>3.5%</w:t>
            </w:r>
          </w:p>
        </w:tc>
        <w:tc>
          <w:tcPr>
            <w:tcW w:w="1276" w:type="pct"/>
            <w:vMerge w:val="restart"/>
            <w:noWrap w:val="0"/>
            <w:vAlign w:val="center"/>
          </w:tcPr>
          <w:p w14:paraId="173616E6">
            <w:pPr>
              <w:spacing w:line="260" w:lineRule="exact"/>
              <w:jc w:val="center"/>
              <w:rPr>
                <w:rFonts w:hint="default" w:ascii="Times New Roman" w:hAnsi="Times New Roman" w:eastAsia="仿宋" w:cs="Times New Roman"/>
                <w:color w:val="auto"/>
                <w:sz w:val="21"/>
                <w:szCs w:val="21"/>
                <w:lang w:val="en-US" w:eastAsia="zh-CN"/>
              </w:rPr>
            </w:pPr>
            <w:r>
              <w:rPr>
                <w:rFonts w:hint="default" w:ascii="Times New Roman" w:hAnsi="Times New Roman" w:eastAsia="仿宋" w:cs="Times New Roman"/>
                <w:color w:val="auto"/>
                <w:sz w:val="21"/>
                <w:szCs w:val="21"/>
                <w:lang w:val="en-US" w:eastAsia="zh-CN"/>
              </w:rPr>
              <w:t>数据来源于区统计局提供的2016</w:t>
            </w:r>
            <w:r>
              <w:rPr>
                <w:rFonts w:hint="eastAsia" w:ascii="Times New Roman" w:hAnsi="Times New Roman" w:eastAsia="仿宋" w:cs="Times New Roman"/>
                <w:color w:val="auto"/>
                <w:sz w:val="21"/>
                <w:szCs w:val="21"/>
                <w:lang w:val="en-US" w:eastAsia="zh-CN"/>
              </w:rPr>
              <w:t>—</w:t>
            </w:r>
            <w:r>
              <w:rPr>
                <w:rFonts w:hint="default" w:ascii="Times New Roman" w:hAnsi="Times New Roman" w:eastAsia="仿宋" w:cs="Times New Roman"/>
                <w:color w:val="auto"/>
                <w:sz w:val="21"/>
                <w:szCs w:val="21"/>
                <w:lang w:val="en-US" w:eastAsia="zh-CN"/>
              </w:rPr>
              <w:t>2021年</w:t>
            </w:r>
            <w:r>
              <w:rPr>
                <w:rFonts w:hint="eastAsia" w:ascii="Times New Roman" w:hAnsi="Times New Roman" w:eastAsia="仿宋" w:cs="Times New Roman"/>
                <w:color w:val="auto"/>
                <w:sz w:val="21"/>
                <w:szCs w:val="21"/>
                <w:lang w:val="en-US" w:eastAsia="zh-CN"/>
              </w:rPr>
              <w:t>新平县</w:t>
            </w:r>
            <w:r>
              <w:rPr>
                <w:rFonts w:hint="default" w:ascii="Times New Roman" w:hAnsi="Times New Roman" w:eastAsia="仿宋" w:cs="Times New Roman"/>
                <w:color w:val="auto"/>
                <w:sz w:val="21"/>
                <w:szCs w:val="21"/>
                <w:lang w:val="en-US" w:eastAsia="zh-CN"/>
              </w:rPr>
              <w:t>全社会能源消耗核算主表</w:t>
            </w:r>
            <w:r>
              <w:rPr>
                <w:rFonts w:hint="eastAsia" w:ascii="Times New Roman" w:hAnsi="Times New Roman" w:eastAsia="仿宋" w:cs="Times New Roman"/>
                <w:color w:val="auto"/>
                <w:sz w:val="21"/>
                <w:szCs w:val="21"/>
                <w:lang w:val="en-US" w:eastAsia="zh-CN"/>
              </w:rPr>
              <w:t>、发改局提供的相关工作总结计算得出。</w:t>
            </w:r>
          </w:p>
        </w:tc>
      </w:tr>
      <w:tr w14:paraId="47B07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05" w:type="pct"/>
            <w:vMerge w:val="continue"/>
            <w:noWrap w:val="0"/>
            <w:vAlign w:val="center"/>
          </w:tcPr>
          <w:p w14:paraId="6DDC30FD">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212" w:type="pct"/>
            <w:vMerge w:val="continue"/>
            <w:noWrap w:val="0"/>
            <w:vAlign w:val="center"/>
          </w:tcPr>
          <w:p w14:paraId="170B89E5">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102" w:type="pct"/>
            <w:vMerge w:val="continue"/>
            <w:noWrap w:val="0"/>
            <w:vAlign w:val="center"/>
          </w:tcPr>
          <w:p w14:paraId="1D43BC0F">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339" w:type="pct"/>
            <w:vMerge w:val="continue"/>
            <w:noWrap w:val="0"/>
            <w:vAlign w:val="center"/>
          </w:tcPr>
          <w:p w14:paraId="4E785EE8">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338" w:type="pct"/>
            <w:gridSpan w:val="3"/>
            <w:noWrap w:val="0"/>
            <w:vAlign w:val="center"/>
          </w:tcPr>
          <w:p w14:paraId="53CD81D7">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完成情况</w:t>
            </w:r>
          </w:p>
        </w:tc>
        <w:tc>
          <w:tcPr>
            <w:tcW w:w="192" w:type="pct"/>
            <w:vMerge w:val="continue"/>
            <w:noWrap w:val="0"/>
            <w:vAlign w:val="center"/>
          </w:tcPr>
          <w:p w14:paraId="5D0661F0">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321" w:type="pct"/>
            <w:vMerge w:val="continue"/>
            <w:noWrap w:val="0"/>
            <w:vAlign w:val="center"/>
          </w:tcPr>
          <w:p w14:paraId="639C8B0B">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322" w:type="pct"/>
            <w:vMerge w:val="continue"/>
            <w:noWrap w:val="0"/>
            <w:vAlign w:val="center"/>
          </w:tcPr>
          <w:p w14:paraId="468ECBE0">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320" w:type="pct"/>
            <w:noWrap w:val="0"/>
            <w:vAlign w:val="center"/>
          </w:tcPr>
          <w:p w14:paraId="31F3F055">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eastAsia" w:ascii="Times New Roman" w:hAnsi="Times New Roman" w:eastAsia="仿宋" w:cs="Times New Roman"/>
                <w:color w:val="auto"/>
                <w:kern w:val="2"/>
                <w:sz w:val="21"/>
                <w:szCs w:val="21"/>
                <w:lang w:val="en-US" w:eastAsia="zh-CN" w:bidi="ar-SA"/>
              </w:rPr>
              <w:t>4.23%，已完成</w:t>
            </w:r>
          </w:p>
        </w:tc>
        <w:tc>
          <w:tcPr>
            <w:tcW w:w="367" w:type="pct"/>
            <w:noWrap w:val="0"/>
            <w:vAlign w:val="center"/>
          </w:tcPr>
          <w:p w14:paraId="664A8E42">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eastAsia" w:ascii="Times New Roman" w:hAnsi="Times New Roman" w:eastAsia="仿宋" w:cs="Times New Roman"/>
                <w:color w:val="auto"/>
                <w:kern w:val="2"/>
                <w:sz w:val="21"/>
                <w:szCs w:val="21"/>
                <w:lang w:val="en-US" w:eastAsia="zh-CN" w:bidi="ar-SA"/>
              </w:rPr>
              <w:t>0.31%，未完成</w:t>
            </w:r>
          </w:p>
        </w:tc>
        <w:tc>
          <w:tcPr>
            <w:tcW w:w="361" w:type="pct"/>
            <w:noWrap w:val="0"/>
            <w:vAlign w:val="center"/>
          </w:tcPr>
          <w:p w14:paraId="1D02A6D4">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eastAsia" w:ascii="Times New Roman" w:hAnsi="Times New Roman" w:eastAsia="仿宋" w:cs="Times New Roman"/>
                <w:color w:val="auto"/>
                <w:kern w:val="2"/>
                <w:sz w:val="21"/>
                <w:szCs w:val="21"/>
                <w:lang w:val="en-US" w:eastAsia="zh-CN" w:bidi="ar-SA"/>
              </w:rPr>
              <w:t>0.98%，未完成（1.265，）</w:t>
            </w:r>
          </w:p>
        </w:tc>
        <w:tc>
          <w:tcPr>
            <w:tcW w:w="381" w:type="pct"/>
            <w:noWrap w:val="0"/>
            <w:vAlign w:val="center"/>
          </w:tcPr>
          <w:p w14:paraId="14D5190E">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eastAsia" w:ascii="Times New Roman" w:hAnsi="Times New Roman" w:eastAsia="仿宋" w:cs="Times New Roman"/>
                <w:color w:val="auto"/>
                <w:kern w:val="2"/>
                <w:sz w:val="21"/>
                <w:szCs w:val="21"/>
                <w:lang w:val="en-US" w:eastAsia="zh-CN" w:bidi="ar-SA"/>
              </w:rPr>
              <w:t>3.91%，未完成（1.215）</w:t>
            </w:r>
          </w:p>
        </w:tc>
        <w:tc>
          <w:tcPr>
            <w:tcW w:w="357" w:type="pct"/>
            <w:noWrap w:val="0"/>
            <w:vAlign w:val="center"/>
          </w:tcPr>
          <w:p w14:paraId="4F94E05F">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eastAsia" w:ascii="Times New Roman" w:hAnsi="Times New Roman" w:eastAsia="仿宋" w:cs="Times New Roman"/>
                <w:color w:val="auto"/>
                <w:kern w:val="2"/>
                <w:sz w:val="21"/>
                <w:szCs w:val="21"/>
                <w:lang w:val="en-US" w:eastAsia="zh-CN" w:bidi="ar-SA"/>
              </w:rPr>
              <w:t>增长了3.4%（对比2020年单位GDP能耗），未完成（1.133）</w:t>
            </w:r>
          </w:p>
        </w:tc>
        <w:tc>
          <w:tcPr>
            <w:tcW w:w="1276" w:type="pct"/>
            <w:vMerge w:val="continue"/>
            <w:noWrap w:val="0"/>
            <w:vAlign w:val="center"/>
          </w:tcPr>
          <w:p w14:paraId="15117686">
            <w:pPr>
              <w:spacing w:line="260" w:lineRule="exact"/>
              <w:jc w:val="center"/>
              <w:rPr>
                <w:rFonts w:hint="default" w:ascii="Times New Roman" w:hAnsi="Times New Roman" w:eastAsia="仿宋" w:cs="Times New Roman"/>
                <w:color w:val="auto"/>
                <w:sz w:val="21"/>
                <w:szCs w:val="21"/>
                <w:lang w:val="en-US" w:eastAsia="zh-CN"/>
              </w:rPr>
            </w:pPr>
          </w:p>
        </w:tc>
      </w:tr>
      <w:tr w14:paraId="6409E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38" w:hRule="atLeast"/>
          <w:jc w:val="center"/>
        </w:trPr>
        <w:tc>
          <w:tcPr>
            <w:tcW w:w="105" w:type="pct"/>
            <w:vMerge w:val="continue"/>
            <w:noWrap w:val="0"/>
            <w:vAlign w:val="center"/>
          </w:tcPr>
          <w:p w14:paraId="6E1F3A4D">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212" w:type="pct"/>
            <w:vMerge w:val="continue"/>
            <w:noWrap w:val="0"/>
            <w:vAlign w:val="center"/>
          </w:tcPr>
          <w:p w14:paraId="2D0BFA3D">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102" w:type="pct"/>
            <w:vMerge w:val="restart"/>
            <w:noWrap w:val="0"/>
            <w:vAlign w:val="center"/>
          </w:tcPr>
          <w:p w14:paraId="42A47587">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22</w:t>
            </w:r>
          </w:p>
        </w:tc>
        <w:tc>
          <w:tcPr>
            <w:tcW w:w="339" w:type="pct"/>
            <w:vMerge w:val="restart"/>
            <w:noWrap w:val="0"/>
            <w:vAlign w:val="center"/>
          </w:tcPr>
          <w:p w14:paraId="01C06891">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单位地区生产总值用水量</w:t>
            </w:r>
          </w:p>
        </w:tc>
        <w:tc>
          <w:tcPr>
            <w:tcW w:w="338" w:type="pct"/>
            <w:gridSpan w:val="3"/>
            <w:noWrap w:val="0"/>
            <w:vAlign w:val="center"/>
          </w:tcPr>
          <w:p w14:paraId="4D36AA78">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上级考核目标</w:t>
            </w:r>
          </w:p>
        </w:tc>
        <w:tc>
          <w:tcPr>
            <w:tcW w:w="192" w:type="pct"/>
            <w:vMerge w:val="restart"/>
            <w:noWrap w:val="0"/>
            <w:vAlign w:val="center"/>
          </w:tcPr>
          <w:p w14:paraId="17BD0048">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m3/万元</w:t>
            </w:r>
          </w:p>
        </w:tc>
        <w:tc>
          <w:tcPr>
            <w:tcW w:w="321" w:type="pct"/>
            <w:vMerge w:val="restart"/>
            <w:noWrap w:val="0"/>
            <w:vAlign w:val="center"/>
          </w:tcPr>
          <w:p w14:paraId="29202EAE">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完成上级规定的目标任务；保持稳定或持续改善</w:t>
            </w:r>
          </w:p>
        </w:tc>
        <w:tc>
          <w:tcPr>
            <w:tcW w:w="322" w:type="pct"/>
            <w:vMerge w:val="restart"/>
            <w:noWrap w:val="0"/>
            <w:vAlign w:val="center"/>
          </w:tcPr>
          <w:p w14:paraId="11683924">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完成上级规定的目标任务；保持稳定或持续改善</w:t>
            </w:r>
          </w:p>
        </w:tc>
        <w:tc>
          <w:tcPr>
            <w:tcW w:w="320" w:type="pct"/>
            <w:vMerge w:val="restart"/>
            <w:noWrap w:val="0"/>
            <w:vAlign w:val="center"/>
          </w:tcPr>
          <w:p w14:paraId="77752AFF">
            <w:pPr>
              <w:spacing w:line="260" w:lineRule="exact"/>
              <w:jc w:val="center"/>
              <w:rPr>
                <w:rFonts w:hint="eastAsia" w:ascii="Times New Roman" w:hAnsi="Times New Roman" w:eastAsia="仿宋" w:cs="Times New Roman"/>
                <w:color w:val="auto"/>
                <w:kern w:val="2"/>
                <w:sz w:val="21"/>
                <w:szCs w:val="21"/>
                <w:lang w:val="en-US" w:eastAsia="zh-CN" w:bidi="ar-SA"/>
              </w:rPr>
            </w:pPr>
            <w:r>
              <w:rPr>
                <w:rFonts w:hint="eastAsia" w:ascii="Times New Roman" w:hAnsi="Times New Roman" w:eastAsia="仿宋" w:cs="Times New Roman"/>
                <w:color w:val="auto"/>
                <w:kern w:val="2"/>
                <w:sz w:val="21"/>
                <w:szCs w:val="21"/>
                <w:lang w:val="en-US" w:eastAsia="zh-CN" w:bidi="ar-SA"/>
              </w:rPr>
              <w:t>/</w:t>
            </w:r>
          </w:p>
        </w:tc>
        <w:tc>
          <w:tcPr>
            <w:tcW w:w="367" w:type="pct"/>
            <w:vMerge w:val="restart"/>
            <w:noWrap w:val="0"/>
            <w:vAlign w:val="center"/>
          </w:tcPr>
          <w:p w14:paraId="31656D75">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eastAsia" w:ascii="Times New Roman" w:hAnsi="Times New Roman" w:eastAsia="仿宋" w:cs="Times New Roman"/>
                <w:color w:val="auto"/>
                <w:kern w:val="2"/>
                <w:sz w:val="21"/>
                <w:szCs w:val="21"/>
                <w:lang w:val="en-US" w:eastAsia="zh-CN" w:bidi="ar-SA"/>
              </w:rPr>
              <w:t>/</w:t>
            </w:r>
          </w:p>
        </w:tc>
        <w:tc>
          <w:tcPr>
            <w:tcW w:w="361" w:type="pct"/>
            <w:vMerge w:val="restart"/>
            <w:noWrap w:val="0"/>
            <w:vAlign w:val="center"/>
          </w:tcPr>
          <w:p w14:paraId="12FE99DC">
            <w:pPr>
              <w:spacing w:line="260" w:lineRule="exact"/>
              <w:jc w:val="center"/>
              <w:rPr>
                <w:rFonts w:hint="eastAsia" w:ascii="Times New Roman" w:hAnsi="Times New Roman" w:eastAsia="仿宋" w:cs="Times New Roman"/>
                <w:color w:val="auto"/>
                <w:kern w:val="2"/>
                <w:sz w:val="21"/>
                <w:szCs w:val="21"/>
                <w:lang w:val="en-US" w:eastAsia="zh-CN" w:bidi="ar-SA"/>
              </w:rPr>
            </w:pPr>
            <w:r>
              <w:rPr>
                <w:rFonts w:hint="eastAsia" w:ascii="Times New Roman" w:hAnsi="Times New Roman" w:eastAsia="仿宋" w:cs="Times New Roman"/>
                <w:color w:val="auto"/>
                <w:kern w:val="2"/>
                <w:sz w:val="21"/>
                <w:szCs w:val="21"/>
                <w:lang w:val="en-US" w:eastAsia="zh-CN" w:bidi="ar-SA"/>
              </w:rPr>
              <w:t>82.7，对比2</w:t>
            </w:r>
            <w:r>
              <w:rPr>
                <w:rFonts w:hint="default" w:ascii="Times New Roman" w:hAnsi="Times New Roman" w:eastAsia="仿宋" w:cs="Times New Roman"/>
                <w:color w:val="auto"/>
                <w:kern w:val="2"/>
                <w:sz w:val="21"/>
                <w:szCs w:val="21"/>
                <w:lang w:val="en-US" w:eastAsia="zh-CN" w:bidi="ar-SA"/>
              </w:rPr>
              <w:t>015</w:t>
            </w:r>
            <w:r>
              <w:rPr>
                <w:rFonts w:hint="eastAsia" w:ascii="Times New Roman" w:hAnsi="Times New Roman" w:eastAsia="仿宋" w:cs="Times New Roman"/>
                <w:color w:val="auto"/>
                <w:kern w:val="2"/>
                <w:sz w:val="21"/>
                <w:szCs w:val="21"/>
                <w:lang w:val="en-US" w:eastAsia="zh-CN" w:bidi="ar-SA"/>
              </w:rPr>
              <w:t>年下降37.4%。</w:t>
            </w:r>
            <w:r>
              <w:rPr>
                <w:rFonts w:hint="default" w:ascii="Times New Roman" w:hAnsi="Times New Roman" w:eastAsia="仿宋" w:cs="Times New Roman"/>
                <w:color w:val="auto"/>
                <w:kern w:val="2"/>
                <w:sz w:val="21"/>
                <w:szCs w:val="21"/>
                <w:lang w:val="en-US" w:eastAsia="zh-CN" w:bidi="ar-SA"/>
              </w:rPr>
              <w:t>完成上级规定的目标任务</w:t>
            </w:r>
            <w:r>
              <w:rPr>
                <w:rFonts w:hint="eastAsia" w:ascii="Times New Roman" w:hAnsi="Times New Roman" w:eastAsia="仿宋" w:cs="Times New Roman"/>
                <w:color w:val="auto"/>
                <w:kern w:val="2"/>
                <w:sz w:val="21"/>
                <w:szCs w:val="21"/>
                <w:lang w:val="en-US" w:eastAsia="zh-CN" w:bidi="ar-SA"/>
              </w:rPr>
              <w:t>。</w:t>
            </w:r>
          </w:p>
        </w:tc>
        <w:tc>
          <w:tcPr>
            <w:tcW w:w="381" w:type="pct"/>
            <w:vMerge w:val="restart"/>
            <w:noWrap w:val="0"/>
            <w:vAlign w:val="center"/>
          </w:tcPr>
          <w:p w14:paraId="274EF7B5">
            <w:pPr>
              <w:spacing w:line="260" w:lineRule="exact"/>
              <w:jc w:val="center"/>
              <w:rPr>
                <w:rFonts w:hint="eastAsia" w:ascii="Times New Roman" w:hAnsi="Times New Roman" w:eastAsia="仿宋" w:cs="Times New Roman"/>
                <w:color w:val="auto"/>
                <w:kern w:val="2"/>
                <w:sz w:val="21"/>
                <w:szCs w:val="21"/>
                <w:lang w:val="en-US" w:eastAsia="zh-CN" w:bidi="ar-SA"/>
              </w:rPr>
            </w:pPr>
            <w:r>
              <w:rPr>
                <w:rFonts w:hint="eastAsia" w:ascii="Times New Roman" w:hAnsi="Times New Roman" w:eastAsia="仿宋" w:cs="Times New Roman"/>
                <w:color w:val="auto"/>
                <w:kern w:val="2"/>
                <w:sz w:val="21"/>
                <w:szCs w:val="21"/>
                <w:lang w:val="en-US" w:eastAsia="zh-CN" w:bidi="ar-SA"/>
              </w:rPr>
              <w:t>79.2，对比2</w:t>
            </w:r>
            <w:r>
              <w:rPr>
                <w:rFonts w:hint="default" w:ascii="Times New Roman" w:hAnsi="Times New Roman" w:eastAsia="仿宋" w:cs="Times New Roman"/>
                <w:color w:val="auto"/>
                <w:kern w:val="2"/>
                <w:sz w:val="21"/>
                <w:szCs w:val="21"/>
                <w:lang w:val="en-US" w:eastAsia="zh-CN" w:bidi="ar-SA"/>
              </w:rPr>
              <w:t>015</w:t>
            </w:r>
            <w:r>
              <w:rPr>
                <w:rFonts w:hint="eastAsia" w:ascii="Times New Roman" w:hAnsi="Times New Roman" w:eastAsia="仿宋" w:cs="Times New Roman"/>
                <w:color w:val="auto"/>
                <w:kern w:val="2"/>
                <w:sz w:val="21"/>
                <w:szCs w:val="21"/>
                <w:lang w:val="en-US" w:eastAsia="zh-CN" w:bidi="ar-SA"/>
              </w:rPr>
              <w:t>年下降53%。</w:t>
            </w:r>
            <w:r>
              <w:rPr>
                <w:rFonts w:hint="default" w:ascii="Times New Roman" w:hAnsi="Times New Roman" w:eastAsia="仿宋" w:cs="Times New Roman"/>
                <w:color w:val="auto"/>
                <w:kern w:val="2"/>
                <w:sz w:val="21"/>
                <w:szCs w:val="21"/>
                <w:lang w:val="en-US" w:eastAsia="zh-CN" w:bidi="ar-SA"/>
              </w:rPr>
              <w:t>完成上级规定的目标任务</w:t>
            </w:r>
            <w:r>
              <w:rPr>
                <w:rFonts w:hint="eastAsia" w:ascii="Times New Roman" w:hAnsi="Times New Roman" w:eastAsia="仿宋" w:cs="Times New Roman"/>
                <w:color w:val="auto"/>
                <w:kern w:val="2"/>
                <w:sz w:val="21"/>
                <w:szCs w:val="21"/>
                <w:lang w:val="en-US" w:eastAsia="zh-CN" w:bidi="ar-SA"/>
              </w:rPr>
              <w:t>。</w:t>
            </w:r>
          </w:p>
        </w:tc>
        <w:tc>
          <w:tcPr>
            <w:tcW w:w="357" w:type="pct"/>
            <w:vMerge w:val="restart"/>
            <w:noWrap w:val="0"/>
            <w:vAlign w:val="center"/>
          </w:tcPr>
          <w:p w14:paraId="5AC602D4">
            <w:pPr>
              <w:spacing w:line="260" w:lineRule="exact"/>
              <w:jc w:val="center"/>
              <w:rPr>
                <w:rFonts w:hint="eastAsia" w:ascii="Times New Roman" w:hAnsi="Times New Roman" w:eastAsia="仿宋" w:cs="Times New Roman"/>
                <w:color w:val="auto"/>
                <w:kern w:val="2"/>
                <w:sz w:val="21"/>
                <w:szCs w:val="21"/>
                <w:lang w:val="en-US" w:eastAsia="zh-CN" w:bidi="ar-SA"/>
              </w:rPr>
            </w:pPr>
            <w:r>
              <w:rPr>
                <w:rFonts w:hint="eastAsia" w:ascii="Times New Roman" w:hAnsi="Times New Roman" w:eastAsia="仿宋" w:cs="Times New Roman"/>
                <w:color w:val="auto"/>
                <w:kern w:val="2"/>
                <w:sz w:val="21"/>
                <w:szCs w:val="21"/>
                <w:lang w:val="en-US" w:eastAsia="zh-CN" w:bidi="ar-SA"/>
              </w:rPr>
              <w:t>78.0，对比2020年下降9.8%。</w:t>
            </w:r>
            <w:r>
              <w:rPr>
                <w:rFonts w:hint="default" w:ascii="Times New Roman" w:hAnsi="Times New Roman" w:eastAsia="仿宋" w:cs="Times New Roman"/>
                <w:color w:val="auto"/>
                <w:kern w:val="2"/>
                <w:sz w:val="21"/>
                <w:szCs w:val="21"/>
                <w:lang w:val="en-US" w:eastAsia="zh-CN" w:bidi="ar-SA"/>
              </w:rPr>
              <w:t>完成上级规定的目标任务</w:t>
            </w:r>
            <w:r>
              <w:rPr>
                <w:rFonts w:hint="eastAsia" w:ascii="Times New Roman" w:hAnsi="Times New Roman" w:eastAsia="仿宋" w:cs="Times New Roman"/>
                <w:color w:val="auto"/>
                <w:kern w:val="2"/>
                <w:sz w:val="21"/>
                <w:szCs w:val="21"/>
                <w:lang w:val="en-US" w:eastAsia="zh-CN" w:bidi="ar-SA"/>
              </w:rPr>
              <w:t>。</w:t>
            </w:r>
          </w:p>
        </w:tc>
        <w:tc>
          <w:tcPr>
            <w:tcW w:w="1276" w:type="pct"/>
            <w:vMerge w:val="restart"/>
            <w:noWrap w:val="0"/>
            <w:vAlign w:val="center"/>
          </w:tcPr>
          <w:p w14:paraId="04B46A9F">
            <w:pPr>
              <w:spacing w:line="260" w:lineRule="exact"/>
              <w:ind w:firstLine="420" w:firstLineChars="200"/>
              <w:jc w:val="left"/>
              <w:rPr>
                <w:rFonts w:hint="default" w:ascii="Times New Roman" w:hAnsi="Times New Roman" w:eastAsia="仿宋" w:cs="Times New Roman"/>
                <w:color w:val="auto"/>
                <w:sz w:val="21"/>
                <w:szCs w:val="21"/>
                <w:lang w:val="en-US" w:eastAsia="zh-CN"/>
              </w:rPr>
            </w:pPr>
            <w:r>
              <w:rPr>
                <w:rFonts w:hint="default" w:ascii="Times New Roman" w:hAnsi="Times New Roman" w:eastAsia="仿宋" w:cs="Times New Roman"/>
                <w:color w:val="auto"/>
                <w:sz w:val="21"/>
                <w:szCs w:val="21"/>
                <w:lang w:val="en-US" w:eastAsia="zh-CN"/>
              </w:rPr>
              <w:t>来源于</w:t>
            </w:r>
            <w:r>
              <w:rPr>
                <w:rFonts w:hint="eastAsia" w:ascii="Times New Roman" w:hAnsi="Times New Roman" w:eastAsia="仿宋" w:cs="Times New Roman"/>
                <w:color w:val="auto"/>
                <w:sz w:val="21"/>
                <w:szCs w:val="21"/>
                <w:lang w:val="en-US" w:eastAsia="zh-CN"/>
              </w:rPr>
              <w:t>2019-2021</w:t>
            </w:r>
            <w:r>
              <w:rPr>
                <w:rFonts w:hint="default" w:ascii="Times New Roman" w:hAnsi="Times New Roman" w:eastAsia="仿宋" w:cs="Times New Roman"/>
                <w:color w:val="auto"/>
                <w:sz w:val="21"/>
                <w:szCs w:val="21"/>
                <w:lang w:val="en-US" w:eastAsia="zh-CN"/>
              </w:rPr>
              <w:t>《</w:t>
            </w:r>
            <w:r>
              <w:rPr>
                <w:rFonts w:hint="eastAsia" w:ascii="Times New Roman" w:hAnsi="Times New Roman" w:eastAsia="仿宋" w:cs="Times New Roman"/>
                <w:color w:val="auto"/>
                <w:sz w:val="21"/>
                <w:szCs w:val="21"/>
                <w:lang w:val="en-US" w:eastAsia="zh-CN"/>
              </w:rPr>
              <w:t>新平县</w:t>
            </w:r>
            <w:r>
              <w:rPr>
                <w:rFonts w:hint="default" w:ascii="Times New Roman" w:hAnsi="Times New Roman" w:eastAsia="仿宋" w:cs="Times New Roman"/>
                <w:color w:val="auto"/>
                <w:sz w:val="21"/>
                <w:szCs w:val="21"/>
                <w:lang w:val="en-US" w:eastAsia="zh-CN"/>
              </w:rPr>
              <w:t>人民政府关于实行最严格水资源管理制度考核工作的自查报告》以及201</w:t>
            </w:r>
            <w:r>
              <w:rPr>
                <w:rFonts w:hint="eastAsia" w:ascii="Times New Roman" w:hAnsi="Times New Roman" w:eastAsia="仿宋" w:cs="Times New Roman"/>
                <w:color w:val="auto"/>
                <w:sz w:val="21"/>
                <w:szCs w:val="21"/>
                <w:lang w:val="en-US" w:eastAsia="zh-CN"/>
              </w:rPr>
              <w:t>9—</w:t>
            </w:r>
            <w:r>
              <w:rPr>
                <w:rFonts w:hint="default" w:ascii="Times New Roman" w:hAnsi="Times New Roman" w:eastAsia="仿宋" w:cs="Times New Roman"/>
                <w:color w:val="auto"/>
                <w:sz w:val="21"/>
                <w:szCs w:val="21"/>
                <w:lang w:val="en-US" w:eastAsia="zh-CN"/>
              </w:rPr>
              <w:t>202</w:t>
            </w:r>
            <w:r>
              <w:rPr>
                <w:rFonts w:hint="eastAsia" w:ascii="Times New Roman" w:hAnsi="Times New Roman" w:eastAsia="仿宋" w:cs="Times New Roman"/>
                <w:color w:val="auto"/>
                <w:sz w:val="21"/>
                <w:szCs w:val="21"/>
                <w:lang w:val="en-US" w:eastAsia="zh-CN"/>
              </w:rPr>
              <w:t>0</w:t>
            </w:r>
            <w:r>
              <w:rPr>
                <w:rFonts w:hint="default" w:ascii="Times New Roman" w:hAnsi="Times New Roman" w:eastAsia="仿宋" w:cs="Times New Roman"/>
                <w:color w:val="auto"/>
                <w:sz w:val="21"/>
                <w:szCs w:val="21"/>
                <w:lang w:val="en-US" w:eastAsia="zh-CN"/>
              </w:rPr>
              <w:t>年《</w:t>
            </w:r>
            <w:r>
              <w:rPr>
                <w:rFonts w:hint="eastAsia" w:ascii="Times New Roman" w:hAnsi="Times New Roman" w:eastAsia="仿宋" w:cs="Times New Roman"/>
                <w:color w:val="auto"/>
                <w:sz w:val="21"/>
                <w:szCs w:val="21"/>
                <w:lang w:val="en-US" w:eastAsia="zh-CN"/>
              </w:rPr>
              <w:t>玉溪市</w:t>
            </w:r>
            <w:r>
              <w:rPr>
                <w:rFonts w:hint="default" w:ascii="Times New Roman" w:hAnsi="Times New Roman" w:eastAsia="仿宋" w:cs="Times New Roman"/>
                <w:color w:val="auto"/>
                <w:sz w:val="21"/>
                <w:szCs w:val="21"/>
                <w:lang w:val="en-US" w:eastAsia="zh-CN"/>
              </w:rPr>
              <w:t>最严格水资源管理制度考核指标完成情况》</w:t>
            </w:r>
          </w:p>
        </w:tc>
      </w:tr>
      <w:tr w14:paraId="24490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05" w:type="pct"/>
            <w:vMerge w:val="continue"/>
            <w:noWrap w:val="0"/>
            <w:vAlign w:val="center"/>
          </w:tcPr>
          <w:p w14:paraId="3189DF04">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212" w:type="pct"/>
            <w:vMerge w:val="continue"/>
            <w:noWrap w:val="0"/>
            <w:vAlign w:val="center"/>
          </w:tcPr>
          <w:p w14:paraId="0DE8995B">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102" w:type="pct"/>
            <w:vMerge w:val="continue"/>
            <w:noWrap w:val="0"/>
            <w:vAlign w:val="center"/>
          </w:tcPr>
          <w:p w14:paraId="3D033A11">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339" w:type="pct"/>
            <w:vMerge w:val="continue"/>
            <w:noWrap w:val="0"/>
            <w:vAlign w:val="center"/>
          </w:tcPr>
          <w:p w14:paraId="090A84E4">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338" w:type="pct"/>
            <w:gridSpan w:val="3"/>
            <w:noWrap w:val="0"/>
            <w:vAlign w:val="center"/>
          </w:tcPr>
          <w:p w14:paraId="670DF5BB">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完成情况</w:t>
            </w:r>
          </w:p>
        </w:tc>
        <w:tc>
          <w:tcPr>
            <w:tcW w:w="192" w:type="pct"/>
            <w:vMerge w:val="continue"/>
            <w:noWrap w:val="0"/>
            <w:vAlign w:val="center"/>
          </w:tcPr>
          <w:p w14:paraId="13701651">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321" w:type="pct"/>
            <w:vMerge w:val="continue"/>
            <w:noWrap w:val="0"/>
            <w:vAlign w:val="center"/>
          </w:tcPr>
          <w:p w14:paraId="4BBBFA13">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322" w:type="pct"/>
            <w:vMerge w:val="continue"/>
            <w:noWrap w:val="0"/>
            <w:vAlign w:val="center"/>
          </w:tcPr>
          <w:p w14:paraId="7EB76BF0">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320" w:type="pct"/>
            <w:vMerge w:val="continue"/>
            <w:noWrap w:val="0"/>
            <w:vAlign w:val="center"/>
          </w:tcPr>
          <w:p w14:paraId="7A6368FC">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367" w:type="pct"/>
            <w:vMerge w:val="continue"/>
            <w:noWrap w:val="0"/>
            <w:vAlign w:val="center"/>
          </w:tcPr>
          <w:p w14:paraId="36B4B562">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361" w:type="pct"/>
            <w:vMerge w:val="continue"/>
            <w:noWrap w:val="0"/>
            <w:vAlign w:val="center"/>
          </w:tcPr>
          <w:p w14:paraId="67BA7A0D">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381" w:type="pct"/>
            <w:vMerge w:val="continue"/>
            <w:noWrap w:val="0"/>
            <w:vAlign w:val="center"/>
          </w:tcPr>
          <w:p w14:paraId="55B7D1F7">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357" w:type="pct"/>
            <w:vMerge w:val="continue"/>
            <w:noWrap w:val="0"/>
            <w:vAlign w:val="center"/>
          </w:tcPr>
          <w:p w14:paraId="224D8DE6">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1276" w:type="pct"/>
            <w:vMerge w:val="continue"/>
            <w:noWrap w:val="0"/>
            <w:vAlign w:val="center"/>
          </w:tcPr>
          <w:p w14:paraId="4198D0B1">
            <w:pPr>
              <w:spacing w:line="260" w:lineRule="exact"/>
              <w:jc w:val="center"/>
              <w:rPr>
                <w:rFonts w:hint="default" w:ascii="Times New Roman" w:hAnsi="Times New Roman" w:eastAsia="宋体" w:cs="Times New Roman"/>
                <w:color w:val="FF0000"/>
                <w:sz w:val="21"/>
                <w:szCs w:val="21"/>
                <w:highlight w:val="none"/>
              </w:rPr>
            </w:pPr>
          </w:p>
        </w:tc>
      </w:tr>
      <w:tr w14:paraId="6B898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05" w:type="pct"/>
            <w:vMerge w:val="continue"/>
            <w:noWrap w:val="0"/>
            <w:vAlign w:val="center"/>
          </w:tcPr>
          <w:p w14:paraId="1DABC01D">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212" w:type="pct"/>
            <w:vMerge w:val="continue"/>
            <w:noWrap w:val="0"/>
            <w:vAlign w:val="center"/>
          </w:tcPr>
          <w:p w14:paraId="73B67BE7">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102" w:type="pct"/>
            <w:noWrap w:val="0"/>
            <w:vAlign w:val="center"/>
          </w:tcPr>
          <w:p w14:paraId="4352E5A0">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23</w:t>
            </w:r>
          </w:p>
        </w:tc>
        <w:tc>
          <w:tcPr>
            <w:tcW w:w="678" w:type="pct"/>
            <w:gridSpan w:val="4"/>
            <w:noWrap w:val="0"/>
            <w:vAlign w:val="center"/>
          </w:tcPr>
          <w:p w14:paraId="3EEED41C">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单位国内生产总值建设用地使用面积下降率</w:t>
            </w:r>
          </w:p>
        </w:tc>
        <w:tc>
          <w:tcPr>
            <w:tcW w:w="192" w:type="pct"/>
            <w:noWrap w:val="0"/>
            <w:vAlign w:val="center"/>
          </w:tcPr>
          <w:p w14:paraId="0D36B4DE">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w:t>
            </w:r>
          </w:p>
        </w:tc>
        <w:tc>
          <w:tcPr>
            <w:tcW w:w="321" w:type="pct"/>
            <w:noWrap w:val="0"/>
            <w:vAlign w:val="center"/>
          </w:tcPr>
          <w:p w14:paraId="60EE1D27">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≥4.5</w:t>
            </w:r>
          </w:p>
        </w:tc>
        <w:tc>
          <w:tcPr>
            <w:tcW w:w="322" w:type="pct"/>
            <w:noWrap w:val="0"/>
            <w:vAlign w:val="center"/>
          </w:tcPr>
          <w:p w14:paraId="3F3F9D31">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≥4.5</w:t>
            </w:r>
          </w:p>
        </w:tc>
        <w:tc>
          <w:tcPr>
            <w:tcW w:w="320" w:type="pct"/>
            <w:noWrap w:val="0"/>
            <w:vAlign w:val="center"/>
          </w:tcPr>
          <w:p w14:paraId="3350E219">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eastAsia" w:ascii="Times New Roman" w:hAnsi="Times New Roman" w:eastAsia="仿宋" w:cs="Times New Roman"/>
                <w:color w:val="auto"/>
                <w:kern w:val="2"/>
                <w:sz w:val="21"/>
                <w:szCs w:val="21"/>
                <w:lang w:val="en-US" w:eastAsia="zh-CN" w:bidi="ar-SA"/>
              </w:rPr>
              <w:t>/</w:t>
            </w:r>
          </w:p>
        </w:tc>
        <w:tc>
          <w:tcPr>
            <w:tcW w:w="367" w:type="pct"/>
            <w:noWrap w:val="0"/>
            <w:vAlign w:val="center"/>
          </w:tcPr>
          <w:p w14:paraId="5BB88234">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eastAsia" w:ascii="Times New Roman" w:hAnsi="Times New Roman" w:eastAsia="仿宋" w:cs="Times New Roman"/>
                <w:color w:val="auto"/>
                <w:kern w:val="2"/>
                <w:sz w:val="21"/>
                <w:szCs w:val="21"/>
                <w:lang w:val="en-US" w:eastAsia="zh-CN" w:bidi="ar-SA"/>
              </w:rPr>
              <w:t>/</w:t>
            </w:r>
          </w:p>
        </w:tc>
        <w:tc>
          <w:tcPr>
            <w:tcW w:w="361" w:type="pct"/>
            <w:noWrap w:val="0"/>
            <w:vAlign w:val="center"/>
          </w:tcPr>
          <w:p w14:paraId="00609DF7">
            <w:pPr>
              <w:spacing w:line="260" w:lineRule="exact"/>
              <w:jc w:val="center"/>
              <w:rPr>
                <w:rFonts w:hint="default" w:ascii="Times New Roman" w:hAnsi="Times New Roman" w:eastAsia="仿宋" w:cs="Times New Roman"/>
                <w:color w:val="auto"/>
                <w:kern w:val="2"/>
                <w:sz w:val="21"/>
                <w:szCs w:val="21"/>
                <w:highlight w:val="yellow"/>
                <w:lang w:val="en-US" w:eastAsia="zh-CN" w:bidi="ar-SA"/>
              </w:rPr>
            </w:pPr>
            <w:r>
              <w:rPr>
                <w:rFonts w:hint="eastAsia" w:ascii="Times New Roman" w:hAnsi="Times New Roman" w:eastAsia="仿宋" w:cs="Times New Roman"/>
                <w:color w:val="auto"/>
                <w:kern w:val="2"/>
                <w:sz w:val="21"/>
                <w:szCs w:val="21"/>
                <w:highlight w:val="yellow"/>
                <w:lang w:val="en-US" w:eastAsia="zh-CN" w:bidi="ar-SA"/>
              </w:rPr>
              <w:t>32.3</w:t>
            </w:r>
          </w:p>
        </w:tc>
        <w:tc>
          <w:tcPr>
            <w:tcW w:w="381" w:type="pct"/>
            <w:noWrap w:val="0"/>
            <w:vAlign w:val="center"/>
          </w:tcPr>
          <w:p w14:paraId="6A64783A">
            <w:pPr>
              <w:spacing w:line="260" w:lineRule="exact"/>
              <w:jc w:val="center"/>
              <w:rPr>
                <w:rFonts w:hint="default" w:ascii="Times New Roman" w:hAnsi="Times New Roman" w:eastAsia="仿宋" w:cs="Times New Roman"/>
                <w:color w:val="auto"/>
                <w:kern w:val="2"/>
                <w:sz w:val="21"/>
                <w:szCs w:val="21"/>
                <w:highlight w:val="yellow"/>
                <w:lang w:val="en-US" w:eastAsia="zh-CN" w:bidi="ar-SA"/>
              </w:rPr>
            </w:pPr>
            <w:r>
              <w:rPr>
                <w:rFonts w:hint="eastAsia" w:ascii="Times New Roman" w:hAnsi="Times New Roman" w:eastAsia="仿宋" w:cs="Times New Roman"/>
                <w:color w:val="auto"/>
                <w:kern w:val="2"/>
                <w:sz w:val="21"/>
                <w:szCs w:val="21"/>
                <w:highlight w:val="yellow"/>
                <w:lang w:val="en-US" w:eastAsia="zh-CN" w:bidi="ar-SA"/>
              </w:rPr>
              <w:t>17.5</w:t>
            </w:r>
          </w:p>
        </w:tc>
        <w:tc>
          <w:tcPr>
            <w:tcW w:w="357" w:type="pct"/>
            <w:noWrap w:val="0"/>
            <w:vAlign w:val="center"/>
          </w:tcPr>
          <w:p w14:paraId="323AEF9C">
            <w:pPr>
              <w:spacing w:line="260" w:lineRule="exact"/>
              <w:jc w:val="center"/>
              <w:rPr>
                <w:rFonts w:hint="default" w:ascii="Times New Roman" w:hAnsi="Times New Roman" w:eastAsia="仿宋" w:cs="Times New Roman"/>
                <w:color w:val="auto"/>
                <w:kern w:val="2"/>
                <w:sz w:val="21"/>
                <w:szCs w:val="21"/>
                <w:highlight w:val="yellow"/>
                <w:lang w:val="en-US" w:eastAsia="zh-CN" w:bidi="ar-SA"/>
              </w:rPr>
            </w:pPr>
            <w:r>
              <w:rPr>
                <w:rFonts w:hint="eastAsia" w:ascii="Times New Roman" w:hAnsi="Times New Roman" w:eastAsia="仿宋" w:cs="Times New Roman"/>
                <w:color w:val="auto"/>
                <w:kern w:val="2"/>
                <w:sz w:val="21"/>
                <w:szCs w:val="21"/>
                <w:highlight w:val="yellow"/>
                <w:lang w:val="en-US" w:eastAsia="zh-CN" w:bidi="ar-SA"/>
              </w:rPr>
              <w:t>36.8</w:t>
            </w:r>
          </w:p>
        </w:tc>
        <w:tc>
          <w:tcPr>
            <w:tcW w:w="1276" w:type="pct"/>
            <w:noWrap w:val="0"/>
            <w:vAlign w:val="center"/>
          </w:tcPr>
          <w:p w14:paraId="2A065D4D">
            <w:pPr>
              <w:spacing w:line="260" w:lineRule="exact"/>
              <w:ind w:firstLine="420" w:firstLineChars="200"/>
              <w:jc w:val="left"/>
              <w:rPr>
                <w:rFonts w:hint="eastAsia" w:ascii="Times New Roman" w:hAnsi="Times New Roman" w:eastAsia="仿宋" w:cs="Times New Roman"/>
                <w:color w:val="auto"/>
                <w:sz w:val="21"/>
                <w:szCs w:val="21"/>
                <w:lang w:val="en-US" w:eastAsia="zh-CN"/>
              </w:rPr>
            </w:pPr>
            <w:r>
              <w:rPr>
                <w:rFonts w:hint="default" w:ascii="Times New Roman" w:hAnsi="Times New Roman" w:eastAsia="仿宋" w:cs="Times New Roman"/>
                <w:color w:val="auto"/>
                <w:sz w:val="21"/>
                <w:szCs w:val="21"/>
                <w:lang w:val="en-US" w:eastAsia="zh-CN"/>
              </w:rPr>
              <w:t>根据</w:t>
            </w:r>
            <w:r>
              <w:rPr>
                <w:rFonts w:hint="eastAsia" w:ascii="Times New Roman" w:hAnsi="Times New Roman" w:eastAsia="仿宋" w:cs="Times New Roman"/>
                <w:color w:val="auto"/>
                <w:sz w:val="21"/>
                <w:szCs w:val="21"/>
                <w:lang w:val="en-US" w:eastAsia="zh-CN"/>
              </w:rPr>
              <w:t>新平县</w:t>
            </w:r>
            <w:r>
              <w:rPr>
                <w:rFonts w:hint="default" w:ascii="Times New Roman" w:hAnsi="Times New Roman" w:eastAsia="仿宋" w:cs="Times New Roman"/>
                <w:color w:val="auto"/>
                <w:sz w:val="21"/>
                <w:szCs w:val="21"/>
                <w:lang w:val="en-US" w:eastAsia="zh-CN"/>
              </w:rPr>
              <w:t>自然资源和规划局提供土地利用类型面积以及区统计局提供的地区生产总值数据</w:t>
            </w:r>
            <w:r>
              <w:rPr>
                <w:rFonts w:hint="eastAsia" w:ascii="Times New Roman" w:hAnsi="Times New Roman" w:eastAsia="仿宋" w:cs="Times New Roman"/>
                <w:color w:val="auto"/>
                <w:sz w:val="21"/>
                <w:szCs w:val="21"/>
                <w:lang w:val="en-US" w:eastAsia="zh-CN"/>
              </w:rPr>
              <w:t>。</w:t>
            </w:r>
          </w:p>
        </w:tc>
      </w:tr>
      <w:tr w14:paraId="09909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40" w:hRule="atLeast"/>
          <w:jc w:val="center"/>
        </w:trPr>
        <w:tc>
          <w:tcPr>
            <w:tcW w:w="105" w:type="pct"/>
            <w:vMerge w:val="continue"/>
            <w:noWrap w:val="0"/>
            <w:vAlign w:val="center"/>
          </w:tcPr>
          <w:p w14:paraId="18DA075B">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212" w:type="pct"/>
            <w:vMerge w:val="restart"/>
            <w:noWrap w:val="0"/>
            <w:vAlign w:val="center"/>
          </w:tcPr>
          <w:p w14:paraId="274EBC4A">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（七）</w:t>
            </w:r>
          </w:p>
          <w:p w14:paraId="084724E5">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产业循环发展</w:t>
            </w:r>
          </w:p>
        </w:tc>
        <w:tc>
          <w:tcPr>
            <w:tcW w:w="102" w:type="pct"/>
            <w:noWrap w:val="0"/>
            <w:vAlign w:val="center"/>
          </w:tcPr>
          <w:p w14:paraId="31221335">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24</w:t>
            </w:r>
          </w:p>
        </w:tc>
        <w:tc>
          <w:tcPr>
            <w:tcW w:w="678" w:type="pct"/>
            <w:gridSpan w:val="4"/>
            <w:noWrap w:val="0"/>
            <w:vAlign w:val="center"/>
          </w:tcPr>
          <w:p w14:paraId="494D8B58">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三大粮食作物化肥农药利用率</w:t>
            </w:r>
          </w:p>
          <w:p w14:paraId="373F4B62">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化肥利用率</w:t>
            </w:r>
          </w:p>
          <w:p w14:paraId="5BE8C81A">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农药利用率</w:t>
            </w:r>
          </w:p>
        </w:tc>
        <w:tc>
          <w:tcPr>
            <w:tcW w:w="192" w:type="pct"/>
            <w:noWrap w:val="0"/>
            <w:vAlign w:val="center"/>
          </w:tcPr>
          <w:p w14:paraId="3C29AF8C">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w:t>
            </w:r>
          </w:p>
        </w:tc>
        <w:tc>
          <w:tcPr>
            <w:tcW w:w="321" w:type="pct"/>
            <w:noWrap w:val="0"/>
            <w:vAlign w:val="center"/>
          </w:tcPr>
          <w:p w14:paraId="1DEA02F1">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≥43</w:t>
            </w:r>
          </w:p>
        </w:tc>
        <w:tc>
          <w:tcPr>
            <w:tcW w:w="322" w:type="pct"/>
            <w:noWrap w:val="0"/>
            <w:vAlign w:val="center"/>
          </w:tcPr>
          <w:p w14:paraId="7B671373">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≥43</w:t>
            </w:r>
          </w:p>
        </w:tc>
        <w:tc>
          <w:tcPr>
            <w:tcW w:w="320" w:type="pct"/>
            <w:noWrap w:val="0"/>
            <w:vAlign w:val="center"/>
          </w:tcPr>
          <w:p w14:paraId="25F91E31">
            <w:pPr>
              <w:spacing w:line="260" w:lineRule="exact"/>
              <w:jc w:val="center"/>
              <w:rPr>
                <w:rFonts w:hint="default" w:ascii="Times New Roman" w:hAnsi="Times New Roman" w:eastAsia="仿宋" w:cs="Times New Roman"/>
                <w:color w:val="auto"/>
                <w:kern w:val="2"/>
                <w:sz w:val="21"/>
                <w:szCs w:val="21"/>
                <w:lang w:val="en-US" w:eastAsia="zh-CN" w:bidi="ar-SA"/>
              </w:rPr>
            </w:pPr>
          </w:p>
          <w:p w14:paraId="211A4B87">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eastAsia" w:ascii="Times New Roman" w:hAnsi="Times New Roman" w:eastAsia="仿宋" w:cs="Times New Roman"/>
                <w:color w:val="auto"/>
                <w:kern w:val="2"/>
                <w:sz w:val="21"/>
                <w:szCs w:val="21"/>
                <w:lang w:val="en-US" w:eastAsia="zh-CN" w:bidi="ar-SA"/>
              </w:rPr>
              <w:t>/</w:t>
            </w:r>
          </w:p>
          <w:p w14:paraId="2E36A91B">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367" w:type="pct"/>
            <w:noWrap w:val="0"/>
            <w:vAlign w:val="center"/>
          </w:tcPr>
          <w:p w14:paraId="19B8E64C">
            <w:pPr>
              <w:spacing w:line="260" w:lineRule="exact"/>
              <w:jc w:val="center"/>
              <w:rPr>
                <w:rFonts w:hint="default" w:ascii="Times New Roman" w:hAnsi="Times New Roman" w:eastAsia="仿宋" w:cs="Times New Roman"/>
                <w:color w:val="auto"/>
                <w:kern w:val="2"/>
                <w:sz w:val="21"/>
                <w:szCs w:val="21"/>
                <w:lang w:val="en-US" w:eastAsia="zh-CN" w:bidi="ar-SA"/>
              </w:rPr>
            </w:pPr>
          </w:p>
          <w:p w14:paraId="2EF09912">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eastAsia" w:ascii="Times New Roman" w:hAnsi="Times New Roman" w:eastAsia="仿宋" w:cs="Times New Roman"/>
                <w:color w:val="auto"/>
                <w:kern w:val="2"/>
                <w:sz w:val="21"/>
                <w:szCs w:val="21"/>
                <w:lang w:val="en-US" w:eastAsia="zh-CN" w:bidi="ar-SA"/>
              </w:rPr>
              <w:t>/</w:t>
            </w:r>
          </w:p>
          <w:p w14:paraId="507E76EC">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361" w:type="pct"/>
            <w:noWrap w:val="0"/>
            <w:vAlign w:val="center"/>
          </w:tcPr>
          <w:p w14:paraId="5F3F6276">
            <w:pPr>
              <w:spacing w:line="260" w:lineRule="exact"/>
              <w:jc w:val="center"/>
              <w:rPr>
                <w:rFonts w:hint="eastAsia" w:ascii="Times New Roman" w:hAnsi="Times New Roman" w:eastAsia="仿宋" w:cs="Times New Roman"/>
                <w:color w:val="auto"/>
                <w:kern w:val="2"/>
                <w:sz w:val="21"/>
                <w:szCs w:val="21"/>
                <w:highlight w:val="yellow"/>
                <w:lang w:val="en-US" w:eastAsia="zh-CN" w:bidi="ar-SA"/>
              </w:rPr>
            </w:pPr>
            <w:r>
              <w:rPr>
                <w:rFonts w:hint="eastAsia" w:ascii="Times New Roman" w:hAnsi="Times New Roman" w:eastAsia="仿宋" w:cs="Times New Roman"/>
                <w:color w:val="auto"/>
                <w:kern w:val="2"/>
                <w:sz w:val="21"/>
                <w:szCs w:val="21"/>
                <w:highlight w:val="yellow"/>
                <w:lang w:val="en-US" w:eastAsia="zh-CN" w:bidi="ar-SA"/>
              </w:rPr>
              <w:t>44</w:t>
            </w:r>
          </w:p>
          <w:p w14:paraId="75DB0DDF">
            <w:pPr>
              <w:spacing w:line="260" w:lineRule="exact"/>
              <w:jc w:val="center"/>
              <w:rPr>
                <w:rFonts w:hint="default" w:ascii="Times New Roman" w:hAnsi="Times New Roman" w:eastAsia="仿宋" w:cs="Times New Roman"/>
                <w:color w:val="auto"/>
                <w:kern w:val="2"/>
                <w:sz w:val="21"/>
                <w:szCs w:val="21"/>
                <w:highlight w:val="yellow"/>
                <w:lang w:val="en-US" w:eastAsia="zh-CN" w:bidi="ar-SA"/>
              </w:rPr>
            </w:pPr>
            <w:r>
              <w:rPr>
                <w:rFonts w:hint="eastAsia" w:ascii="Times New Roman" w:hAnsi="Times New Roman" w:eastAsia="仿宋" w:cs="Times New Roman"/>
                <w:color w:val="auto"/>
                <w:kern w:val="2"/>
                <w:sz w:val="21"/>
                <w:szCs w:val="21"/>
                <w:highlight w:val="yellow"/>
                <w:lang w:val="en-US" w:eastAsia="zh-CN" w:bidi="ar-SA"/>
              </w:rPr>
              <w:t>43.1</w:t>
            </w:r>
          </w:p>
        </w:tc>
        <w:tc>
          <w:tcPr>
            <w:tcW w:w="381" w:type="pct"/>
            <w:noWrap w:val="0"/>
            <w:vAlign w:val="center"/>
          </w:tcPr>
          <w:p w14:paraId="68EA1053">
            <w:pPr>
              <w:spacing w:line="260" w:lineRule="exact"/>
              <w:jc w:val="center"/>
              <w:rPr>
                <w:rFonts w:hint="default" w:ascii="Times New Roman" w:hAnsi="Times New Roman" w:eastAsia="仿宋" w:cs="Times New Roman"/>
                <w:color w:val="auto"/>
                <w:kern w:val="2"/>
                <w:sz w:val="21"/>
                <w:szCs w:val="21"/>
                <w:highlight w:val="yellow"/>
                <w:lang w:val="en-US" w:eastAsia="zh-CN" w:bidi="ar-SA"/>
              </w:rPr>
            </w:pPr>
            <w:r>
              <w:rPr>
                <w:rFonts w:hint="eastAsia" w:ascii="Times New Roman" w:hAnsi="Times New Roman" w:eastAsia="仿宋" w:cs="Times New Roman"/>
                <w:color w:val="auto"/>
                <w:kern w:val="2"/>
                <w:sz w:val="21"/>
                <w:szCs w:val="21"/>
                <w:highlight w:val="yellow"/>
                <w:lang w:val="en-US" w:eastAsia="zh-CN" w:bidi="ar-SA"/>
              </w:rPr>
              <w:t>44.2</w:t>
            </w:r>
          </w:p>
          <w:p w14:paraId="4111A578">
            <w:pPr>
              <w:spacing w:line="260" w:lineRule="exact"/>
              <w:jc w:val="center"/>
              <w:rPr>
                <w:rFonts w:hint="default" w:ascii="Times New Roman" w:hAnsi="Times New Roman" w:eastAsia="仿宋" w:cs="Times New Roman"/>
                <w:color w:val="auto"/>
                <w:kern w:val="2"/>
                <w:sz w:val="21"/>
                <w:szCs w:val="21"/>
                <w:highlight w:val="yellow"/>
                <w:lang w:val="en-US" w:eastAsia="zh-CN" w:bidi="ar-SA"/>
              </w:rPr>
            </w:pPr>
            <w:r>
              <w:rPr>
                <w:rFonts w:hint="eastAsia" w:ascii="Times New Roman" w:hAnsi="Times New Roman" w:eastAsia="仿宋" w:cs="Times New Roman"/>
                <w:color w:val="auto"/>
                <w:kern w:val="2"/>
                <w:sz w:val="21"/>
                <w:szCs w:val="21"/>
                <w:highlight w:val="yellow"/>
                <w:lang w:val="en-US" w:eastAsia="zh-CN" w:bidi="ar-SA"/>
              </w:rPr>
              <w:t>43.7</w:t>
            </w:r>
          </w:p>
        </w:tc>
        <w:tc>
          <w:tcPr>
            <w:tcW w:w="357" w:type="pct"/>
            <w:noWrap w:val="0"/>
            <w:vAlign w:val="center"/>
          </w:tcPr>
          <w:p w14:paraId="1F20BC7F">
            <w:pPr>
              <w:spacing w:line="260" w:lineRule="exact"/>
              <w:jc w:val="center"/>
              <w:rPr>
                <w:rFonts w:hint="default" w:ascii="Times New Roman" w:hAnsi="Times New Roman" w:eastAsia="仿宋" w:cs="Times New Roman"/>
                <w:color w:val="auto"/>
                <w:kern w:val="2"/>
                <w:sz w:val="21"/>
                <w:szCs w:val="21"/>
                <w:highlight w:val="yellow"/>
                <w:lang w:val="en-US" w:eastAsia="zh-CN" w:bidi="ar-SA"/>
              </w:rPr>
            </w:pPr>
            <w:r>
              <w:rPr>
                <w:rFonts w:hint="eastAsia" w:ascii="Times New Roman" w:hAnsi="Times New Roman" w:eastAsia="仿宋" w:cs="Times New Roman"/>
                <w:color w:val="auto"/>
                <w:kern w:val="2"/>
                <w:sz w:val="21"/>
                <w:szCs w:val="21"/>
                <w:highlight w:val="yellow"/>
                <w:lang w:val="en-US" w:eastAsia="zh-CN" w:bidi="ar-SA"/>
              </w:rPr>
              <w:t>44.72</w:t>
            </w:r>
          </w:p>
          <w:p w14:paraId="18084B6D">
            <w:pPr>
              <w:spacing w:line="260" w:lineRule="exact"/>
              <w:jc w:val="center"/>
              <w:rPr>
                <w:rFonts w:hint="default" w:ascii="Times New Roman" w:hAnsi="Times New Roman" w:eastAsia="仿宋" w:cs="Times New Roman"/>
                <w:color w:val="auto"/>
                <w:kern w:val="2"/>
                <w:sz w:val="21"/>
                <w:szCs w:val="21"/>
                <w:highlight w:val="yellow"/>
                <w:lang w:val="en-US" w:eastAsia="zh-CN" w:bidi="ar-SA"/>
              </w:rPr>
            </w:pPr>
            <w:r>
              <w:rPr>
                <w:rFonts w:hint="eastAsia" w:ascii="Times New Roman" w:hAnsi="Times New Roman" w:eastAsia="仿宋" w:cs="Times New Roman"/>
                <w:color w:val="auto"/>
                <w:kern w:val="2"/>
                <w:sz w:val="21"/>
                <w:szCs w:val="21"/>
                <w:highlight w:val="yellow"/>
                <w:lang w:val="en-US" w:eastAsia="zh-CN" w:bidi="ar-SA"/>
              </w:rPr>
              <w:t>44.02</w:t>
            </w:r>
          </w:p>
        </w:tc>
        <w:tc>
          <w:tcPr>
            <w:tcW w:w="1276" w:type="pct"/>
            <w:noWrap w:val="0"/>
            <w:vAlign w:val="center"/>
          </w:tcPr>
          <w:p w14:paraId="4B85DBD7">
            <w:pPr>
              <w:spacing w:line="260" w:lineRule="exact"/>
              <w:jc w:val="center"/>
              <w:rPr>
                <w:rFonts w:hint="eastAsia"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根据</w:t>
            </w:r>
            <w:r>
              <w:rPr>
                <w:rFonts w:hint="eastAsia" w:ascii="Times New Roman" w:hAnsi="Times New Roman" w:eastAsia="仿宋" w:cs="Times New Roman"/>
                <w:color w:val="auto"/>
                <w:kern w:val="2"/>
                <w:sz w:val="21"/>
                <w:szCs w:val="21"/>
                <w:lang w:val="en-US" w:eastAsia="zh-CN" w:bidi="ar-SA"/>
              </w:rPr>
              <w:t>新平县</w:t>
            </w:r>
            <w:r>
              <w:rPr>
                <w:rFonts w:hint="default" w:ascii="Times New Roman" w:hAnsi="Times New Roman" w:eastAsia="仿宋" w:cs="Times New Roman"/>
                <w:color w:val="auto"/>
                <w:kern w:val="2"/>
                <w:sz w:val="21"/>
                <w:szCs w:val="21"/>
                <w:lang w:val="en-US" w:eastAsia="zh-CN" w:bidi="ar-SA"/>
              </w:rPr>
              <w:t>农业农村局提供化肥、农药数据进行测算</w:t>
            </w:r>
            <w:r>
              <w:rPr>
                <w:rFonts w:hint="eastAsia" w:ascii="Times New Roman" w:hAnsi="Times New Roman" w:eastAsia="仿宋" w:cs="Times New Roman"/>
                <w:color w:val="auto"/>
                <w:kern w:val="2"/>
                <w:sz w:val="21"/>
                <w:szCs w:val="21"/>
                <w:lang w:val="en-US" w:eastAsia="zh-CN" w:bidi="ar-SA"/>
              </w:rPr>
              <w:t>。</w:t>
            </w:r>
          </w:p>
        </w:tc>
      </w:tr>
      <w:tr w14:paraId="05209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81" w:hRule="atLeast"/>
          <w:jc w:val="center"/>
        </w:trPr>
        <w:tc>
          <w:tcPr>
            <w:tcW w:w="105" w:type="pct"/>
            <w:vMerge w:val="continue"/>
            <w:noWrap w:val="0"/>
            <w:vAlign w:val="center"/>
          </w:tcPr>
          <w:p w14:paraId="43F1ECE2">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212" w:type="pct"/>
            <w:vMerge w:val="continue"/>
            <w:noWrap w:val="0"/>
            <w:vAlign w:val="center"/>
          </w:tcPr>
          <w:p w14:paraId="38CF9653">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102" w:type="pct"/>
            <w:noWrap w:val="0"/>
            <w:vAlign w:val="center"/>
          </w:tcPr>
          <w:p w14:paraId="303A2443">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25</w:t>
            </w:r>
          </w:p>
        </w:tc>
        <w:tc>
          <w:tcPr>
            <w:tcW w:w="678" w:type="pct"/>
            <w:gridSpan w:val="4"/>
            <w:noWrap w:val="0"/>
            <w:vAlign w:val="center"/>
          </w:tcPr>
          <w:p w14:paraId="527A497D">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农业废弃物综合利用率</w:t>
            </w:r>
          </w:p>
          <w:p w14:paraId="6EEFB155">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秸秆综合利用率</w:t>
            </w:r>
          </w:p>
          <w:p w14:paraId="36A8D383">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畜禽养殖场粪便综合利用率</w:t>
            </w:r>
          </w:p>
          <w:p w14:paraId="18F1B8E5">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农膜回收利用率</w:t>
            </w:r>
          </w:p>
        </w:tc>
        <w:tc>
          <w:tcPr>
            <w:tcW w:w="192" w:type="pct"/>
            <w:noWrap w:val="0"/>
            <w:vAlign w:val="center"/>
          </w:tcPr>
          <w:p w14:paraId="127C68CB">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w:t>
            </w:r>
          </w:p>
        </w:tc>
        <w:tc>
          <w:tcPr>
            <w:tcW w:w="321" w:type="pct"/>
            <w:noWrap w:val="0"/>
            <w:vAlign w:val="center"/>
          </w:tcPr>
          <w:p w14:paraId="41A28CD6">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≥90</w:t>
            </w:r>
          </w:p>
          <w:p w14:paraId="2AA1D47C">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≥75</w:t>
            </w:r>
          </w:p>
          <w:p w14:paraId="00A28FE6">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≥80</w:t>
            </w:r>
          </w:p>
        </w:tc>
        <w:tc>
          <w:tcPr>
            <w:tcW w:w="322" w:type="pct"/>
            <w:noWrap w:val="0"/>
            <w:vAlign w:val="center"/>
          </w:tcPr>
          <w:p w14:paraId="5D9EE88E">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≥90</w:t>
            </w:r>
          </w:p>
          <w:p w14:paraId="7194690E">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≥75</w:t>
            </w:r>
          </w:p>
          <w:p w14:paraId="26C789BE">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≥80</w:t>
            </w:r>
          </w:p>
        </w:tc>
        <w:tc>
          <w:tcPr>
            <w:tcW w:w="320" w:type="pct"/>
            <w:noWrap w:val="0"/>
            <w:vAlign w:val="center"/>
          </w:tcPr>
          <w:p w14:paraId="4856E107">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w:t>
            </w:r>
          </w:p>
          <w:p w14:paraId="5D3410F7">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w:t>
            </w:r>
          </w:p>
          <w:p w14:paraId="08ABE9C2">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w:t>
            </w:r>
          </w:p>
        </w:tc>
        <w:tc>
          <w:tcPr>
            <w:tcW w:w="367" w:type="pct"/>
            <w:noWrap w:val="0"/>
            <w:vAlign w:val="center"/>
          </w:tcPr>
          <w:p w14:paraId="4D39C6B0">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w:t>
            </w:r>
          </w:p>
          <w:p w14:paraId="7553CF30">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eastAsia" w:ascii="Times New Roman" w:hAnsi="Times New Roman" w:eastAsia="仿宋" w:cs="Times New Roman"/>
                <w:color w:val="auto"/>
                <w:kern w:val="2"/>
                <w:sz w:val="21"/>
                <w:szCs w:val="21"/>
                <w:lang w:val="en-US" w:eastAsia="zh-CN" w:bidi="ar-SA"/>
              </w:rPr>
              <w:t>85.3</w:t>
            </w:r>
          </w:p>
          <w:p w14:paraId="29BF76A4">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w:t>
            </w:r>
          </w:p>
        </w:tc>
        <w:tc>
          <w:tcPr>
            <w:tcW w:w="361" w:type="pct"/>
            <w:noWrap w:val="0"/>
            <w:vAlign w:val="center"/>
          </w:tcPr>
          <w:p w14:paraId="385CCE8A">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eastAsia" w:ascii="Times New Roman" w:hAnsi="Times New Roman" w:eastAsia="仿宋" w:cs="Times New Roman"/>
                <w:color w:val="auto"/>
                <w:kern w:val="2"/>
                <w:sz w:val="21"/>
                <w:szCs w:val="21"/>
                <w:lang w:val="en-US" w:eastAsia="zh-CN" w:bidi="ar-SA"/>
              </w:rPr>
              <w:t>9</w:t>
            </w:r>
            <w:r>
              <w:rPr>
                <w:rFonts w:hint="default" w:ascii="Times New Roman" w:hAnsi="Times New Roman" w:eastAsia="仿宋" w:cs="Times New Roman"/>
                <w:color w:val="auto"/>
                <w:kern w:val="2"/>
                <w:sz w:val="21"/>
                <w:szCs w:val="21"/>
                <w:lang w:val="en-US" w:eastAsia="zh-CN" w:bidi="ar-SA"/>
              </w:rPr>
              <w:t>1.94</w:t>
            </w:r>
          </w:p>
          <w:p w14:paraId="3D74920A">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eastAsia" w:ascii="Times New Roman" w:hAnsi="Times New Roman" w:eastAsia="仿宋" w:cs="Times New Roman"/>
                <w:color w:val="auto"/>
                <w:kern w:val="2"/>
                <w:sz w:val="21"/>
                <w:szCs w:val="21"/>
                <w:lang w:val="en-US" w:eastAsia="zh-CN" w:bidi="ar-SA"/>
              </w:rPr>
              <w:t>8</w:t>
            </w:r>
            <w:r>
              <w:rPr>
                <w:rFonts w:hint="default" w:ascii="Times New Roman" w:hAnsi="Times New Roman" w:eastAsia="仿宋" w:cs="Times New Roman"/>
                <w:color w:val="auto"/>
                <w:kern w:val="2"/>
                <w:sz w:val="21"/>
                <w:szCs w:val="21"/>
                <w:lang w:val="en-US" w:eastAsia="zh-CN" w:bidi="ar-SA"/>
              </w:rPr>
              <w:t>6.7</w:t>
            </w:r>
          </w:p>
          <w:p w14:paraId="40C87E33">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eastAsia" w:ascii="Times New Roman" w:hAnsi="Times New Roman" w:eastAsia="仿宋" w:cs="Times New Roman"/>
                <w:color w:val="auto"/>
                <w:kern w:val="2"/>
                <w:sz w:val="21"/>
                <w:szCs w:val="21"/>
                <w:lang w:val="en-US" w:eastAsia="zh-CN" w:bidi="ar-SA"/>
              </w:rPr>
              <w:t>8</w:t>
            </w:r>
            <w:r>
              <w:rPr>
                <w:rFonts w:hint="default" w:ascii="Times New Roman" w:hAnsi="Times New Roman" w:eastAsia="仿宋" w:cs="Times New Roman"/>
                <w:color w:val="auto"/>
                <w:kern w:val="2"/>
                <w:sz w:val="21"/>
                <w:szCs w:val="21"/>
                <w:lang w:val="en-US" w:eastAsia="zh-CN" w:bidi="ar-SA"/>
              </w:rPr>
              <w:t>2.66</w:t>
            </w:r>
          </w:p>
        </w:tc>
        <w:tc>
          <w:tcPr>
            <w:tcW w:w="381" w:type="pct"/>
            <w:noWrap w:val="0"/>
            <w:vAlign w:val="center"/>
          </w:tcPr>
          <w:p w14:paraId="39263BE4">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eastAsia" w:ascii="Times New Roman" w:hAnsi="Times New Roman" w:eastAsia="仿宋" w:cs="Times New Roman"/>
                <w:color w:val="auto"/>
                <w:kern w:val="2"/>
                <w:sz w:val="21"/>
                <w:szCs w:val="21"/>
                <w:lang w:val="en-US" w:eastAsia="zh-CN" w:bidi="ar-SA"/>
              </w:rPr>
              <w:t>9</w:t>
            </w:r>
            <w:r>
              <w:rPr>
                <w:rFonts w:hint="default" w:ascii="Times New Roman" w:hAnsi="Times New Roman" w:eastAsia="仿宋" w:cs="Times New Roman"/>
                <w:color w:val="auto"/>
                <w:kern w:val="2"/>
                <w:sz w:val="21"/>
                <w:szCs w:val="21"/>
                <w:lang w:val="en-US" w:eastAsia="zh-CN" w:bidi="ar-SA"/>
              </w:rPr>
              <w:t>2.47</w:t>
            </w:r>
          </w:p>
          <w:p w14:paraId="7162B3CD">
            <w:pPr>
              <w:spacing w:line="260" w:lineRule="exact"/>
              <w:jc w:val="center"/>
              <w:rPr>
                <w:rFonts w:hint="eastAsia" w:ascii="Times New Roman" w:hAnsi="Times New Roman" w:eastAsia="仿宋" w:cs="Times New Roman"/>
                <w:color w:val="auto"/>
                <w:kern w:val="2"/>
                <w:sz w:val="21"/>
                <w:szCs w:val="21"/>
                <w:lang w:val="en-US" w:eastAsia="zh-CN" w:bidi="ar-SA"/>
              </w:rPr>
            </w:pPr>
            <w:r>
              <w:rPr>
                <w:rFonts w:hint="eastAsia" w:ascii="Times New Roman" w:hAnsi="Times New Roman" w:eastAsia="仿宋" w:cs="Times New Roman"/>
                <w:color w:val="auto"/>
                <w:kern w:val="2"/>
                <w:sz w:val="21"/>
                <w:szCs w:val="21"/>
                <w:lang w:val="en-US" w:eastAsia="zh-CN" w:bidi="ar-SA"/>
              </w:rPr>
              <w:t>90.6</w:t>
            </w:r>
          </w:p>
          <w:p w14:paraId="70FD91DF">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eastAsia" w:ascii="Times New Roman" w:hAnsi="Times New Roman" w:eastAsia="仿宋" w:cs="Times New Roman"/>
                <w:color w:val="auto"/>
                <w:kern w:val="2"/>
                <w:sz w:val="21"/>
                <w:szCs w:val="21"/>
                <w:lang w:val="en-US" w:eastAsia="zh-CN" w:bidi="ar-SA"/>
              </w:rPr>
              <w:t>83.39</w:t>
            </w:r>
          </w:p>
        </w:tc>
        <w:tc>
          <w:tcPr>
            <w:tcW w:w="357" w:type="pct"/>
            <w:noWrap w:val="0"/>
            <w:vAlign w:val="center"/>
          </w:tcPr>
          <w:p w14:paraId="6B805147">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eastAsia" w:ascii="Times New Roman" w:hAnsi="Times New Roman" w:eastAsia="仿宋" w:cs="Times New Roman"/>
                <w:color w:val="auto"/>
                <w:kern w:val="2"/>
                <w:sz w:val="21"/>
                <w:szCs w:val="21"/>
                <w:lang w:val="en-US" w:eastAsia="zh-CN" w:bidi="ar-SA"/>
              </w:rPr>
              <w:t>9</w:t>
            </w:r>
            <w:r>
              <w:rPr>
                <w:rFonts w:hint="default" w:ascii="Times New Roman" w:hAnsi="Times New Roman" w:eastAsia="仿宋" w:cs="Times New Roman"/>
                <w:color w:val="auto"/>
                <w:kern w:val="2"/>
                <w:sz w:val="21"/>
                <w:szCs w:val="21"/>
                <w:lang w:val="en-US" w:eastAsia="zh-CN" w:bidi="ar-SA"/>
              </w:rPr>
              <w:t>3.77</w:t>
            </w:r>
          </w:p>
          <w:p w14:paraId="6C043A5D">
            <w:pPr>
              <w:spacing w:line="260" w:lineRule="exact"/>
              <w:jc w:val="center"/>
              <w:rPr>
                <w:rFonts w:hint="eastAsia" w:ascii="Times New Roman" w:hAnsi="Times New Roman" w:eastAsia="仿宋" w:cs="Times New Roman"/>
                <w:color w:val="auto"/>
                <w:kern w:val="2"/>
                <w:sz w:val="21"/>
                <w:szCs w:val="21"/>
                <w:lang w:val="en-US" w:eastAsia="zh-CN" w:bidi="ar-SA"/>
              </w:rPr>
            </w:pPr>
            <w:r>
              <w:rPr>
                <w:rFonts w:hint="eastAsia" w:ascii="Times New Roman" w:hAnsi="Times New Roman" w:eastAsia="仿宋" w:cs="Times New Roman"/>
                <w:color w:val="auto"/>
                <w:kern w:val="2"/>
                <w:sz w:val="21"/>
                <w:szCs w:val="21"/>
                <w:lang w:val="en-US" w:eastAsia="zh-CN" w:bidi="ar-SA"/>
              </w:rPr>
              <w:t>91.1</w:t>
            </w:r>
          </w:p>
          <w:p w14:paraId="57512ECF">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eastAsia" w:ascii="Times New Roman" w:hAnsi="Times New Roman" w:eastAsia="仿宋" w:cs="Times New Roman"/>
                <w:color w:val="auto"/>
                <w:kern w:val="2"/>
                <w:sz w:val="21"/>
                <w:szCs w:val="21"/>
                <w:lang w:val="en-US" w:eastAsia="zh-CN" w:bidi="ar-SA"/>
              </w:rPr>
              <w:t>84.44</w:t>
            </w:r>
          </w:p>
        </w:tc>
        <w:tc>
          <w:tcPr>
            <w:tcW w:w="1276" w:type="pct"/>
            <w:noWrap w:val="0"/>
            <w:vAlign w:val="center"/>
          </w:tcPr>
          <w:p w14:paraId="079C877F">
            <w:pPr>
              <w:spacing w:line="260" w:lineRule="exact"/>
              <w:ind w:firstLine="420" w:firstLineChars="200"/>
              <w:jc w:val="left"/>
              <w:rPr>
                <w:rFonts w:hint="default" w:ascii="Times New Roman" w:hAnsi="Times New Roman" w:eastAsia="仿宋" w:cs="Times New Roman"/>
                <w:color w:val="auto"/>
                <w:sz w:val="21"/>
                <w:szCs w:val="21"/>
                <w:lang w:val="en-US" w:eastAsia="zh-CN"/>
              </w:rPr>
            </w:pPr>
            <w:r>
              <w:rPr>
                <w:rFonts w:hint="default" w:ascii="Times New Roman" w:hAnsi="Times New Roman" w:eastAsia="仿宋" w:cs="Times New Roman"/>
                <w:color w:val="auto"/>
                <w:sz w:val="21"/>
                <w:szCs w:val="21"/>
                <w:lang w:val="en-US" w:eastAsia="zh-CN"/>
              </w:rPr>
              <w:t>根据新平县农业农村局农村环保能源工作站提供的《新平县2019</w:t>
            </w:r>
            <w:r>
              <w:rPr>
                <w:rFonts w:hint="eastAsia" w:ascii="Times New Roman" w:hAnsi="Times New Roman" w:eastAsia="仿宋" w:cs="Times New Roman"/>
                <w:color w:val="auto"/>
                <w:sz w:val="21"/>
                <w:szCs w:val="21"/>
                <w:lang w:val="en-US" w:eastAsia="zh-CN"/>
              </w:rPr>
              <w:t>—</w:t>
            </w:r>
            <w:r>
              <w:rPr>
                <w:rFonts w:hint="default" w:ascii="Times New Roman" w:hAnsi="Times New Roman" w:eastAsia="仿宋" w:cs="Times New Roman"/>
                <w:color w:val="auto"/>
                <w:sz w:val="21"/>
                <w:szCs w:val="21"/>
                <w:lang w:val="en-US" w:eastAsia="zh-CN"/>
              </w:rPr>
              <w:t>2021年秸秆综合利用情况说明》的内容显示，新平县2019</w:t>
            </w:r>
            <w:r>
              <w:rPr>
                <w:rFonts w:hint="eastAsia" w:ascii="Times New Roman" w:hAnsi="Times New Roman" w:eastAsia="仿宋" w:cs="Times New Roman"/>
                <w:color w:val="auto"/>
                <w:sz w:val="21"/>
                <w:szCs w:val="21"/>
                <w:lang w:val="en-US" w:eastAsia="zh-CN"/>
              </w:rPr>
              <w:t>—</w:t>
            </w:r>
            <w:r>
              <w:rPr>
                <w:rFonts w:hint="default" w:ascii="Times New Roman" w:hAnsi="Times New Roman" w:eastAsia="仿宋" w:cs="Times New Roman"/>
                <w:color w:val="auto"/>
                <w:sz w:val="21"/>
                <w:szCs w:val="21"/>
                <w:lang w:val="en-US" w:eastAsia="zh-CN"/>
              </w:rPr>
              <w:t>2021年农作物秸秆综合利用率分别为91.94%、92.47%、93.77%，秸秆综合利用率逐年稳步升高。</w:t>
            </w:r>
          </w:p>
          <w:p w14:paraId="0A37E315">
            <w:pPr>
              <w:spacing w:line="260" w:lineRule="exact"/>
              <w:ind w:firstLine="420" w:firstLineChars="200"/>
              <w:jc w:val="left"/>
              <w:rPr>
                <w:rFonts w:hint="default" w:ascii="Times New Roman" w:hAnsi="Times New Roman" w:eastAsia="仿宋" w:cs="Times New Roman"/>
                <w:color w:val="auto"/>
                <w:sz w:val="21"/>
                <w:szCs w:val="21"/>
                <w:lang w:val="en-US" w:eastAsia="zh-CN"/>
              </w:rPr>
            </w:pPr>
            <w:r>
              <w:rPr>
                <w:rFonts w:hint="default" w:ascii="Times New Roman" w:hAnsi="Times New Roman" w:eastAsia="仿宋" w:cs="Times New Roman"/>
                <w:color w:val="auto"/>
                <w:sz w:val="21"/>
                <w:szCs w:val="21"/>
                <w:lang w:val="en-US" w:eastAsia="zh-CN"/>
              </w:rPr>
              <w:t>根据</w:t>
            </w:r>
            <w:r>
              <w:rPr>
                <w:rFonts w:hint="eastAsia" w:ascii="Times New Roman" w:hAnsi="Times New Roman" w:eastAsia="仿宋" w:cs="Times New Roman"/>
                <w:color w:val="auto"/>
                <w:sz w:val="21"/>
                <w:szCs w:val="21"/>
                <w:lang w:val="en-US" w:eastAsia="zh-CN"/>
              </w:rPr>
              <w:t>农业农村部</w:t>
            </w:r>
            <w:r>
              <w:rPr>
                <w:rFonts w:hint="default" w:ascii="Times New Roman" w:hAnsi="Times New Roman" w:eastAsia="仿宋" w:cs="Times New Roman"/>
                <w:color w:val="auto"/>
                <w:sz w:val="21"/>
                <w:szCs w:val="21"/>
                <w:lang w:val="en-US" w:eastAsia="zh-CN"/>
              </w:rPr>
              <w:t>畜禽粪污直联直报系统查询（涉及新平县）数据和县农业农村局提供的2018</w:t>
            </w:r>
            <w:r>
              <w:rPr>
                <w:rFonts w:hint="eastAsia" w:ascii="Times New Roman" w:hAnsi="Times New Roman" w:eastAsia="仿宋" w:cs="Times New Roman"/>
                <w:color w:val="auto"/>
                <w:sz w:val="21"/>
                <w:szCs w:val="21"/>
                <w:lang w:val="en-US" w:eastAsia="zh-CN"/>
              </w:rPr>
              <w:t>—</w:t>
            </w:r>
            <w:r>
              <w:rPr>
                <w:rFonts w:hint="default" w:ascii="Times New Roman" w:hAnsi="Times New Roman" w:eastAsia="仿宋" w:cs="Times New Roman"/>
                <w:color w:val="auto"/>
                <w:sz w:val="21"/>
                <w:szCs w:val="21"/>
                <w:lang w:val="en-US" w:eastAsia="zh-CN"/>
              </w:rPr>
              <w:t>2021年《畜禽养殖废弃物资源化利用工作自查报告》的内容显示，新平县2018</w:t>
            </w:r>
            <w:r>
              <w:rPr>
                <w:rFonts w:hint="eastAsia" w:ascii="Times New Roman" w:hAnsi="Times New Roman" w:eastAsia="仿宋" w:cs="Times New Roman"/>
                <w:color w:val="auto"/>
                <w:sz w:val="21"/>
                <w:szCs w:val="21"/>
                <w:lang w:val="en-US" w:eastAsia="zh-CN"/>
              </w:rPr>
              <w:t>—</w:t>
            </w:r>
            <w:r>
              <w:rPr>
                <w:rFonts w:hint="default" w:ascii="Times New Roman" w:hAnsi="Times New Roman" w:eastAsia="仿宋" w:cs="Times New Roman"/>
                <w:color w:val="auto"/>
                <w:sz w:val="21"/>
                <w:szCs w:val="21"/>
                <w:lang w:val="en-US" w:eastAsia="zh-CN"/>
              </w:rPr>
              <w:t>2021年畜禽养殖场粪污综合利用率分别为85.3%、86.7%、90.6%、91.1%。</w:t>
            </w:r>
          </w:p>
          <w:p w14:paraId="2435D712">
            <w:pPr>
              <w:spacing w:line="260" w:lineRule="exact"/>
              <w:ind w:firstLine="420" w:firstLineChars="200"/>
              <w:jc w:val="left"/>
              <w:rPr>
                <w:rFonts w:hint="default" w:ascii="Times New Roman" w:hAnsi="Times New Roman" w:eastAsia="仿宋" w:cs="Times New Roman"/>
                <w:color w:val="auto"/>
                <w:sz w:val="21"/>
                <w:szCs w:val="21"/>
                <w:lang w:val="en-US" w:eastAsia="zh-CN"/>
              </w:rPr>
            </w:pPr>
            <w:r>
              <w:rPr>
                <w:rFonts w:hint="default" w:ascii="Times New Roman" w:hAnsi="Times New Roman" w:eastAsia="仿宋" w:cs="Times New Roman"/>
                <w:color w:val="auto"/>
                <w:sz w:val="21"/>
                <w:szCs w:val="21"/>
                <w:lang w:val="en-US" w:eastAsia="zh-CN"/>
              </w:rPr>
              <w:t>根据新平县农业农村局农村环保能源工作站提供的《新平县2019</w:t>
            </w:r>
            <w:r>
              <w:rPr>
                <w:rFonts w:hint="eastAsia" w:ascii="Times New Roman" w:hAnsi="Times New Roman" w:eastAsia="仿宋" w:cs="Times New Roman"/>
                <w:color w:val="auto"/>
                <w:sz w:val="21"/>
                <w:szCs w:val="21"/>
                <w:lang w:val="en-US" w:eastAsia="zh-CN"/>
              </w:rPr>
              <w:t>—</w:t>
            </w:r>
            <w:r>
              <w:rPr>
                <w:rFonts w:hint="default" w:ascii="Times New Roman" w:hAnsi="Times New Roman" w:eastAsia="仿宋" w:cs="Times New Roman"/>
                <w:color w:val="auto"/>
                <w:sz w:val="21"/>
                <w:szCs w:val="21"/>
                <w:lang w:val="en-US" w:eastAsia="zh-CN"/>
              </w:rPr>
              <w:t>2021年农膜使用回收及地膜科学使用回收试点县项目情况说明》的内容显示，新平县2019</w:t>
            </w:r>
            <w:r>
              <w:rPr>
                <w:rFonts w:hint="eastAsia" w:ascii="Times New Roman" w:hAnsi="Times New Roman" w:eastAsia="仿宋" w:cs="Times New Roman"/>
                <w:color w:val="auto"/>
                <w:sz w:val="21"/>
                <w:szCs w:val="21"/>
                <w:lang w:val="en-US" w:eastAsia="zh-CN"/>
              </w:rPr>
              <w:t>—</w:t>
            </w:r>
            <w:r>
              <w:rPr>
                <w:rFonts w:hint="default" w:ascii="Times New Roman" w:hAnsi="Times New Roman" w:eastAsia="仿宋" w:cs="Times New Roman"/>
                <w:color w:val="auto"/>
                <w:sz w:val="21"/>
                <w:szCs w:val="21"/>
                <w:lang w:val="en-US" w:eastAsia="zh-CN"/>
              </w:rPr>
              <w:t>2021年农膜回收利用率分别为82.66%、83.39%、84.44%。</w:t>
            </w:r>
          </w:p>
        </w:tc>
      </w:tr>
      <w:tr w14:paraId="4A2FD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05" w:type="pct"/>
            <w:noWrap w:val="0"/>
            <w:vAlign w:val="center"/>
          </w:tcPr>
          <w:p w14:paraId="2BBC15A1">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212" w:type="pct"/>
            <w:vMerge w:val="continue"/>
            <w:noWrap w:val="0"/>
            <w:vAlign w:val="center"/>
          </w:tcPr>
          <w:p w14:paraId="3AE9886E">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102" w:type="pct"/>
            <w:noWrap w:val="0"/>
            <w:vAlign w:val="center"/>
          </w:tcPr>
          <w:p w14:paraId="3B263181">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26</w:t>
            </w:r>
          </w:p>
        </w:tc>
        <w:tc>
          <w:tcPr>
            <w:tcW w:w="344" w:type="pct"/>
            <w:gridSpan w:val="2"/>
            <w:noWrap w:val="0"/>
            <w:vAlign w:val="center"/>
          </w:tcPr>
          <w:p w14:paraId="566D40E0">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一般工业固体废物综合利用率提高幅度（综合利用率＞60%的地区）</w:t>
            </w:r>
          </w:p>
        </w:tc>
        <w:tc>
          <w:tcPr>
            <w:tcW w:w="334" w:type="pct"/>
            <w:gridSpan w:val="2"/>
            <w:noWrap w:val="0"/>
            <w:vAlign w:val="center"/>
          </w:tcPr>
          <w:p w14:paraId="149A9F08">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综合利用率</w:t>
            </w:r>
          </w:p>
        </w:tc>
        <w:tc>
          <w:tcPr>
            <w:tcW w:w="192" w:type="pct"/>
            <w:noWrap w:val="0"/>
            <w:vAlign w:val="center"/>
          </w:tcPr>
          <w:p w14:paraId="26EE05B6">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w:t>
            </w:r>
          </w:p>
        </w:tc>
        <w:tc>
          <w:tcPr>
            <w:tcW w:w="321" w:type="pct"/>
            <w:noWrap w:val="0"/>
            <w:vAlign w:val="center"/>
          </w:tcPr>
          <w:p w14:paraId="69EF2BC1">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保持稳定或持续改善</w:t>
            </w:r>
          </w:p>
        </w:tc>
        <w:tc>
          <w:tcPr>
            <w:tcW w:w="322" w:type="pct"/>
            <w:noWrap w:val="0"/>
            <w:vAlign w:val="center"/>
          </w:tcPr>
          <w:p w14:paraId="1F796C90">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保持稳定或持续改善</w:t>
            </w:r>
          </w:p>
        </w:tc>
        <w:tc>
          <w:tcPr>
            <w:tcW w:w="320" w:type="pct"/>
            <w:noWrap w:val="0"/>
            <w:vAlign w:val="center"/>
          </w:tcPr>
          <w:p w14:paraId="200DB39F">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eastAsia" w:ascii="Times New Roman" w:hAnsi="Times New Roman" w:eastAsia="仿宋" w:cs="Times New Roman"/>
                <w:color w:val="auto"/>
                <w:kern w:val="2"/>
                <w:sz w:val="21"/>
                <w:szCs w:val="21"/>
                <w:lang w:val="en-US" w:eastAsia="zh-CN" w:bidi="ar-SA"/>
              </w:rPr>
              <w:t>/</w:t>
            </w:r>
          </w:p>
        </w:tc>
        <w:tc>
          <w:tcPr>
            <w:tcW w:w="367" w:type="pct"/>
            <w:noWrap w:val="0"/>
            <w:vAlign w:val="center"/>
          </w:tcPr>
          <w:p w14:paraId="7099726D">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eastAsia" w:ascii="Times New Roman" w:hAnsi="Times New Roman" w:eastAsia="仿宋" w:cs="Times New Roman"/>
                <w:color w:val="auto"/>
                <w:kern w:val="2"/>
                <w:sz w:val="21"/>
                <w:szCs w:val="21"/>
                <w:lang w:val="en-US" w:eastAsia="zh-CN" w:bidi="ar-SA"/>
              </w:rPr>
              <w:t>/</w:t>
            </w:r>
          </w:p>
        </w:tc>
        <w:tc>
          <w:tcPr>
            <w:tcW w:w="361" w:type="pct"/>
            <w:noWrap w:val="0"/>
            <w:vAlign w:val="center"/>
          </w:tcPr>
          <w:p w14:paraId="330FB675">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eastAsia" w:ascii="Times New Roman" w:hAnsi="Times New Roman" w:eastAsia="仿宋" w:cs="Times New Roman"/>
                <w:color w:val="auto"/>
                <w:kern w:val="2"/>
                <w:sz w:val="21"/>
                <w:szCs w:val="21"/>
                <w:lang w:val="en-US" w:eastAsia="zh-CN" w:bidi="ar-SA"/>
              </w:rPr>
              <w:t>7</w:t>
            </w:r>
            <w:r>
              <w:rPr>
                <w:rFonts w:hint="default" w:ascii="Times New Roman" w:hAnsi="Times New Roman" w:eastAsia="仿宋" w:cs="Times New Roman"/>
                <w:color w:val="auto"/>
                <w:kern w:val="2"/>
                <w:sz w:val="21"/>
                <w:szCs w:val="21"/>
                <w:lang w:val="en-US" w:eastAsia="zh-CN" w:bidi="ar-SA"/>
              </w:rPr>
              <w:t>4.22</w:t>
            </w:r>
          </w:p>
          <w:p w14:paraId="2DCA86BA">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eastAsia" w:ascii="Times New Roman" w:hAnsi="Times New Roman" w:eastAsia="仿宋" w:cs="Times New Roman"/>
                <w:color w:val="auto"/>
                <w:kern w:val="2"/>
                <w:sz w:val="21"/>
                <w:szCs w:val="21"/>
                <w:lang w:val="en-US" w:eastAsia="zh-CN" w:bidi="ar-SA"/>
              </w:rPr>
              <w:t>保持稳定</w:t>
            </w:r>
          </w:p>
        </w:tc>
        <w:tc>
          <w:tcPr>
            <w:tcW w:w="381" w:type="pct"/>
            <w:noWrap w:val="0"/>
            <w:vAlign w:val="center"/>
          </w:tcPr>
          <w:p w14:paraId="7D95CA2B">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eastAsia" w:ascii="Times New Roman" w:hAnsi="Times New Roman" w:eastAsia="仿宋" w:cs="Times New Roman"/>
                <w:color w:val="auto"/>
                <w:kern w:val="2"/>
                <w:sz w:val="21"/>
                <w:szCs w:val="21"/>
                <w:lang w:val="en-US" w:eastAsia="zh-CN" w:bidi="ar-SA"/>
              </w:rPr>
              <w:t>保持稳定</w:t>
            </w:r>
          </w:p>
        </w:tc>
        <w:tc>
          <w:tcPr>
            <w:tcW w:w="357" w:type="pct"/>
            <w:noWrap w:val="0"/>
            <w:vAlign w:val="center"/>
          </w:tcPr>
          <w:p w14:paraId="27998397">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eastAsia" w:ascii="Times New Roman" w:hAnsi="Times New Roman" w:eastAsia="仿宋" w:cs="Times New Roman"/>
                <w:color w:val="auto"/>
                <w:kern w:val="2"/>
                <w:sz w:val="21"/>
                <w:szCs w:val="21"/>
                <w:lang w:val="en-US" w:eastAsia="zh-CN" w:bidi="ar-SA"/>
              </w:rPr>
              <w:t>7</w:t>
            </w:r>
            <w:r>
              <w:rPr>
                <w:rFonts w:hint="default" w:ascii="Times New Roman" w:hAnsi="Times New Roman" w:eastAsia="仿宋" w:cs="Times New Roman"/>
                <w:color w:val="auto"/>
                <w:kern w:val="2"/>
                <w:sz w:val="21"/>
                <w:szCs w:val="21"/>
                <w:lang w:val="en-US" w:eastAsia="zh-CN" w:bidi="ar-SA"/>
              </w:rPr>
              <w:t>4.28</w:t>
            </w:r>
          </w:p>
          <w:p w14:paraId="02AE3191">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eastAsia" w:ascii="Times New Roman" w:hAnsi="Times New Roman" w:eastAsia="仿宋" w:cs="Times New Roman"/>
                <w:color w:val="auto"/>
                <w:kern w:val="2"/>
                <w:sz w:val="21"/>
                <w:szCs w:val="21"/>
                <w:lang w:val="en-US" w:eastAsia="zh-CN" w:bidi="ar-SA"/>
              </w:rPr>
              <w:t>保持稳定</w:t>
            </w:r>
          </w:p>
        </w:tc>
        <w:tc>
          <w:tcPr>
            <w:tcW w:w="1276" w:type="pct"/>
            <w:noWrap w:val="0"/>
            <w:vAlign w:val="center"/>
          </w:tcPr>
          <w:p w14:paraId="0A0C6866">
            <w:pPr>
              <w:spacing w:line="260" w:lineRule="exact"/>
              <w:jc w:val="center"/>
              <w:rPr>
                <w:rFonts w:hint="default" w:ascii="Times New Roman" w:hAnsi="Times New Roman" w:eastAsia="宋体" w:cs="Times New Roman"/>
                <w:color w:val="FF0000"/>
                <w:sz w:val="21"/>
                <w:szCs w:val="21"/>
                <w:highlight w:val="none"/>
              </w:rPr>
            </w:pPr>
            <w:r>
              <w:rPr>
                <w:rFonts w:hint="eastAsia" w:ascii="Times New Roman" w:hAnsi="Times New Roman" w:eastAsia="仿宋" w:cs="Times New Roman"/>
                <w:color w:val="auto"/>
                <w:sz w:val="21"/>
                <w:szCs w:val="21"/>
              </w:rPr>
              <w:t>数据来源于新平县201</w:t>
            </w:r>
            <w:r>
              <w:rPr>
                <w:rFonts w:ascii="Times New Roman" w:hAnsi="Times New Roman" w:eastAsia="仿宋" w:cs="Times New Roman"/>
                <w:color w:val="auto"/>
                <w:sz w:val="21"/>
                <w:szCs w:val="21"/>
              </w:rPr>
              <w:t>9</w:t>
            </w:r>
            <w:r>
              <w:rPr>
                <w:rFonts w:hint="eastAsia" w:ascii="Times New Roman" w:hAnsi="Times New Roman" w:eastAsia="仿宋" w:cs="Times New Roman"/>
                <w:color w:val="auto"/>
                <w:sz w:val="21"/>
                <w:szCs w:val="21"/>
                <w:lang w:eastAsia="zh-CN"/>
              </w:rPr>
              <w:t>—</w:t>
            </w:r>
            <w:r>
              <w:rPr>
                <w:rFonts w:hint="eastAsia" w:ascii="Times New Roman" w:hAnsi="Times New Roman" w:eastAsia="仿宋" w:cs="Times New Roman"/>
                <w:color w:val="auto"/>
                <w:sz w:val="21"/>
                <w:szCs w:val="21"/>
              </w:rPr>
              <w:t>2021年各年度《环境统计报表》中涉及一般工业固体废物综合利用统计的综合表和基础表中数据经测算获得，新平县2019</w:t>
            </w:r>
            <w:r>
              <w:rPr>
                <w:rFonts w:hint="eastAsia" w:ascii="Times New Roman" w:hAnsi="Times New Roman" w:eastAsia="仿宋" w:cs="Times New Roman"/>
                <w:color w:val="auto"/>
                <w:sz w:val="21"/>
                <w:szCs w:val="21"/>
                <w:lang w:eastAsia="zh-CN"/>
              </w:rPr>
              <w:t>—</w:t>
            </w:r>
            <w:r>
              <w:rPr>
                <w:rFonts w:hint="eastAsia" w:ascii="Times New Roman" w:hAnsi="Times New Roman" w:eastAsia="仿宋" w:cs="Times New Roman"/>
                <w:color w:val="auto"/>
                <w:sz w:val="21"/>
                <w:szCs w:val="21"/>
              </w:rPr>
              <w:t>2021年各年度一般工业固体废物综合利用率分别为7</w:t>
            </w:r>
            <w:r>
              <w:rPr>
                <w:rFonts w:ascii="Times New Roman" w:hAnsi="Times New Roman" w:eastAsia="仿宋" w:cs="Times New Roman"/>
                <w:color w:val="auto"/>
                <w:sz w:val="21"/>
                <w:szCs w:val="21"/>
              </w:rPr>
              <w:t>4.22</w:t>
            </w:r>
            <w:r>
              <w:rPr>
                <w:rFonts w:hint="eastAsia" w:ascii="Times New Roman" w:hAnsi="Times New Roman" w:eastAsia="仿宋" w:cs="Times New Roman"/>
                <w:color w:val="auto"/>
                <w:sz w:val="21"/>
                <w:szCs w:val="21"/>
              </w:rPr>
              <w:t>%、7</w:t>
            </w:r>
            <w:r>
              <w:rPr>
                <w:rFonts w:ascii="Times New Roman" w:hAnsi="Times New Roman" w:eastAsia="仿宋" w:cs="Times New Roman"/>
                <w:color w:val="auto"/>
                <w:sz w:val="21"/>
                <w:szCs w:val="21"/>
              </w:rPr>
              <w:t>6.40</w:t>
            </w:r>
            <w:r>
              <w:rPr>
                <w:rFonts w:hint="eastAsia" w:ascii="Times New Roman" w:hAnsi="Times New Roman" w:eastAsia="仿宋" w:cs="Times New Roman"/>
                <w:color w:val="auto"/>
                <w:sz w:val="21"/>
                <w:szCs w:val="21"/>
              </w:rPr>
              <w:t>%、7</w:t>
            </w:r>
            <w:r>
              <w:rPr>
                <w:rFonts w:ascii="Times New Roman" w:hAnsi="Times New Roman" w:eastAsia="仿宋" w:cs="Times New Roman"/>
                <w:color w:val="auto"/>
                <w:sz w:val="21"/>
                <w:szCs w:val="21"/>
              </w:rPr>
              <w:t>4.28</w:t>
            </w:r>
            <w:r>
              <w:rPr>
                <w:rFonts w:hint="eastAsia" w:ascii="Times New Roman" w:hAnsi="Times New Roman" w:eastAsia="仿宋" w:cs="Times New Roman"/>
                <w:color w:val="auto"/>
                <w:sz w:val="21"/>
                <w:szCs w:val="21"/>
              </w:rPr>
              <w:t>%，数据保持稳定。</w:t>
            </w:r>
          </w:p>
        </w:tc>
      </w:tr>
      <w:tr w14:paraId="11801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05" w:type="pct"/>
            <w:vMerge w:val="restart"/>
            <w:noWrap w:val="0"/>
            <w:vAlign w:val="center"/>
          </w:tcPr>
          <w:p w14:paraId="51BA7795">
            <w:pPr>
              <w:spacing w:line="260" w:lineRule="exact"/>
              <w:jc w:val="center"/>
              <w:rPr>
                <w:rFonts w:hint="default" w:ascii="Times New Roman" w:hAnsi="Times New Roman" w:eastAsia="仿宋" w:cs="Times New Roman"/>
                <w:color w:val="auto"/>
                <w:kern w:val="2"/>
                <w:sz w:val="21"/>
                <w:szCs w:val="21"/>
                <w:lang w:val="en-US" w:eastAsia="zh-CN" w:bidi="ar-SA"/>
              </w:rPr>
            </w:pPr>
          </w:p>
          <w:p w14:paraId="414A913E">
            <w:pPr>
              <w:spacing w:line="260" w:lineRule="exact"/>
              <w:jc w:val="center"/>
              <w:rPr>
                <w:rFonts w:hint="default" w:ascii="Times New Roman" w:hAnsi="Times New Roman" w:eastAsia="仿宋" w:cs="Times New Roman"/>
                <w:color w:val="auto"/>
                <w:kern w:val="2"/>
                <w:sz w:val="21"/>
                <w:szCs w:val="21"/>
                <w:lang w:val="en-US" w:eastAsia="zh-CN" w:bidi="ar-SA"/>
              </w:rPr>
            </w:pPr>
          </w:p>
          <w:p w14:paraId="57753C92">
            <w:pPr>
              <w:spacing w:line="260" w:lineRule="exact"/>
              <w:jc w:val="center"/>
              <w:rPr>
                <w:rFonts w:hint="default" w:ascii="Times New Roman" w:hAnsi="Times New Roman" w:eastAsia="仿宋" w:cs="Times New Roman"/>
                <w:color w:val="auto"/>
                <w:kern w:val="2"/>
                <w:sz w:val="21"/>
                <w:szCs w:val="21"/>
                <w:lang w:val="en-US" w:eastAsia="zh-CN" w:bidi="ar-SA"/>
              </w:rPr>
            </w:pPr>
          </w:p>
          <w:p w14:paraId="535A4304">
            <w:pPr>
              <w:spacing w:line="260" w:lineRule="exact"/>
              <w:jc w:val="center"/>
              <w:rPr>
                <w:rFonts w:hint="default" w:ascii="Times New Roman" w:hAnsi="Times New Roman" w:eastAsia="仿宋" w:cs="Times New Roman"/>
                <w:color w:val="auto"/>
                <w:kern w:val="2"/>
                <w:sz w:val="21"/>
                <w:szCs w:val="21"/>
                <w:lang w:val="en-US" w:eastAsia="zh-CN" w:bidi="ar-SA"/>
              </w:rPr>
            </w:pPr>
          </w:p>
          <w:p w14:paraId="3C084387">
            <w:pPr>
              <w:spacing w:line="260" w:lineRule="exact"/>
              <w:jc w:val="center"/>
              <w:rPr>
                <w:rFonts w:hint="default" w:ascii="Times New Roman" w:hAnsi="Times New Roman" w:eastAsia="仿宋" w:cs="Times New Roman"/>
                <w:color w:val="auto"/>
                <w:kern w:val="2"/>
                <w:sz w:val="21"/>
                <w:szCs w:val="21"/>
                <w:lang w:val="en-US" w:eastAsia="zh-CN" w:bidi="ar-SA"/>
              </w:rPr>
            </w:pPr>
          </w:p>
          <w:p w14:paraId="7FACE2DA">
            <w:pPr>
              <w:spacing w:line="260" w:lineRule="exact"/>
              <w:jc w:val="center"/>
              <w:rPr>
                <w:rFonts w:hint="default" w:ascii="Times New Roman" w:hAnsi="Times New Roman" w:eastAsia="仿宋" w:cs="Times New Roman"/>
                <w:color w:val="auto"/>
                <w:kern w:val="2"/>
                <w:sz w:val="21"/>
                <w:szCs w:val="21"/>
                <w:lang w:val="en-US" w:eastAsia="zh-CN" w:bidi="ar-SA"/>
              </w:rPr>
            </w:pPr>
          </w:p>
          <w:p w14:paraId="0887BEC7">
            <w:pPr>
              <w:spacing w:line="260" w:lineRule="exact"/>
              <w:jc w:val="center"/>
              <w:rPr>
                <w:rFonts w:hint="default" w:ascii="Times New Roman" w:hAnsi="Times New Roman" w:eastAsia="仿宋" w:cs="Times New Roman"/>
                <w:color w:val="auto"/>
                <w:kern w:val="2"/>
                <w:sz w:val="21"/>
                <w:szCs w:val="21"/>
                <w:lang w:val="en-US" w:eastAsia="zh-CN" w:bidi="ar-SA"/>
              </w:rPr>
            </w:pPr>
          </w:p>
          <w:p w14:paraId="656DB4FC">
            <w:pPr>
              <w:spacing w:line="260" w:lineRule="exact"/>
              <w:jc w:val="center"/>
              <w:rPr>
                <w:rFonts w:hint="default" w:ascii="Times New Roman" w:hAnsi="Times New Roman" w:eastAsia="仿宋" w:cs="Times New Roman"/>
                <w:color w:val="auto"/>
                <w:kern w:val="2"/>
                <w:sz w:val="21"/>
                <w:szCs w:val="21"/>
                <w:lang w:val="en-US" w:eastAsia="zh-CN" w:bidi="ar-SA"/>
              </w:rPr>
            </w:pPr>
          </w:p>
          <w:p w14:paraId="44F1C525">
            <w:pPr>
              <w:spacing w:line="260" w:lineRule="exact"/>
              <w:jc w:val="center"/>
              <w:rPr>
                <w:rFonts w:hint="default" w:ascii="Times New Roman" w:hAnsi="Times New Roman" w:eastAsia="仿宋" w:cs="Times New Roman"/>
                <w:color w:val="auto"/>
                <w:kern w:val="2"/>
                <w:sz w:val="21"/>
                <w:szCs w:val="21"/>
                <w:lang w:val="en-US" w:eastAsia="zh-CN" w:bidi="ar-SA"/>
              </w:rPr>
            </w:pPr>
          </w:p>
          <w:p w14:paraId="18E1F398">
            <w:pPr>
              <w:spacing w:line="260" w:lineRule="exact"/>
              <w:jc w:val="center"/>
              <w:rPr>
                <w:rFonts w:hint="default" w:ascii="Times New Roman" w:hAnsi="Times New Roman" w:eastAsia="仿宋" w:cs="Times New Roman"/>
                <w:color w:val="auto"/>
                <w:kern w:val="2"/>
                <w:sz w:val="21"/>
                <w:szCs w:val="21"/>
                <w:lang w:val="en-US" w:eastAsia="zh-CN" w:bidi="ar-SA"/>
              </w:rPr>
            </w:pPr>
          </w:p>
          <w:p w14:paraId="23FD22DF">
            <w:pPr>
              <w:spacing w:line="260" w:lineRule="exact"/>
              <w:jc w:val="center"/>
              <w:rPr>
                <w:rFonts w:hint="default" w:ascii="Times New Roman" w:hAnsi="Times New Roman" w:eastAsia="仿宋" w:cs="Times New Roman"/>
                <w:color w:val="auto"/>
                <w:kern w:val="2"/>
                <w:sz w:val="21"/>
                <w:szCs w:val="21"/>
                <w:lang w:val="en-US" w:eastAsia="zh-CN" w:bidi="ar-SA"/>
              </w:rPr>
            </w:pPr>
          </w:p>
          <w:p w14:paraId="767BD896">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生态生活</w:t>
            </w:r>
          </w:p>
          <w:p w14:paraId="23A7899A">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212" w:type="pct"/>
            <w:vMerge w:val="restart"/>
            <w:noWrap w:val="0"/>
            <w:vAlign w:val="center"/>
          </w:tcPr>
          <w:p w14:paraId="4D4C0CF9">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（八）</w:t>
            </w:r>
          </w:p>
          <w:p w14:paraId="52A47BD2">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人居环境改善</w:t>
            </w:r>
          </w:p>
        </w:tc>
        <w:tc>
          <w:tcPr>
            <w:tcW w:w="102" w:type="pct"/>
            <w:noWrap w:val="0"/>
            <w:vAlign w:val="center"/>
          </w:tcPr>
          <w:p w14:paraId="189D8A4B">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27</w:t>
            </w:r>
          </w:p>
        </w:tc>
        <w:tc>
          <w:tcPr>
            <w:tcW w:w="678" w:type="pct"/>
            <w:gridSpan w:val="4"/>
            <w:noWrap w:val="0"/>
            <w:vAlign w:val="center"/>
          </w:tcPr>
          <w:p w14:paraId="4A44C9B7">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集中式/县级及以上城市饮用水水源地水质优良比例</w:t>
            </w:r>
          </w:p>
        </w:tc>
        <w:tc>
          <w:tcPr>
            <w:tcW w:w="192" w:type="pct"/>
            <w:noWrap w:val="0"/>
            <w:vAlign w:val="center"/>
          </w:tcPr>
          <w:p w14:paraId="437107DE">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w:t>
            </w:r>
          </w:p>
        </w:tc>
        <w:tc>
          <w:tcPr>
            <w:tcW w:w="321" w:type="pct"/>
            <w:noWrap w:val="0"/>
            <w:vAlign w:val="center"/>
          </w:tcPr>
          <w:p w14:paraId="7C16942F">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100</w:t>
            </w:r>
          </w:p>
        </w:tc>
        <w:tc>
          <w:tcPr>
            <w:tcW w:w="322" w:type="pct"/>
            <w:noWrap w:val="0"/>
            <w:vAlign w:val="center"/>
          </w:tcPr>
          <w:p w14:paraId="30F4DB43">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100</w:t>
            </w:r>
          </w:p>
        </w:tc>
        <w:tc>
          <w:tcPr>
            <w:tcW w:w="320" w:type="pct"/>
            <w:noWrap w:val="0"/>
            <w:vAlign w:val="center"/>
          </w:tcPr>
          <w:p w14:paraId="0E88B324">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100</w:t>
            </w:r>
          </w:p>
        </w:tc>
        <w:tc>
          <w:tcPr>
            <w:tcW w:w="367" w:type="pct"/>
            <w:noWrap w:val="0"/>
            <w:vAlign w:val="center"/>
          </w:tcPr>
          <w:p w14:paraId="0534A822">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100</w:t>
            </w:r>
          </w:p>
        </w:tc>
        <w:tc>
          <w:tcPr>
            <w:tcW w:w="361" w:type="pct"/>
            <w:noWrap w:val="0"/>
            <w:vAlign w:val="center"/>
          </w:tcPr>
          <w:p w14:paraId="6F0132F5">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100</w:t>
            </w:r>
          </w:p>
        </w:tc>
        <w:tc>
          <w:tcPr>
            <w:tcW w:w="381" w:type="pct"/>
            <w:noWrap w:val="0"/>
            <w:vAlign w:val="center"/>
          </w:tcPr>
          <w:p w14:paraId="58E39F9E">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100</w:t>
            </w:r>
          </w:p>
        </w:tc>
        <w:tc>
          <w:tcPr>
            <w:tcW w:w="357" w:type="pct"/>
            <w:noWrap w:val="0"/>
            <w:vAlign w:val="center"/>
          </w:tcPr>
          <w:p w14:paraId="3B57C6C4">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100</w:t>
            </w:r>
          </w:p>
        </w:tc>
        <w:tc>
          <w:tcPr>
            <w:tcW w:w="1276" w:type="pct"/>
            <w:noWrap w:val="0"/>
            <w:vAlign w:val="center"/>
          </w:tcPr>
          <w:p w14:paraId="5D0EFD06">
            <w:pPr>
              <w:spacing w:line="260" w:lineRule="exact"/>
              <w:ind w:firstLine="420" w:firstLineChars="200"/>
              <w:jc w:val="left"/>
              <w:rPr>
                <w:rFonts w:ascii="Times New Roman" w:hAnsi="Times New Roman" w:eastAsia="仿宋" w:cs="Times New Roman"/>
                <w:color w:val="auto"/>
                <w:sz w:val="21"/>
                <w:szCs w:val="21"/>
              </w:rPr>
            </w:pPr>
            <w:r>
              <w:rPr>
                <w:rFonts w:hint="eastAsia" w:ascii="Times New Roman" w:hAnsi="Times New Roman" w:eastAsia="仿宋" w:cs="Times New Roman"/>
                <w:color w:val="auto"/>
                <w:sz w:val="21"/>
                <w:szCs w:val="21"/>
              </w:rPr>
              <w:t>新平县县级及以上城市集中式饮用水源地的监测断面为2个：清水河水库和他拉河水库。</w:t>
            </w:r>
          </w:p>
          <w:p w14:paraId="47FB376C">
            <w:pPr>
              <w:spacing w:line="260" w:lineRule="exact"/>
              <w:ind w:firstLine="420" w:firstLineChars="200"/>
              <w:jc w:val="left"/>
              <w:rPr>
                <w:rFonts w:ascii="Times New Roman" w:hAnsi="Times New Roman" w:eastAsia="仿宋" w:cs="Times New Roman"/>
                <w:color w:val="auto"/>
                <w:sz w:val="21"/>
                <w:szCs w:val="21"/>
              </w:rPr>
            </w:pPr>
            <w:r>
              <w:rPr>
                <w:rFonts w:hint="eastAsia" w:ascii="Times New Roman" w:hAnsi="Times New Roman" w:eastAsia="仿宋" w:cs="Times New Roman"/>
                <w:color w:val="auto"/>
                <w:sz w:val="21"/>
                <w:szCs w:val="21"/>
              </w:rPr>
              <w:t>根据201</w:t>
            </w:r>
            <w:r>
              <w:rPr>
                <w:rFonts w:ascii="Times New Roman" w:hAnsi="Times New Roman" w:eastAsia="仿宋" w:cs="Times New Roman"/>
                <w:color w:val="auto"/>
                <w:sz w:val="21"/>
                <w:szCs w:val="21"/>
              </w:rPr>
              <w:t>6</w:t>
            </w:r>
            <w:r>
              <w:rPr>
                <w:rFonts w:hint="eastAsia" w:ascii="Times New Roman" w:hAnsi="Times New Roman" w:eastAsia="仿宋" w:cs="Times New Roman"/>
                <w:color w:val="auto"/>
                <w:sz w:val="21"/>
                <w:szCs w:val="21"/>
                <w:lang w:eastAsia="zh-CN"/>
              </w:rPr>
              <w:t>—</w:t>
            </w:r>
            <w:r>
              <w:rPr>
                <w:rFonts w:ascii="Times New Roman" w:hAnsi="Times New Roman" w:eastAsia="仿宋" w:cs="Times New Roman"/>
                <w:color w:val="auto"/>
                <w:sz w:val="21"/>
                <w:szCs w:val="21"/>
              </w:rPr>
              <w:t>2021</w:t>
            </w:r>
            <w:r>
              <w:rPr>
                <w:rFonts w:hint="eastAsia" w:ascii="Times New Roman" w:hAnsi="Times New Roman" w:eastAsia="仿宋" w:cs="Times New Roman"/>
                <w:color w:val="auto"/>
                <w:sz w:val="21"/>
                <w:szCs w:val="21"/>
              </w:rPr>
              <w:t>年各年度《玉溪市环境质量公报》的内容显示，2个县级城市集中式饮用水源地水质类别均为Ⅱ类，水质达标率100%。</w:t>
            </w:r>
          </w:p>
          <w:p w14:paraId="5224BC2E">
            <w:pPr>
              <w:spacing w:line="260" w:lineRule="exact"/>
              <w:ind w:firstLine="420" w:firstLineChars="200"/>
              <w:jc w:val="left"/>
              <w:rPr>
                <w:rFonts w:ascii="Times New Roman" w:hAnsi="Times New Roman" w:eastAsia="仿宋" w:cs="Times New Roman"/>
                <w:color w:val="auto"/>
                <w:sz w:val="21"/>
                <w:szCs w:val="21"/>
              </w:rPr>
            </w:pPr>
            <w:r>
              <w:rPr>
                <w:rFonts w:hint="eastAsia" w:ascii="Times New Roman" w:hAnsi="Times New Roman" w:eastAsia="仿宋" w:cs="Times New Roman"/>
                <w:color w:val="auto"/>
                <w:sz w:val="21"/>
                <w:szCs w:val="21"/>
              </w:rPr>
              <w:t>2019年乡镇“千人以上”集中式饮用水源地共1</w:t>
            </w:r>
            <w:r>
              <w:rPr>
                <w:rFonts w:ascii="Times New Roman" w:hAnsi="Times New Roman" w:eastAsia="仿宋" w:cs="Times New Roman"/>
                <w:color w:val="auto"/>
                <w:sz w:val="21"/>
                <w:szCs w:val="21"/>
              </w:rPr>
              <w:t>8个，经监测有</w:t>
            </w:r>
            <w:r>
              <w:rPr>
                <w:rFonts w:hint="eastAsia" w:ascii="Times New Roman" w:hAnsi="Times New Roman" w:eastAsia="仿宋" w:cs="Times New Roman"/>
                <w:color w:val="auto"/>
                <w:sz w:val="21"/>
                <w:szCs w:val="21"/>
              </w:rPr>
              <w:t>16个水质达到或优于Ⅲ类，达标率为88.89%；</w:t>
            </w:r>
          </w:p>
          <w:p w14:paraId="58CFB630">
            <w:pPr>
              <w:spacing w:line="260" w:lineRule="exact"/>
              <w:ind w:firstLine="420" w:firstLineChars="200"/>
              <w:jc w:val="left"/>
              <w:rPr>
                <w:color w:val="auto"/>
              </w:rPr>
            </w:pPr>
            <w:r>
              <w:rPr>
                <w:rFonts w:hint="eastAsia" w:ascii="Times New Roman" w:hAnsi="Times New Roman" w:eastAsia="仿宋" w:cs="Times New Roman"/>
                <w:color w:val="auto"/>
                <w:sz w:val="21"/>
                <w:szCs w:val="21"/>
              </w:rPr>
              <w:t>20</w:t>
            </w:r>
            <w:r>
              <w:rPr>
                <w:rFonts w:ascii="Times New Roman" w:hAnsi="Times New Roman" w:eastAsia="仿宋" w:cs="Times New Roman"/>
                <w:color w:val="auto"/>
                <w:sz w:val="21"/>
                <w:szCs w:val="21"/>
              </w:rPr>
              <w:t>20</w:t>
            </w:r>
            <w:r>
              <w:rPr>
                <w:rFonts w:hint="eastAsia" w:ascii="Times New Roman" w:hAnsi="Times New Roman" w:eastAsia="仿宋" w:cs="Times New Roman"/>
                <w:color w:val="auto"/>
                <w:sz w:val="21"/>
                <w:szCs w:val="21"/>
              </w:rPr>
              <w:t>年乡镇“千人以上”集中式饮用水源地共1</w:t>
            </w:r>
            <w:r>
              <w:rPr>
                <w:rFonts w:ascii="Times New Roman" w:hAnsi="Times New Roman" w:eastAsia="仿宋" w:cs="Times New Roman"/>
                <w:color w:val="auto"/>
                <w:sz w:val="21"/>
                <w:szCs w:val="21"/>
              </w:rPr>
              <w:t>1</w:t>
            </w:r>
            <w:r>
              <w:rPr>
                <w:rFonts w:hint="eastAsia" w:ascii="Times New Roman" w:hAnsi="Times New Roman" w:eastAsia="仿宋" w:cs="Times New Roman"/>
                <w:color w:val="auto"/>
                <w:sz w:val="21"/>
                <w:szCs w:val="21"/>
              </w:rPr>
              <w:t>个，经监测1</w:t>
            </w:r>
            <w:r>
              <w:rPr>
                <w:rFonts w:ascii="Times New Roman" w:hAnsi="Times New Roman" w:eastAsia="仿宋" w:cs="Times New Roman"/>
                <w:color w:val="auto"/>
                <w:sz w:val="21"/>
                <w:szCs w:val="21"/>
              </w:rPr>
              <w:t>1</w:t>
            </w:r>
            <w:r>
              <w:rPr>
                <w:rFonts w:hint="eastAsia" w:ascii="Times New Roman" w:hAnsi="Times New Roman" w:eastAsia="仿宋" w:cs="Times New Roman"/>
                <w:color w:val="auto"/>
                <w:sz w:val="21"/>
                <w:szCs w:val="21"/>
              </w:rPr>
              <w:t>个水质均达到或优于Ⅲ类；有4个“千吨万人”集中式饮用水源地，经监测水质均达到Ⅱ类及以上，乡镇集中式饮用水水源地达标率为</w:t>
            </w:r>
            <w:r>
              <w:rPr>
                <w:rFonts w:ascii="Times New Roman" w:hAnsi="Times New Roman" w:eastAsia="仿宋" w:cs="Times New Roman"/>
                <w:color w:val="auto"/>
                <w:sz w:val="21"/>
                <w:szCs w:val="21"/>
              </w:rPr>
              <w:t>100</w:t>
            </w:r>
            <w:r>
              <w:rPr>
                <w:rFonts w:hint="eastAsia" w:ascii="Times New Roman" w:hAnsi="Times New Roman" w:eastAsia="仿宋" w:cs="Times New Roman"/>
                <w:color w:val="auto"/>
                <w:sz w:val="21"/>
                <w:szCs w:val="21"/>
              </w:rPr>
              <w:t>%；</w:t>
            </w:r>
          </w:p>
          <w:p w14:paraId="08C4F361">
            <w:pPr>
              <w:spacing w:line="260" w:lineRule="exact"/>
              <w:ind w:firstLine="420" w:firstLineChars="200"/>
              <w:jc w:val="both"/>
              <w:rPr>
                <w:rFonts w:hint="default" w:ascii="Times New Roman" w:hAnsi="Times New Roman" w:eastAsia="宋体" w:cs="Times New Roman"/>
                <w:color w:val="FF0000"/>
                <w:sz w:val="21"/>
                <w:szCs w:val="21"/>
              </w:rPr>
            </w:pPr>
            <w:r>
              <w:rPr>
                <w:rFonts w:hint="eastAsia" w:ascii="Times New Roman" w:hAnsi="Times New Roman" w:eastAsia="仿宋" w:cs="Times New Roman"/>
                <w:color w:val="auto"/>
                <w:sz w:val="21"/>
                <w:szCs w:val="21"/>
              </w:rPr>
              <w:t>2021年乡镇集中式饮用水源地共有12个，包括4个“千吨万人”集中式饮用水源地，经监测全部达标，达标率为100%。</w:t>
            </w:r>
          </w:p>
        </w:tc>
      </w:tr>
      <w:tr w14:paraId="51F3C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05" w:type="pct"/>
            <w:vMerge w:val="continue"/>
            <w:noWrap w:val="0"/>
            <w:vAlign w:val="center"/>
          </w:tcPr>
          <w:p w14:paraId="2D5C1F1B">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212" w:type="pct"/>
            <w:vMerge w:val="continue"/>
            <w:noWrap w:val="0"/>
            <w:vAlign w:val="center"/>
          </w:tcPr>
          <w:p w14:paraId="1A2426C8">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102" w:type="pct"/>
            <w:noWrap w:val="0"/>
            <w:vAlign w:val="center"/>
          </w:tcPr>
          <w:p w14:paraId="6F154425">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28</w:t>
            </w:r>
          </w:p>
        </w:tc>
        <w:tc>
          <w:tcPr>
            <w:tcW w:w="678" w:type="pct"/>
            <w:gridSpan w:val="4"/>
            <w:noWrap w:val="0"/>
            <w:vAlign w:val="center"/>
          </w:tcPr>
          <w:p w14:paraId="5AD176C1">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村镇饮用水卫生合格率/农村饮用水合格率</w:t>
            </w:r>
          </w:p>
        </w:tc>
        <w:tc>
          <w:tcPr>
            <w:tcW w:w="192" w:type="pct"/>
            <w:noWrap w:val="0"/>
            <w:vAlign w:val="center"/>
          </w:tcPr>
          <w:p w14:paraId="05DD9F05">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w:t>
            </w:r>
          </w:p>
        </w:tc>
        <w:tc>
          <w:tcPr>
            <w:tcW w:w="321" w:type="pct"/>
            <w:noWrap w:val="0"/>
            <w:vAlign w:val="center"/>
          </w:tcPr>
          <w:p w14:paraId="220D8183">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100</w:t>
            </w:r>
          </w:p>
        </w:tc>
        <w:tc>
          <w:tcPr>
            <w:tcW w:w="322" w:type="pct"/>
            <w:noWrap w:val="0"/>
            <w:vAlign w:val="center"/>
          </w:tcPr>
          <w:p w14:paraId="546D043A">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75</w:t>
            </w:r>
          </w:p>
        </w:tc>
        <w:tc>
          <w:tcPr>
            <w:tcW w:w="320" w:type="pct"/>
            <w:noWrap w:val="0"/>
            <w:vAlign w:val="center"/>
          </w:tcPr>
          <w:p w14:paraId="4B2E9136">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eastAsia" w:ascii="Times New Roman" w:hAnsi="Times New Roman" w:eastAsia="仿宋" w:cs="Times New Roman"/>
                <w:color w:val="auto"/>
                <w:kern w:val="2"/>
                <w:sz w:val="21"/>
                <w:szCs w:val="21"/>
                <w:lang w:val="en-US" w:eastAsia="zh-CN" w:bidi="ar-SA"/>
              </w:rPr>
              <w:t>/</w:t>
            </w:r>
          </w:p>
        </w:tc>
        <w:tc>
          <w:tcPr>
            <w:tcW w:w="367" w:type="pct"/>
            <w:noWrap w:val="0"/>
            <w:vAlign w:val="center"/>
          </w:tcPr>
          <w:p w14:paraId="5CAA7ED2">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eastAsia" w:ascii="Times New Roman" w:hAnsi="Times New Roman" w:eastAsia="仿宋" w:cs="Times New Roman"/>
                <w:color w:val="auto"/>
                <w:kern w:val="2"/>
                <w:sz w:val="21"/>
                <w:szCs w:val="21"/>
                <w:lang w:val="en-US" w:eastAsia="zh-CN" w:bidi="ar-SA"/>
              </w:rPr>
              <w:t>/</w:t>
            </w:r>
          </w:p>
        </w:tc>
        <w:tc>
          <w:tcPr>
            <w:tcW w:w="361" w:type="pct"/>
            <w:noWrap w:val="0"/>
            <w:vAlign w:val="center"/>
          </w:tcPr>
          <w:p w14:paraId="3ECDDA43">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83.13</w:t>
            </w:r>
          </w:p>
        </w:tc>
        <w:tc>
          <w:tcPr>
            <w:tcW w:w="381" w:type="pct"/>
            <w:noWrap w:val="0"/>
            <w:vAlign w:val="center"/>
          </w:tcPr>
          <w:p w14:paraId="3B0F0E4C">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84.05</w:t>
            </w:r>
          </w:p>
        </w:tc>
        <w:tc>
          <w:tcPr>
            <w:tcW w:w="357" w:type="pct"/>
            <w:noWrap w:val="0"/>
            <w:vAlign w:val="center"/>
          </w:tcPr>
          <w:p w14:paraId="7C7C19B8">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86.16</w:t>
            </w:r>
          </w:p>
        </w:tc>
        <w:tc>
          <w:tcPr>
            <w:tcW w:w="1276" w:type="pct"/>
            <w:noWrap w:val="0"/>
            <w:vAlign w:val="center"/>
          </w:tcPr>
          <w:p w14:paraId="0E8DFC5B">
            <w:pPr>
              <w:spacing w:line="260" w:lineRule="exact"/>
              <w:ind w:firstLine="420" w:firstLineChars="200"/>
              <w:jc w:val="left"/>
              <w:rPr>
                <w:rFonts w:hint="default" w:ascii="Times New Roman" w:hAnsi="Times New Roman" w:eastAsia="仿宋" w:cs="Times New Roman"/>
                <w:color w:val="auto"/>
                <w:sz w:val="21"/>
                <w:szCs w:val="21"/>
              </w:rPr>
            </w:pPr>
            <w:r>
              <w:rPr>
                <w:rFonts w:hint="eastAsia" w:ascii="Times New Roman" w:hAnsi="Times New Roman" w:eastAsia="仿宋" w:cs="Times New Roman"/>
                <w:color w:val="auto"/>
                <w:sz w:val="21"/>
                <w:szCs w:val="21"/>
              </w:rPr>
              <w:t>根据新平县疾病预防控制中心</w:t>
            </w:r>
            <w:r>
              <w:rPr>
                <w:rFonts w:ascii="Times New Roman" w:hAnsi="Times New Roman" w:eastAsia="仿宋" w:cs="Times New Roman"/>
                <w:color w:val="auto"/>
                <w:sz w:val="21"/>
                <w:szCs w:val="21"/>
              </w:rPr>
              <w:t>提供的2019</w:t>
            </w:r>
            <w:r>
              <w:rPr>
                <w:rFonts w:hint="eastAsia" w:ascii="Times New Roman" w:hAnsi="Times New Roman" w:eastAsia="仿宋" w:cs="Times New Roman"/>
                <w:color w:val="auto"/>
                <w:sz w:val="21"/>
                <w:szCs w:val="21"/>
                <w:lang w:eastAsia="zh-CN"/>
              </w:rPr>
              <w:t>—</w:t>
            </w:r>
            <w:r>
              <w:rPr>
                <w:rFonts w:ascii="Times New Roman" w:hAnsi="Times New Roman" w:eastAsia="仿宋" w:cs="Times New Roman"/>
                <w:color w:val="auto"/>
                <w:sz w:val="21"/>
                <w:szCs w:val="21"/>
              </w:rPr>
              <w:t>2021年各年度</w:t>
            </w:r>
            <w:r>
              <w:rPr>
                <w:rFonts w:hint="eastAsia" w:ascii="Times New Roman" w:hAnsi="Times New Roman" w:eastAsia="仿宋" w:cs="Times New Roman"/>
                <w:color w:val="auto"/>
                <w:sz w:val="21"/>
                <w:szCs w:val="21"/>
              </w:rPr>
              <w:t>《玉溪市新平县农村饮用水卫生监测结果分析报告》的内容显示，各年度新平县农村饮用水中不合格指标主要来自菌落总数、肉眼可见物、浑浊度、总大肠菌群等细菌类指标，该类饮用水经采取沉淀过滤净化和沸煮等措施后才饮用，故新平县2019</w:t>
            </w:r>
            <w:r>
              <w:rPr>
                <w:rFonts w:hint="eastAsia" w:ascii="Times New Roman" w:hAnsi="Times New Roman" w:eastAsia="仿宋" w:cs="Times New Roman"/>
                <w:color w:val="auto"/>
                <w:sz w:val="21"/>
                <w:szCs w:val="21"/>
                <w:lang w:eastAsia="zh-CN"/>
              </w:rPr>
              <w:t>—</w:t>
            </w:r>
            <w:r>
              <w:rPr>
                <w:rFonts w:hint="eastAsia" w:ascii="Times New Roman" w:hAnsi="Times New Roman" w:eastAsia="仿宋" w:cs="Times New Roman"/>
                <w:color w:val="auto"/>
                <w:sz w:val="21"/>
                <w:szCs w:val="21"/>
              </w:rPr>
              <w:t>2021年各年度农村饮用水水质合格率分别为</w:t>
            </w:r>
            <w:r>
              <w:rPr>
                <w:rFonts w:ascii="Times New Roman" w:hAnsi="Times New Roman" w:eastAsia="仿宋" w:cs="Times New Roman"/>
                <w:color w:val="auto"/>
                <w:sz w:val="21"/>
                <w:szCs w:val="21"/>
              </w:rPr>
              <w:t>83.13%、</w:t>
            </w:r>
            <w:r>
              <w:rPr>
                <w:rFonts w:hint="eastAsia" w:ascii="Times New Roman" w:hAnsi="Times New Roman" w:eastAsia="仿宋" w:cs="Times New Roman"/>
                <w:color w:val="auto"/>
                <w:sz w:val="21"/>
                <w:szCs w:val="21"/>
              </w:rPr>
              <w:t>8</w:t>
            </w:r>
            <w:r>
              <w:rPr>
                <w:rFonts w:ascii="Times New Roman" w:hAnsi="Times New Roman" w:eastAsia="仿宋" w:cs="Times New Roman"/>
                <w:color w:val="auto"/>
                <w:sz w:val="21"/>
                <w:szCs w:val="21"/>
              </w:rPr>
              <w:t>4.05%和</w:t>
            </w:r>
            <w:r>
              <w:rPr>
                <w:rFonts w:hint="eastAsia" w:ascii="Times New Roman" w:hAnsi="Times New Roman" w:eastAsia="仿宋" w:cs="Times New Roman"/>
                <w:color w:val="auto"/>
                <w:sz w:val="21"/>
                <w:szCs w:val="21"/>
              </w:rPr>
              <w:t>8</w:t>
            </w:r>
            <w:r>
              <w:rPr>
                <w:rFonts w:ascii="Times New Roman" w:hAnsi="Times New Roman" w:eastAsia="仿宋" w:cs="Times New Roman"/>
                <w:color w:val="auto"/>
                <w:sz w:val="21"/>
                <w:szCs w:val="21"/>
              </w:rPr>
              <w:t>6.16%。</w:t>
            </w:r>
          </w:p>
        </w:tc>
      </w:tr>
      <w:tr w14:paraId="22119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05" w:type="pct"/>
            <w:vMerge w:val="continue"/>
            <w:noWrap w:val="0"/>
            <w:vAlign w:val="center"/>
          </w:tcPr>
          <w:p w14:paraId="252071F4">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212" w:type="pct"/>
            <w:vMerge w:val="continue"/>
            <w:noWrap w:val="0"/>
            <w:vAlign w:val="center"/>
          </w:tcPr>
          <w:p w14:paraId="1DA546CC">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102" w:type="pct"/>
            <w:noWrap w:val="0"/>
            <w:vAlign w:val="center"/>
          </w:tcPr>
          <w:p w14:paraId="0B544F47">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29</w:t>
            </w:r>
          </w:p>
        </w:tc>
        <w:tc>
          <w:tcPr>
            <w:tcW w:w="678" w:type="pct"/>
            <w:gridSpan w:val="4"/>
            <w:noWrap w:val="0"/>
            <w:vAlign w:val="center"/>
          </w:tcPr>
          <w:p w14:paraId="7A0024CF">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城镇污水处理率</w:t>
            </w:r>
          </w:p>
        </w:tc>
        <w:tc>
          <w:tcPr>
            <w:tcW w:w="192" w:type="pct"/>
            <w:noWrap w:val="0"/>
            <w:vAlign w:val="center"/>
          </w:tcPr>
          <w:p w14:paraId="0D73CAD0">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w:t>
            </w:r>
          </w:p>
        </w:tc>
        <w:tc>
          <w:tcPr>
            <w:tcW w:w="321" w:type="pct"/>
            <w:noWrap w:val="0"/>
            <w:vAlign w:val="center"/>
          </w:tcPr>
          <w:p w14:paraId="7F90DE07">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≥85</w:t>
            </w:r>
          </w:p>
        </w:tc>
        <w:tc>
          <w:tcPr>
            <w:tcW w:w="322" w:type="pct"/>
            <w:noWrap w:val="0"/>
            <w:vAlign w:val="center"/>
          </w:tcPr>
          <w:p w14:paraId="72758CEF">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≥90</w:t>
            </w:r>
          </w:p>
        </w:tc>
        <w:tc>
          <w:tcPr>
            <w:tcW w:w="320" w:type="pct"/>
            <w:noWrap w:val="0"/>
            <w:vAlign w:val="center"/>
          </w:tcPr>
          <w:p w14:paraId="391EBD37">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eastAsia" w:ascii="Times New Roman" w:hAnsi="Times New Roman" w:eastAsia="仿宋" w:cs="Times New Roman"/>
                <w:color w:val="auto"/>
                <w:kern w:val="2"/>
                <w:sz w:val="21"/>
                <w:szCs w:val="21"/>
                <w:lang w:val="en-US" w:eastAsia="zh-CN" w:bidi="ar-SA"/>
              </w:rPr>
              <w:t>/</w:t>
            </w:r>
          </w:p>
        </w:tc>
        <w:tc>
          <w:tcPr>
            <w:tcW w:w="367" w:type="pct"/>
            <w:noWrap w:val="0"/>
            <w:vAlign w:val="center"/>
          </w:tcPr>
          <w:p w14:paraId="75926169">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eastAsia" w:ascii="Times New Roman" w:hAnsi="Times New Roman" w:eastAsia="仿宋" w:cs="Times New Roman"/>
                <w:color w:val="auto"/>
                <w:kern w:val="2"/>
                <w:sz w:val="21"/>
                <w:szCs w:val="21"/>
                <w:lang w:val="en-US" w:eastAsia="zh-CN" w:bidi="ar-SA"/>
              </w:rPr>
              <w:t>/</w:t>
            </w:r>
          </w:p>
        </w:tc>
        <w:tc>
          <w:tcPr>
            <w:tcW w:w="361" w:type="pct"/>
            <w:noWrap w:val="0"/>
            <w:vAlign w:val="center"/>
          </w:tcPr>
          <w:p w14:paraId="14BBF4A7">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eastAsia" w:ascii="Times New Roman" w:hAnsi="Times New Roman" w:eastAsia="仿宋" w:cs="Times New Roman"/>
                <w:color w:val="auto"/>
                <w:kern w:val="2"/>
                <w:sz w:val="21"/>
                <w:szCs w:val="21"/>
                <w:lang w:val="en-US" w:eastAsia="zh-CN" w:bidi="ar-SA"/>
              </w:rPr>
              <w:t>9</w:t>
            </w:r>
            <w:r>
              <w:rPr>
                <w:rFonts w:hint="default" w:ascii="Times New Roman" w:hAnsi="Times New Roman" w:eastAsia="仿宋" w:cs="Times New Roman"/>
                <w:color w:val="auto"/>
                <w:kern w:val="2"/>
                <w:sz w:val="21"/>
                <w:szCs w:val="21"/>
                <w:lang w:val="en-US" w:eastAsia="zh-CN" w:bidi="ar-SA"/>
              </w:rPr>
              <w:t>0.3</w:t>
            </w:r>
          </w:p>
        </w:tc>
        <w:tc>
          <w:tcPr>
            <w:tcW w:w="381" w:type="pct"/>
            <w:noWrap w:val="0"/>
            <w:vAlign w:val="center"/>
          </w:tcPr>
          <w:p w14:paraId="2B6B9D22">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eastAsia" w:ascii="Times New Roman" w:hAnsi="Times New Roman" w:eastAsia="仿宋" w:cs="Times New Roman"/>
                <w:color w:val="auto"/>
                <w:kern w:val="2"/>
                <w:sz w:val="21"/>
                <w:szCs w:val="21"/>
                <w:lang w:val="en-US" w:eastAsia="zh-CN" w:bidi="ar-SA"/>
              </w:rPr>
              <w:t>9</w:t>
            </w:r>
            <w:r>
              <w:rPr>
                <w:rFonts w:hint="default" w:ascii="Times New Roman" w:hAnsi="Times New Roman" w:eastAsia="仿宋" w:cs="Times New Roman"/>
                <w:color w:val="auto"/>
                <w:kern w:val="2"/>
                <w:sz w:val="21"/>
                <w:szCs w:val="21"/>
                <w:lang w:val="en-US" w:eastAsia="zh-CN" w:bidi="ar-SA"/>
              </w:rPr>
              <w:t>1.8</w:t>
            </w:r>
          </w:p>
        </w:tc>
        <w:tc>
          <w:tcPr>
            <w:tcW w:w="357" w:type="pct"/>
            <w:noWrap w:val="0"/>
            <w:vAlign w:val="center"/>
          </w:tcPr>
          <w:p w14:paraId="3C71A0C4">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eastAsia" w:ascii="Times New Roman" w:hAnsi="Times New Roman" w:eastAsia="仿宋" w:cs="Times New Roman"/>
                <w:color w:val="auto"/>
                <w:kern w:val="2"/>
                <w:sz w:val="21"/>
                <w:szCs w:val="21"/>
                <w:lang w:val="en-US" w:eastAsia="zh-CN" w:bidi="ar-SA"/>
              </w:rPr>
              <w:t>9</w:t>
            </w:r>
            <w:r>
              <w:rPr>
                <w:rFonts w:hint="default" w:ascii="Times New Roman" w:hAnsi="Times New Roman" w:eastAsia="仿宋" w:cs="Times New Roman"/>
                <w:color w:val="auto"/>
                <w:kern w:val="2"/>
                <w:sz w:val="21"/>
                <w:szCs w:val="21"/>
                <w:lang w:val="en-US" w:eastAsia="zh-CN" w:bidi="ar-SA"/>
              </w:rPr>
              <w:t>2.7</w:t>
            </w:r>
          </w:p>
        </w:tc>
        <w:tc>
          <w:tcPr>
            <w:tcW w:w="1276" w:type="pct"/>
            <w:noWrap w:val="0"/>
            <w:vAlign w:val="center"/>
          </w:tcPr>
          <w:p w14:paraId="708C01D8">
            <w:pPr>
              <w:spacing w:line="260" w:lineRule="exact"/>
              <w:ind w:firstLine="420" w:firstLineChars="200"/>
              <w:jc w:val="left"/>
              <w:rPr>
                <w:rFonts w:hint="default" w:ascii="Times New Roman" w:hAnsi="Times New Roman" w:eastAsia="仿宋" w:cs="Times New Roman"/>
                <w:color w:val="auto"/>
                <w:sz w:val="21"/>
                <w:szCs w:val="21"/>
              </w:rPr>
            </w:pPr>
            <w:r>
              <w:rPr>
                <w:rFonts w:ascii="Times New Roman" w:hAnsi="Times New Roman" w:eastAsia="仿宋" w:cs="Times New Roman"/>
                <w:color w:val="auto"/>
                <w:sz w:val="21"/>
                <w:szCs w:val="21"/>
              </w:rPr>
              <w:t>县城建成区古城街道和桂山街道的生活污水进入县城</w:t>
            </w:r>
            <w:r>
              <w:rPr>
                <w:rFonts w:hint="eastAsia" w:ascii="Times New Roman" w:hAnsi="Times New Roman" w:eastAsia="仿宋" w:cs="Times New Roman"/>
                <w:color w:val="auto"/>
                <w:sz w:val="21"/>
                <w:szCs w:val="21"/>
                <w:lang w:eastAsia="zh-CN"/>
              </w:rPr>
              <w:t>污水处理厂</w:t>
            </w:r>
            <w:r>
              <w:rPr>
                <w:rFonts w:ascii="Times New Roman" w:hAnsi="Times New Roman" w:eastAsia="仿宋" w:cs="Times New Roman"/>
                <w:color w:val="auto"/>
                <w:sz w:val="21"/>
                <w:szCs w:val="21"/>
              </w:rPr>
              <w:t>处理，其他4个街道和6个乡镇均在集镇区配套建设有污水处理站，根据县城污水处理厂提供的生活污水处理设施处理量，以及统计局提供的城镇常住人口数据，计算得2019</w:t>
            </w:r>
            <w:r>
              <w:rPr>
                <w:rFonts w:hint="eastAsia" w:ascii="Times New Roman" w:hAnsi="Times New Roman" w:eastAsia="仿宋" w:cs="Times New Roman"/>
                <w:color w:val="auto"/>
                <w:sz w:val="21"/>
                <w:szCs w:val="21"/>
                <w:lang w:eastAsia="zh-CN"/>
              </w:rPr>
              <w:t>—</w:t>
            </w:r>
            <w:r>
              <w:rPr>
                <w:rFonts w:ascii="Times New Roman" w:hAnsi="Times New Roman" w:eastAsia="仿宋" w:cs="Times New Roman"/>
                <w:color w:val="auto"/>
                <w:sz w:val="21"/>
                <w:szCs w:val="21"/>
              </w:rPr>
              <w:t>2021年城镇生活污水产生总量，从而计算出城镇生活污水处理率。</w:t>
            </w:r>
          </w:p>
        </w:tc>
      </w:tr>
      <w:tr w14:paraId="69EA5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05" w:type="pct"/>
            <w:vMerge w:val="continue"/>
            <w:noWrap w:val="0"/>
            <w:vAlign w:val="center"/>
          </w:tcPr>
          <w:p w14:paraId="30443D02">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212" w:type="pct"/>
            <w:vMerge w:val="continue"/>
            <w:noWrap w:val="0"/>
            <w:vAlign w:val="center"/>
          </w:tcPr>
          <w:p w14:paraId="7899EB9F">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102" w:type="pct"/>
            <w:noWrap w:val="0"/>
            <w:vAlign w:val="center"/>
          </w:tcPr>
          <w:p w14:paraId="62FE434C">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30</w:t>
            </w:r>
          </w:p>
        </w:tc>
        <w:tc>
          <w:tcPr>
            <w:tcW w:w="678" w:type="pct"/>
            <w:gridSpan w:val="4"/>
            <w:noWrap w:val="0"/>
            <w:vAlign w:val="center"/>
          </w:tcPr>
          <w:p w14:paraId="0D2551A0">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农村生活污水治理率</w:t>
            </w:r>
          </w:p>
        </w:tc>
        <w:tc>
          <w:tcPr>
            <w:tcW w:w="192" w:type="pct"/>
            <w:noWrap w:val="0"/>
            <w:vAlign w:val="center"/>
          </w:tcPr>
          <w:p w14:paraId="39CA7BEF">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w:t>
            </w:r>
          </w:p>
        </w:tc>
        <w:tc>
          <w:tcPr>
            <w:tcW w:w="321" w:type="pct"/>
            <w:noWrap w:val="0"/>
            <w:vAlign w:val="center"/>
          </w:tcPr>
          <w:p w14:paraId="69A289E8">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≥50</w:t>
            </w:r>
          </w:p>
        </w:tc>
        <w:tc>
          <w:tcPr>
            <w:tcW w:w="322" w:type="pct"/>
            <w:noWrap w:val="0"/>
            <w:vAlign w:val="center"/>
          </w:tcPr>
          <w:p w14:paraId="0EC5A1BC">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≥40</w:t>
            </w:r>
          </w:p>
        </w:tc>
        <w:tc>
          <w:tcPr>
            <w:tcW w:w="320" w:type="pct"/>
            <w:noWrap w:val="0"/>
            <w:vAlign w:val="center"/>
          </w:tcPr>
          <w:p w14:paraId="2292C4FC">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eastAsia" w:ascii="Times New Roman" w:hAnsi="Times New Roman" w:eastAsia="仿宋" w:cs="Times New Roman"/>
                <w:color w:val="auto"/>
                <w:kern w:val="2"/>
                <w:sz w:val="21"/>
                <w:szCs w:val="21"/>
                <w:lang w:val="en-US" w:eastAsia="zh-CN" w:bidi="ar-SA"/>
              </w:rPr>
              <w:t>/</w:t>
            </w:r>
          </w:p>
        </w:tc>
        <w:tc>
          <w:tcPr>
            <w:tcW w:w="367" w:type="pct"/>
            <w:noWrap w:val="0"/>
            <w:vAlign w:val="center"/>
          </w:tcPr>
          <w:p w14:paraId="25E2B859">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eastAsia" w:ascii="Times New Roman" w:hAnsi="Times New Roman" w:eastAsia="仿宋" w:cs="Times New Roman"/>
                <w:color w:val="auto"/>
                <w:kern w:val="2"/>
                <w:sz w:val="21"/>
                <w:szCs w:val="21"/>
                <w:lang w:val="en-US" w:eastAsia="zh-CN" w:bidi="ar-SA"/>
              </w:rPr>
              <w:t>/</w:t>
            </w:r>
          </w:p>
        </w:tc>
        <w:tc>
          <w:tcPr>
            <w:tcW w:w="361" w:type="pct"/>
            <w:noWrap w:val="0"/>
            <w:vAlign w:val="center"/>
          </w:tcPr>
          <w:p w14:paraId="2068B94A">
            <w:pPr>
              <w:spacing w:line="260" w:lineRule="exact"/>
              <w:jc w:val="center"/>
              <w:rPr>
                <w:rFonts w:hint="default" w:ascii="Times New Roman" w:hAnsi="Times New Roman" w:eastAsia="仿宋" w:cs="Times New Roman"/>
                <w:color w:val="auto"/>
                <w:kern w:val="2"/>
                <w:sz w:val="21"/>
                <w:szCs w:val="21"/>
                <w:highlight w:val="yellow"/>
                <w:lang w:val="en-US" w:eastAsia="zh-CN" w:bidi="ar-SA"/>
              </w:rPr>
            </w:pPr>
            <w:r>
              <w:rPr>
                <w:rFonts w:hint="eastAsia" w:ascii="Times New Roman" w:hAnsi="Times New Roman" w:eastAsia="仿宋" w:cs="Times New Roman"/>
                <w:color w:val="auto"/>
                <w:kern w:val="2"/>
                <w:sz w:val="21"/>
                <w:szCs w:val="21"/>
                <w:highlight w:val="yellow"/>
                <w:lang w:val="en-US" w:eastAsia="zh-CN" w:bidi="ar-SA"/>
              </w:rPr>
              <w:t>40.2</w:t>
            </w:r>
          </w:p>
        </w:tc>
        <w:tc>
          <w:tcPr>
            <w:tcW w:w="381" w:type="pct"/>
            <w:noWrap w:val="0"/>
            <w:vAlign w:val="center"/>
          </w:tcPr>
          <w:p w14:paraId="3DC8057A">
            <w:pPr>
              <w:spacing w:line="260" w:lineRule="exact"/>
              <w:jc w:val="center"/>
              <w:rPr>
                <w:rFonts w:hint="default" w:ascii="Times New Roman" w:hAnsi="Times New Roman" w:eastAsia="仿宋" w:cs="Times New Roman"/>
                <w:color w:val="auto"/>
                <w:kern w:val="2"/>
                <w:sz w:val="21"/>
                <w:szCs w:val="21"/>
                <w:highlight w:val="yellow"/>
                <w:lang w:val="en-US" w:eastAsia="zh-CN" w:bidi="ar-SA"/>
              </w:rPr>
            </w:pPr>
            <w:r>
              <w:rPr>
                <w:rFonts w:hint="eastAsia" w:ascii="Times New Roman" w:hAnsi="Times New Roman" w:eastAsia="仿宋" w:cs="Times New Roman"/>
                <w:color w:val="auto"/>
                <w:kern w:val="2"/>
                <w:sz w:val="21"/>
                <w:szCs w:val="21"/>
                <w:highlight w:val="yellow"/>
                <w:lang w:val="en-US" w:eastAsia="zh-CN" w:bidi="ar-SA"/>
              </w:rPr>
              <w:t>41.5</w:t>
            </w:r>
          </w:p>
        </w:tc>
        <w:tc>
          <w:tcPr>
            <w:tcW w:w="357" w:type="pct"/>
            <w:noWrap w:val="0"/>
            <w:vAlign w:val="center"/>
          </w:tcPr>
          <w:p w14:paraId="3F07DCE1">
            <w:pPr>
              <w:spacing w:line="260" w:lineRule="exact"/>
              <w:jc w:val="center"/>
              <w:rPr>
                <w:rFonts w:hint="default" w:ascii="Times New Roman" w:hAnsi="Times New Roman" w:eastAsia="仿宋" w:cs="Times New Roman"/>
                <w:color w:val="auto"/>
                <w:kern w:val="2"/>
                <w:sz w:val="21"/>
                <w:szCs w:val="21"/>
                <w:highlight w:val="yellow"/>
                <w:lang w:val="en-US" w:eastAsia="zh-CN" w:bidi="ar-SA"/>
              </w:rPr>
            </w:pPr>
            <w:r>
              <w:rPr>
                <w:rFonts w:hint="eastAsia" w:ascii="Times New Roman" w:hAnsi="Times New Roman" w:eastAsia="仿宋" w:cs="Times New Roman"/>
                <w:color w:val="auto"/>
                <w:kern w:val="2"/>
                <w:sz w:val="21"/>
                <w:szCs w:val="21"/>
                <w:highlight w:val="yellow"/>
                <w:lang w:val="en-US" w:eastAsia="zh-CN" w:bidi="ar-SA"/>
              </w:rPr>
              <w:t>42.7</w:t>
            </w:r>
          </w:p>
        </w:tc>
        <w:tc>
          <w:tcPr>
            <w:tcW w:w="1276" w:type="pct"/>
            <w:noWrap w:val="0"/>
            <w:vAlign w:val="center"/>
          </w:tcPr>
          <w:p w14:paraId="10C3FF50">
            <w:pPr>
              <w:spacing w:line="260" w:lineRule="exact"/>
              <w:ind w:firstLine="420" w:firstLineChars="200"/>
              <w:jc w:val="left"/>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lang w:val="en-US" w:eastAsia="zh-CN"/>
              </w:rPr>
              <w:t>根据</w:t>
            </w:r>
            <w:r>
              <w:rPr>
                <w:rFonts w:hint="eastAsia" w:ascii="Times New Roman" w:hAnsi="Times New Roman" w:eastAsia="仿宋" w:cs="Times New Roman"/>
                <w:color w:val="auto"/>
                <w:sz w:val="21"/>
                <w:szCs w:val="21"/>
                <w:lang w:val="en-US" w:eastAsia="zh-CN"/>
              </w:rPr>
              <w:t>玉溪市</w:t>
            </w:r>
            <w:r>
              <w:rPr>
                <w:rFonts w:hint="default" w:ascii="Times New Roman" w:hAnsi="Times New Roman" w:eastAsia="仿宋" w:cs="Times New Roman"/>
                <w:color w:val="auto"/>
                <w:sz w:val="21"/>
                <w:szCs w:val="21"/>
                <w:lang w:val="en-US" w:eastAsia="zh-CN"/>
              </w:rPr>
              <w:t>生态环境局</w:t>
            </w:r>
            <w:r>
              <w:rPr>
                <w:rFonts w:hint="eastAsia" w:ascii="Times New Roman" w:hAnsi="Times New Roman" w:eastAsia="仿宋" w:cs="Times New Roman"/>
                <w:color w:val="auto"/>
                <w:sz w:val="21"/>
                <w:szCs w:val="21"/>
                <w:lang w:val="en-US" w:eastAsia="zh-CN"/>
              </w:rPr>
              <w:t>新平</w:t>
            </w:r>
            <w:r>
              <w:rPr>
                <w:rFonts w:hint="default" w:ascii="Times New Roman" w:hAnsi="Times New Roman" w:eastAsia="仿宋" w:cs="Times New Roman"/>
                <w:color w:val="auto"/>
                <w:sz w:val="21"/>
                <w:szCs w:val="21"/>
                <w:lang w:val="en-US" w:eastAsia="zh-CN"/>
              </w:rPr>
              <w:t>分局提供的201</w:t>
            </w:r>
            <w:r>
              <w:rPr>
                <w:rFonts w:hint="eastAsia" w:ascii="Times New Roman" w:hAnsi="Times New Roman" w:eastAsia="仿宋" w:cs="Times New Roman"/>
                <w:color w:val="auto"/>
                <w:sz w:val="21"/>
                <w:szCs w:val="21"/>
                <w:lang w:val="en-US" w:eastAsia="zh-CN"/>
              </w:rPr>
              <w:t>9—</w:t>
            </w:r>
            <w:r>
              <w:rPr>
                <w:rFonts w:hint="default" w:ascii="Times New Roman" w:hAnsi="Times New Roman" w:eastAsia="仿宋" w:cs="Times New Roman"/>
                <w:color w:val="auto"/>
                <w:sz w:val="21"/>
                <w:szCs w:val="21"/>
                <w:lang w:val="en-US" w:eastAsia="zh-CN"/>
              </w:rPr>
              <w:t>2021年《</w:t>
            </w:r>
            <w:r>
              <w:rPr>
                <w:rFonts w:hint="eastAsia" w:ascii="Times New Roman" w:hAnsi="Times New Roman" w:eastAsia="仿宋" w:cs="Times New Roman"/>
                <w:color w:val="auto"/>
                <w:sz w:val="21"/>
                <w:szCs w:val="21"/>
                <w:lang w:val="en-US" w:eastAsia="zh-CN"/>
              </w:rPr>
              <w:t>新平县</w:t>
            </w:r>
            <w:r>
              <w:rPr>
                <w:rFonts w:hint="default" w:ascii="Times New Roman" w:hAnsi="Times New Roman" w:eastAsia="仿宋" w:cs="Times New Roman"/>
                <w:color w:val="auto"/>
                <w:sz w:val="21"/>
                <w:szCs w:val="21"/>
                <w:lang w:val="en-US" w:eastAsia="zh-CN"/>
              </w:rPr>
              <w:t>自然村生活污水治理信息调查统计表》数据。</w:t>
            </w:r>
          </w:p>
        </w:tc>
      </w:tr>
      <w:tr w14:paraId="542BE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05" w:type="pct"/>
            <w:vMerge w:val="continue"/>
            <w:noWrap w:val="0"/>
            <w:vAlign w:val="center"/>
          </w:tcPr>
          <w:p w14:paraId="5ECD4F66">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212" w:type="pct"/>
            <w:vMerge w:val="continue"/>
            <w:noWrap w:val="0"/>
            <w:vAlign w:val="center"/>
          </w:tcPr>
          <w:p w14:paraId="0E5B3799">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102" w:type="pct"/>
            <w:noWrap w:val="0"/>
            <w:vAlign w:val="center"/>
          </w:tcPr>
          <w:p w14:paraId="4EEE1AAD">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31</w:t>
            </w:r>
          </w:p>
        </w:tc>
        <w:tc>
          <w:tcPr>
            <w:tcW w:w="678" w:type="pct"/>
            <w:gridSpan w:val="4"/>
            <w:noWrap w:val="0"/>
            <w:vAlign w:val="center"/>
          </w:tcPr>
          <w:p w14:paraId="0F8A6D4D">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城镇生活垃圾无害化处理率</w:t>
            </w:r>
          </w:p>
        </w:tc>
        <w:tc>
          <w:tcPr>
            <w:tcW w:w="192" w:type="pct"/>
            <w:noWrap w:val="0"/>
            <w:vAlign w:val="center"/>
          </w:tcPr>
          <w:p w14:paraId="2344A247">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w:t>
            </w:r>
          </w:p>
        </w:tc>
        <w:tc>
          <w:tcPr>
            <w:tcW w:w="321" w:type="pct"/>
            <w:noWrap w:val="0"/>
            <w:vAlign w:val="center"/>
          </w:tcPr>
          <w:p w14:paraId="1F63CE10">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≥85</w:t>
            </w:r>
          </w:p>
        </w:tc>
        <w:tc>
          <w:tcPr>
            <w:tcW w:w="322" w:type="pct"/>
            <w:noWrap w:val="0"/>
            <w:vAlign w:val="center"/>
          </w:tcPr>
          <w:p w14:paraId="12651FD4">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≥80</w:t>
            </w:r>
          </w:p>
        </w:tc>
        <w:tc>
          <w:tcPr>
            <w:tcW w:w="320" w:type="pct"/>
            <w:noWrap w:val="0"/>
            <w:vAlign w:val="center"/>
          </w:tcPr>
          <w:p w14:paraId="18E51614">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eastAsia" w:ascii="Times New Roman" w:hAnsi="Times New Roman" w:eastAsia="仿宋" w:cs="Times New Roman"/>
                <w:color w:val="auto"/>
                <w:kern w:val="2"/>
                <w:sz w:val="21"/>
                <w:szCs w:val="21"/>
                <w:lang w:val="en-US" w:eastAsia="zh-CN" w:bidi="ar-SA"/>
              </w:rPr>
              <w:t>/</w:t>
            </w:r>
          </w:p>
        </w:tc>
        <w:tc>
          <w:tcPr>
            <w:tcW w:w="367" w:type="pct"/>
            <w:noWrap w:val="0"/>
            <w:vAlign w:val="center"/>
          </w:tcPr>
          <w:p w14:paraId="08F44060">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eastAsia" w:ascii="Times New Roman" w:hAnsi="Times New Roman" w:eastAsia="仿宋" w:cs="Times New Roman"/>
                <w:color w:val="auto"/>
                <w:kern w:val="2"/>
                <w:sz w:val="21"/>
                <w:szCs w:val="21"/>
                <w:lang w:val="en-US" w:eastAsia="zh-CN" w:bidi="ar-SA"/>
              </w:rPr>
              <w:t>/</w:t>
            </w:r>
          </w:p>
        </w:tc>
        <w:tc>
          <w:tcPr>
            <w:tcW w:w="361" w:type="pct"/>
            <w:noWrap w:val="0"/>
            <w:vAlign w:val="center"/>
          </w:tcPr>
          <w:p w14:paraId="2B709668">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87</w:t>
            </w:r>
            <w:r>
              <w:rPr>
                <w:rFonts w:hint="eastAsia" w:ascii="Times New Roman" w:hAnsi="Times New Roman" w:eastAsia="仿宋" w:cs="Times New Roman"/>
                <w:color w:val="auto"/>
                <w:kern w:val="2"/>
                <w:sz w:val="21"/>
                <w:szCs w:val="21"/>
                <w:lang w:val="en-US" w:eastAsia="zh-CN" w:bidi="ar-SA"/>
              </w:rPr>
              <w:t>.</w:t>
            </w:r>
            <w:r>
              <w:rPr>
                <w:rFonts w:hint="default" w:ascii="Times New Roman" w:hAnsi="Times New Roman" w:eastAsia="仿宋" w:cs="Times New Roman"/>
                <w:color w:val="auto"/>
                <w:kern w:val="2"/>
                <w:sz w:val="21"/>
                <w:szCs w:val="21"/>
                <w:lang w:val="en-US" w:eastAsia="zh-CN" w:bidi="ar-SA"/>
              </w:rPr>
              <w:t>3</w:t>
            </w:r>
          </w:p>
        </w:tc>
        <w:tc>
          <w:tcPr>
            <w:tcW w:w="381" w:type="pct"/>
            <w:noWrap w:val="0"/>
            <w:vAlign w:val="center"/>
          </w:tcPr>
          <w:p w14:paraId="2057E076">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eastAsia" w:ascii="Times New Roman" w:hAnsi="Times New Roman" w:eastAsia="仿宋" w:cs="Times New Roman"/>
                <w:color w:val="auto"/>
                <w:kern w:val="2"/>
                <w:sz w:val="21"/>
                <w:szCs w:val="21"/>
                <w:lang w:val="en-US" w:eastAsia="zh-CN" w:bidi="ar-SA"/>
              </w:rPr>
              <w:t>9</w:t>
            </w:r>
            <w:r>
              <w:rPr>
                <w:rFonts w:hint="default" w:ascii="Times New Roman" w:hAnsi="Times New Roman" w:eastAsia="仿宋" w:cs="Times New Roman"/>
                <w:color w:val="auto"/>
                <w:kern w:val="2"/>
                <w:sz w:val="21"/>
                <w:szCs w:val="21"/>
                <w:lang w:val="en-US" w:eastAsia="zh-CN" w:bidi="ar-SA"/>
              </w:rPr>
              <w:t>1.2</w:t>
            </w:r>
          </w:p>
        </w:tc>
        <w:tc>
          <w:tcPr>
            <w:tcW w:w="357" w:type="pct"/>
            <w:noWrap w:val="0"/>
            <w:vAlign w:val="center"/>
          </w:tcPr>
          <w:p w14:paraId="332333F4">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eastAsia" w:ascii="Times New Roman" w:hAnsi="Times New Roman" w:eastAsia="仿宋" w:cs="Times New Roman"/>
                <w:color w:val="auto"/>
                <w:kern w:val="2"/>
                <w:sz w:val="21"/>
                <w:szCs w:val="21"/>
                <w:lang w:val="en-US" w:eastAsia="zh-CN" w:bidi="ar-SA"/>
              </w:rPr>
              <w:t>9</w:t>
            </w:r>
            <w:r>
              <w:rPr>
                <w:rFonts w:hint="default" w:ascii="Times New Roman" w:hAnsi="Times New Roman" w:eastAsia="仿宋" w:cs="Times New Roman"/>
                <w:color w:val="auto"/>
                <w:kern w:val="2"/>
                <w:sz w:val="21"/>
                <w:szCs w:val="21"/>
                <w:lang w:val="en-US" w:eastAsia="zh-CN" w:bidi="ar-SA"/>
              </w:rPr>
              <w:t>2.5</w:t>
            </w:r>
          </w:p>
        </w:tc>
        <w:tc>
          <w:tcPr>
            <w:tcW w:w="1276" w:type="pct"/>
            <w:noWrap w:val="0"/>
            <w:vAlign w:val="center"/>
          </w:tcPr>
          <w:p w14:paraId="477CC818">
            <w:pPr>
              <w:spacing w:line="260" w:lineRule="exact"/>
              <w:ind w:firstLine="420" w:firstLineChars="200"/>
              <w:jc w:val="left"/>
              <w:rPr>
                <w:color w:val="auto"/>
              </w:rPr>
            </w:pPr>
            <w:r>
              <w:rPr>
                <w:rFonts w:hint="eastAsia" w:ascii="Times New Roman" w:hAnsi="Times New Roman" w:eastAsia="仿宋" w:cs="Times New Roman"/>
                <w:color w:val="auto"/>
                <w:sz w:val="21"/>
                <w:szCs w:val="21"/>
              </w:rPr>
              <w:t>县城建成区古城街道和桂山街道的生活垃圾集中清运至新平县城市生活垃圾填埋场，配套建设1座处理规模为40m</w:t>
            </w:r>
            <w:r>
              <w:rPr>
                <w:rFonts w:hint="eastAsia" w:ascii="Times New Roman" w:hAnsi="Times New Roman" w:eastAsia="仿宋" w:cs="Times New Roman"/>
                <w:color w:val="auto"/>
                <w:sz w:val="21"/>
                <w:szCs w:val="21"/>
                <w:vertAlign w:val="superscript"/>
              </w:rPr>
              <w:t>3</w:t>
            </w:r>
            <w:r>
              <w:rPr>
                <w:rFonts w:hint="eastAsia" w:ascii="Times New Roman" w:hAnsi="Times New Roman" w:eastAsia="仿宋" w:cs="Times New Roman"/>
                <w:color w:val="auto"/>
                <w:sz w:val="21"/>
                <w:szCs w:val="21"/>
              </w:rPr>
              <w:t>/d的渗滤液处理站。</w:t>
            </w:r>
          </w:p>
          <w:p w14:paraId="22EA194F">
            <w:pPr>
              <w:spacing w:line="260" w:lineRule="exact"/>
              <w:ind w:firstLine="420" w:firstLineChars="200"/>
              <w:jc w:val="left"/>
              <w:rPr>
                <w:rFonts w:ascii="Times New Roman" w:hAnsi="Times New Roman" w:eastAsia="仿宋" w:cs="Times New Roman"/>
                <w:color w:val="auto"/>
                <w:sz w:val="21"/>
                <w:szCs w:val="21"/>
              </w:rPr>
            </w:pPr>
            <w:r>
              <w:rPr>
                <w:rFonts w:hint="eastAsia" w:ascii="Times New Roman" w:hAnsi="Times New Roman" w:eastAsia="仿宋" w:cs="Times New Roman"/>
                <w:color w:val="auto"/>
                <w:sz w:val="21"/>
                <w:szCs w:val="21"/>
              </w:rPr>
              <w:t>其他4个街道和6个乡镇均在集镇区配套建设有生活垃圾集中处理设施，所产生的生活垃圾</w:t>
            </w:r>
            <w:r>
              <w:rPr>
                <w:rFonts w:ascii="Times New Roman" w:hAnsi="Times New Roman" w:eastAsia="仿宋" w:cs="Times New Roman"/>
                <w:color w:val="auto"/>
                <w:sz w:val="21"/>
                <w:szCs w:val="21"/>
              </w:rPr>
              <w:t>均能得到有效收集和最终处置。</w:t>
            </w:r>
          </w:p>
          <w:p w14:paraId="48B46E93">
            <w:pPr>
              <w:spacing w:line="260" w:lineRule="exact"/>
              <w:ind w:firstLine="420" w:firstLineChars="200"/>
              <w:jc w:val="left"/>
              <w:rPr>
                <w:rFonts w:hint="default" w:ascii="Times New Roman" w:hAnsi="Times New Roman" w:eastAsia="仿宋" w:cs="Times New Roman"/>
                <w:color w:val="auto"/>
                <w:sz w:val="21"/>
                <w:szCs w:val="21"/>
              </w:rPr>
            </w:pPr>
            <w:r>
              <w:rPr>
                <w:rFonts w:ascii="Times New Roman" w:hAnsi="Times New Roman" w:eastAsia="仿宋" w:cs="Times New Roman"/>
                <w:color w:val="auto"/>
                <w:sz w:val="21"/>
                <w:szCs w:val="21"/>
              </w:rPr>
              <w:t>根据县城管局提供的</w:t>
            </w:r>
            <w:r>
              <w:rPr>
                <w:rFonts w:hint="eastAsia" w:ascii="Times New Roman" w:hAnsi="Times New Roman" w:eastAsia="仿宋" w:cs="Times New Roman"/>
                <w:color w:val="auto"/>
                <w:sz w:val="21"/>
                <w:szCs w:val="21"/>
              </w:rPr>
              <w:t>2</w:t>
            </w:r>
            <w:r>
              <w:rPr>
                <w:rFonts w:ascii="Times New Roman" w:hAnsi="Times New Roman" w:eastAsia="仿宋" w:cs="Times New Roman"/>
                <w:color w:val="auto"/>
                <w:sz w:val="21"/>
                <w:szCs w:val="21"/>
              </w:rPr>
              <w:t>019</w:t>
            </w:r>
            <w:r>
              <w:rPr>
                <w:rFonts w:hint="eastAsia" w:ascii="Times New Roman" w:hAnsi="Times New Roman" w:eastAsia="仿宋" w:cs="Times New Roman"/>
                <w:color w:val="auto"/>
                <w:sz w:val="21"/>
                <w:szCs w:val="21"/>
                <w:lang w:eastAsia="zh-CN"/>
              </w:rPr>
              <w:t>—</w:t>
            </w:r>
            <w:r>
              <w:rPr>
                <w:rFonts w:hint="eastAsia" w:ascii="Times New Roman" w:hAnsi="Times New Roman" w:eastAsia="仿宋" w:cs="Times New Roman"/>
                <w:color w:val="auto"/>
                <w:sz w:val="21"/>
                <w:szCs w:val="21"/>
              </w:rPr>
              <w:t>2021年《新平县城市生活垃圾清运量》和</w:t>
            </w:r>
            <w:r>
              <w:rPr>
                <w:rFonts w:ascii="Times New Roman" w:hAnsi="Times New Roman" w:eastAsia="仿宋" w:cs="Times New Roman"/>
                <w:color w:val="auto"/>
                <w:sz w:val="21"/>
                <w:szCs w:val="21"/>
              </w:rPr>
              <w:t>统计局提供的城镇常住人口数据，计算得2019</w:t>
            </w:r>
            <w:r>
              <w:rPr>
                <w:rFonts w:hint="eastAsia" w:ascii="Times New Roman" w:hAnsi="Times New Roman" w:eastAsia="仿宋" w:cs="Times New Roman"/>
                <w:color w:val="auto"/>
                <w:sz w:val="21"/>
                <w:szCs w:val="21"/>
                <w:lang w:eastAsia="zh-CN"/>
              </w:rPr>
              <w:t>—</w:t>
            </w:r>
            <w:r>
              <w:rPr>
                <w:rFonts w:ascii="Times New Roman" w:hAnsi="Times New Roman" w:eastAsia="仿宋" w:cs="Times New Roman"/>
                <w:color w:val="auto"/>
                <w:sz w:val="21"/>
                <w:szCs w:val="21"/>
              </w:rPr>
              <w:t>2021年新平县城镇垃圾产生总量，从而计算出城镇生活垃圾无害化处理率。</w:t>
            </w:r>
          </w:p>
        </w:tc>
      </w:tr>
      <w:tr w14:paraId="75E96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05" w:type="pct"/>
            <w:vMerge w:val="continue"/>
            <w:noWrap w:val="0"/>
            <w:vAlign w:val="center"/>
          </w:tcPr>
          <w:p w14:paraId="214C5117">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212" w:type="pct"/>
            <w:vMerge w:val="continue"/>
            <w:noWrap w:val="0"/>
            <w:vAlign w:val="center"/>
          </w:tcPr>
          <w:p w14:paraId="15767B3A">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102" w:type="pct"/>
            <w:noWrap w:val="0"/>
            <w:vAlign w:val="center"/>
          </w:tcPr>
          <w:p w14:paraId="215D2EB2">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32</w:t>
            </w:r>
          </w:p>
        </w:tc>
        <w:tc>
          <w:tcPr>
            <w:tcW w:w="678" w:type="pct"/>
            <w:gridSpan w:val="4"/>
            <w:noWrap w:val="0"/>
            <w:vAlign w:val="center"/>
          </w:tcPr>
          <w:p w14:paraId="4913A1DF">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农村生活垃圾无害化处理村占比</w:t>
            </w:r>
          </w:p>
        </w:tc>
        <w:tc>
          <w:tcPr>
            <w:tcW w:w="192" w:type="pct"/>
            <w:noWrap w:val="0"/>
            <w:vAlign w:val="center"/>
          </w:tcPr>
          <w:p w14:paraId="7451921D">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w:t>
            </w:r>
          </w:p>
        </w:tc>
        <w:tc>
          <w:tcPr>
            <w:tcW w:w="321" w:type="pct"/>
            <w:noWrap w:val="0"/>
            <w:vAlign w:val="center"/>
          </w:tcPr>
          <w:p w14:paraId="775560FE">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≥80</w:t>
            </w:r>
          </w:p>
        </w:tc>
        <w:tc>
          <w:tcPr>
            <w:tcW w:w="322" w:type="pct"/>
            <w:noWrap w:val="0"/>
            <w:vAlign w:val="center"/>
          </w:tcPr>
          <w:p w14:paraId="43526CB8">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≥80</w:t>
            </w:r>
          </w:p>
        </w:tc>
        <w:tc>
          <w:tcPr>
            <w:tcW w:w="320" w:type="pct"/>
            <w:noWrap w:val="0"/>
            <w:vAlign w:val="center"/>
          </w:tcPr>
          <w:p w14:paraId="789E0F5A">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eastAsia" w:ascii="Times New Roman" w:hAnsi="Times New Roman" w:eastAsia="仿宋" w:cs="Times New Roman"/>
                <w:color w:val="auto"/>
                <w:kern w:val="2"/>
                <w:sz w:val="21"/>
                <w:szCs w:val="21"/>
                <w:lang w:val="en-US" w:eastAsia="zh-CN" w:bidi="ar-SA"/>
              </w:rPr>
              <w:t>/</w:t>
            </w:r>
          </w:p>
        </w:tc>
        <w:tc>
          <w:tcPr>
            <w:tcW w:w="367" w:type="pct"/>
            <w:noWrap w:val="0"/>
            <w:vAlign w:val="center"/>
          </w:tcPr>
          <w:p w14:paraId="6015466D">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eastAsia" w:ascii="Times New Roman" w:hAnsi="Times New Roman" w:eastAsia="仿宋" w:cs="Times New Roman"/>
                <w:color w:val="auto"/>
                <w:kern w:val="2"/>
                <w:sz w:val="21"/>
                <w:szCs w:val="21"/>
                <w:lang w:val="en-US" w:eastAsia="zh-CN" w:bidi="ar-SA"/>
              </w:rPr>
              <w:t>/</w:t>
            </w:r>
          </w:p>
        </w:tc>
        <w:tc>
          <w:tcPr>
            <w:tcW w:w="361" w:type="pct"/>
            <w:noWrap w:val="0"/>
            <w:vAlign w:val="center"/>
          </w:tcPr>
          <w:p w14:paraId="7CCD9FB5">
            <w:pPr>
              <w:spacing w:line="260" w:lineRule="exact"/>
              <w:jc w:val="center"/>
              <w:rPr>
                <w:rFonts w:hint="default" w:ascii="Times New Roman" w:hAnsi="Times New Roman" w:eastAsia="仿宋" w:cs="Times New Roman"/>
                <w:color w:val="auto"/>
                <w:kern w:val="2"/>
                <w:sz w:val="21"/>
                <w:szCs w:val="21"/>
                <w:highlight w:val="yellow"/>
                <w:lang w:val="en-US" w:eastAsia="zh-CN" w:bidi="ar-SA"/>
              </w:rPr>
            </w:pPr>
            <w:r>
              <w:rPr>
                <w:rFonts w:hint="eastAsia" w:ascii="Times New Roman" w:hAnsi="Times New Roman" w:eastAsia="仿宋" w:cs="Times New Roman"/>
                <w:color w:val="auto"/>
                <w:kern w:val="2"/>
                <w:sz w:val="21"/>
                <w:szCs w:val="21"/>
                <w:highlight w:val="yellow"/>
                <w:lang w:val="en-US" w:eastAsia="zh-CN" w:bidi="ar-SA"/>
              </w:rPr>
              <w:t>81.2</w:t>
            </w:r>
          </w:p>
        </w:tc>
        <w:tc>
          <w:tcPr>
            <w:tcW w:w="381" w:type="pct"/>
            <w:noWrap w:val="0"/>
            <w:vAlign w:val="center"/>
          </w:tcPr>
          <w:p w14:paraId="4BF82D5C">
            <w:pPr>
              <w:spacing w:line="260" w:lineRule="exact"/>
              <w:jc w:val="center"/>
              <w:rPr>
                <w:rFonts w:hint="default" w:ascii="Times New Roman" w:hAnsi="Times New Roman" w:eastAsia="仿宋" w:cs="Times New Roman"/>
                <w:color w:val="auto"/>
                <w:kern w:val="2"/>
                <w:sz w:val="21"/>
                <w:szCs w:val="21"/>
                <w:highlight w:val="yellow"/>
                <w:lang w:val="en-US" w:eastAsia="zh-CN" w:bidi="ar-SA"/>
              </w:rPr>
            </w:pPr>
            <w:r>
              <w:rPr>
                <w:rFonts w:hint="eastAsia" w:ascii="Times New Roman" w:hAnsi="Times New Roman" w:eastAsia="仿宋" w:cs="Times New Roman"/>
                <w:color w:val="auto"/>
                <w:kern w:val="2"/>
                <w:sz w:val="21"/>
                <w:szCs w:val="21"/>
                <w:highlight w:val="yellow"/>
                <w:lang w:val="en-US" w:eastAsia="zh-CN" w:bidi="ar-SA"/>
              </w:rPr>
              <w:t>82.4</w:t>
            </w:r>
          </w:p>
        </w:tc>
        <w:tc>
          <w:tcPr>
            <w:tcW w:w="357" w:type="pct"/>
            <w:noWrap w:val="0"/>
            <w:vAlign w:val="center"/>
          </w:tcPr>
          <w:p w14:paraId="30D271F2">
            <w:pPr>
              <w:spacing w:line="260" w:lineRule="exact"/>
              <w:jc w:val="center"/>
              <w:rPr>
                <w:rFonts w:hint="default" w:ascii="Times New Roman" w:hAnsi="Times New Roman" w:eastAsia="仿宋" w:cs="Times New Roman"/>
                <w:color w:val="auto"/>
                <w:kern w:val="2"/>
                <w:sz w:val="21"/>
                <w:szCs w:val="21"/>
                <w:highlight w:val="yellow"/>
                <w:lang w:val="en-US" w:eastAsia="zh-CN" w:bidi="ar-SA"/>
              </w:rPr>
            </w:pPr>
            <w:r>
              <w:rPr>
                <w:rFonts w:hint="eastAsia" w:ascii="Times New Roman" w:hAnsi="Times New Roman" w:eastAsia="仿宋" w:cs="Times New Roman"/>
                <w:color w:val="auto"/>
                <w:kern w:val="2"/>
                <w:sz w:val="21"/>
                <w:szCs w:val="21"/>
                <w:highlight w:val="yellow"/>
                <w:lang w:val="en-US" w:eastAsia="zh-CN" w:bidi="ar-SA"/>
              </w:rPr>
              <w:t>83.5</w:t>
            </w:r>
          </w:p>
        </w:tc>
        <w:tc>
          <w:tcPr>
            <w:tcW w:w="1276" w:type="pct"/>
            <w:noWrap w:val="0"/>
            <w:vAlign w:val="center"/>
          </w:tcPr>
          <w:p w14:paraId="373BA5C5">
            <w:pPr>
              <w:spacing w:line="260" w:lineRule="exact"/>
              <w:ind w:firstLine="420" w:firstLineChars="200"/>
              <w:jc w:val="left"/>
              <w:rPr>
                <w:rFonts w:hint="default" w:ascii="Times New Roman" w:hAnsi="Times New Roman" w:eastAsia="仿宋" w:cs="Times New Roman"/>
                <w:color w:val="auto"/>
                <w:sz w:val="21"/>
                <w:szCs w:val="21"/>
                <w:lang w:val="en-US" w:eastAsia="zh-CN"/>
              </w:rPr>
            </w:pPr>
            <w:r>
              <w:rPr>
                <w:rFonts w:hint="default" w:ascii="Times New Roman" w:hAnsi="Times New Roman" w:eastAsia="仿宋" w:cs="Times New Roman"/>
                <w:color w:val="auto"/>
                <w:sz w:val="21"/>
                <w:szCs w:val="21"/>
                <w:lang w:val="en-US" w:eastAsia="zh-CN"/>
              </w:rPr>
              <w:t>根据</w:t>
            </w:r>
            <w:r>
              <w:rPr>
                <w:rFonts w:hint="eastAsia" w:ascii="Times New Roman" w:hAnsi="Times New Roman" w:eastAsia="仿宋" w:cs="Times New Roman"/>
                <w:color w:val="auto"/>
                <w:sz w:val="21"/>
                <w:szCs w:val="21"/>
                <w:lang w:val="en-US" w:eastAsia="zh-CN"/>
              </w:rPr>
              <w:t>新平县</w:t>
            </w:r>
            <w:r>
              <w:rPr>
                <w:rFonts w:hint="default" w:ascii="Times New Roman" w:hAnsi="Times New Roman" w:eastAsia="仿宋" w:cs="Times New Roman"/>
                <w:color w:val="auto"/>
                <w:sz w:val="21"/>
                <w:szCs w:val="21"/>
                <w:lang w:val="en-US" w:eastAsia="zh-CN"/>
              </w:rPr>
              <w:t>住建部门提供的201</w:t>
            </w:r>
            <w:r>
              <w:rPr>
                <w:rFonts w:hint="eastAsia" w:ascii="Times New Roman" w:hAnsi="Times New Roman" w:eastAsia="仿宋" w:cs="Times New Roman"/>
                <w:color w:val="auto"/>
                <w:sz w:val="21"/>
                <w:szCs w:val="21"/>
                <w:lang w:val="en-US" w:eastAsia="zh-CN"/>
              </w:rPr>
              <w:t>9—</w:t>
            </w:r>
            <w:r>
              <w:rPr>
                <w:rFonts w:hint="default" w:ascii="Times New Roman" w:hAnsi="Times New Roman" w:eastAsia="仿宋" w:cs="Times New Roman"/>
                <w:color w:val="auto"/>
                <w:sz w:val="21"/>
                <w:szCs w:val="21"/>
                <w:lang w:val="en-US" w:eastAsia="zh-CN"/>
              </w:rPr>
              <w:t>2021年《市政公用设施基层表（村庄部分）》统计数据计算得出。</w:t>
            </w:r>
          </w:p>
        </w:tc>
      </w:tr>
      <w:tr w14:paraId="00C40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05" w:type="pct"/>
            <w:vMerge w:val="continue"/>
            <w:noWrap w:val="0"/>
            <w:vAlign w:val="center"/>
          </w:tcPr>
          <w:p w14:paraId="166D80BE">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212" w:type="pct"/>
            <w:vMerge w:val="continue"/>
            <w:noWrap w:val="0"/>
            <w:vAlign w:val="center"/>
          </w:tcPr>
          <w:p w14:paraId="199D1C49">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102" w:type="pct"/>
            <w:vMerge w:val="restart"/>
            <w:noWrap w:val="0"/>
            <w:vAlign w:val="center"/>
          </w:tcPr>
          <w:p w14:paraId="14FB651F">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33</w:t>
            </w:r>
          </w:p>
        </w:tc>
        <w:tc>
          <w:tcPr>
            <w:tcW w:w="678" w:type="pct"/>
            <w:gridSpan w:val="4"/>
            <w:vMerge w:val="restart"/>
            <w:noWrap w:val="0"/>
            <w:vAlign w:val="center"/>
          </w:tcPr>
          <w:p w14:paraId="341B489B">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农村无害化卫生厕所普及率</w:t>
            </w:r>
          </w:p>
        </w:tc>
        <w:tc>
          <w:tcPr>
            <w:tcW w:w="192" w:type="pct"/>
            <w:vMerge w:val="restart"/>
            <w:noWrap w:val="0"/>
            <w:vAlign w:val="center"/>
          </w:tcPr>
          <w:p w14:paraId="3343C31C">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w:t>
            </w:r>
          </w:p>
        </w:tc>
        <w:tc>
          <w:tcPr>
            <w:tcW w:w="321" w:type="pct"/>
            <w:vMerge w:val="restart"/>
            <w:noWrap w:val="0"/>
            <w:vAlign w:val="center"/>
          </w:tcPr>
          <w:p w14:paraId="42317F71">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完成上级规定的考核任务</w:t>
            </w:r>
          </w:p>
        </w:tc>
        <w:tc>
          <w:tcPr>
            <w:tcW w:w="322" w:type="pct"/>
            <w:vMerge w:val="restart"/>
            <w:noWrap w:val="0"/>
            <w:vAlign w:val="center"/>
          </w:tcPr>
          <w:p w14:paraId="15C1DAD5">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完成上级规定的考核任务</w:t>
            </w:r>
          </w:p>
        </w:tc>
        <w:tc>
          <w:tcPr>
            <w:tcW w:w="320" w:type="pct"/>
            <w:noWrap w:val="0"/>
            <w:vAlign w:val="center"/>
          </w:tcPr>
          <w:p w14:paraId="3DEB6437">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eastAsia" w:ascii="Times New Roman" w:hAnsi="Times New Roman" w:eastAsia="仿宋" w:cs="Times New Roman"/>
                <w:color w:val="auto"/>
                <w:kern w:val="2"/>
                <w:sz w:val="21"/>
                <w:szCs w:val="21"/>
                <w:lang w:val="en-US" w:eastAsia="zh-CN" w:bidi="ar-SA"/>
              </w:rPr>
              <w:t>/</w:t>
            </w:r>
          </w:p>
        </w:tc>
        <w:tc>
          <w:tcPr>
            <w:tcW w:w="367" w:type="pct"/>
            <w:noWrap w:val="0"/>
            <w:vAlign w:val="center"/>
          </w:tcPr>
          <w:p w14:paraId="4D2E9758">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eastAsia" w:ascii="Times New Roman" w:hAnsi="Times New Roman" w:eastAsia="仿宋" w:cs="Times New Roman"/>
                <w:color w:val="auto"/>
                <w:kern w:val="2"/>
                <w:sz w:val="21"/>
                <w:szCs w:val="21"/>
                <w:lang w:val="en-US" w:eastAsia="zh-CN" w:bidi="ar-SA"/>
              </w:rPr>
              <w:t>/</w:t>
            </w:r>
          </w:p>
        </w:tc>
        <w:tc>
          <w:tcPr>
            <w:tcW w:w="361" w:type="pct"/>
            <w:noWrap w:val="0"/>
            <w:vAlign w:val="center"/>
          </w:tcPr>
          <w:p w14:paraId="29602925">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eastAsia" w:ascii="Times New Roman" w:hAnsi="Times New Roman" w:eastAsia="仿宋" w:cs="Times New Roman"/>
                <w:color w:val="auto"/>
                <w:kern w:val="2"/>
                <w:sz w:val="21"/>
                <w:szCs w:val="21"/>
                <w:lang w:val="en-US" w:eastAsia="zh-CN" w:bidi="ar-SA"/>
              </w:rPr>
              <w:t>6239</w:t>
            </w:r>
          </w:p>
        </w:tc>
        <w:tc>
          <w:tcPr>
            <w:tcW w:w="381" w:type="pct"/>
            <w:noWrap w:val="0"/>
            <w:vAlign w:val="center"/>
          </w:tcPr>
          <w:p w14:paraId="1AD1F50B">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eastAsia" w:ascii="Times New Roman" w:hAnsi="Times New Roman" w:eastAsia="仿宋" w:cs="Times New Roman"/>
                <w:color w:val="auto"/>
                <w:kern w:val="2"/>
                <w:sz w:val="21"/>
                <w:szCs w:val="21"/>
                <w:lang w:val="en-US" w:eastAsia="zh-CN" w:bidi="ar-SA"/>
              </w:rPr>
              <w:t>6239</w:t>
            </w:r>
          </w:p>
        </w:tc>
        <w:tc>
          <w:tcPr>
            <w:tcW w:w="357" w:type="pct"/>
            <w:noWrap w:val="0"/>
            <w:vAlign w:val="center"/>
          </w:tcPr>
          <w:p w14:paraId="3EF14FAC">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eastAsia" w:ascii="Times New Roman" w:hAnsi="Times New Roman" w:eastAsia="仿宋" w:cs="Times New Roman"/>
                <w:color w:val="auto"/>
                <w:kern w:val="2"/>
                <w:sz w:val="21"/>
                <w:szCs w:val="21"/>
                <w:lang w:val="en-US" w:eastAsia="zh-CN" w:bidi="ar-SA"/>
              </w:rPr>
              <w:t>1226</w:t>
            </w:r>
          </w:p>
        </w:tc>
        <w:tc>
          <w:tcPr>
            <w:tcW w:w="1276" w:type="pct"/>
            <w:vMerge w:val="restart"/>
            <w:noWrap w:val="0"/>
            <w:vAlign w:val="center"/>
          </w:tcPr>
          <w:p w14:paraId="5BF46A55">
            <w:pPr>
              <w:spacing w:line="260" w:lineRule="exact"/>
              <w:ind w:firstLine="420" w:firstLineChars="200"/>
              <w:jc w:val="left"/>
              <w:rPr>
                <w:rFonts w:hint="default" w:ascii="Times New Roman" w:hAnsi="Times New Roman" w:eastAsia="仿宋" w:cs="Times New Roman"/>
                <w:color w:val="auto"/>
                <w:sz w:val="21"/>
                <w:szCs w:val="21"/>
                <w:lang w:val="en-US" w:eastAsia="zh-CN"/>
              </w:rPr>
            </w:pPr>
            <w:r>
              <w:rPr>
                <w:rFonts w:hint="default" w:ascii="Times New Roman" w:hAnsi="Times New Roman" w:eastAsia="仿宋" w:cs="Times New Roman"/>
                <w:color w:val="auto"/>
                <w:sz w:val="21"/>
                <w:szCs w:val="21"/>
                <w:lang w:val="en-US" w:eastAsia="zh-CN"/>
              </w:rPr>
              <w:t>根据《</w:t>
            </w:r>
            <w:r>
              <w:rPr>
                <w:rFonts w:hint="eastAsia" w:ascii="Times New Roman" w:hAnsi="Times New Roman" w:eastAsia="仿宋" w:cs="Times New Roman"/>
                <w:color w:val="auto"/>
                <w:sz w:val="21"/>
                <w:szCs w:val="21"/>
                <w:lang w:val="en-US" w:eastAsia="zh-CN"/>
              </w:rPr>
              <w:t>新平县2019年</w:t>
            </w:r>
            <w:r>
              <w:rPr>
                <w:rFonts w:hint="default" w:ascii="Times New Roman" w:hAnsi="Times New Roman" w:eastAsia="仿宋" w:cs="Times New Roman"/>
                <w:color w:val="auto"/>
                <w:sz w:val="21"/>
                <w:szCs w:val="21"/>
                <w:lang w:val="en-US" w:eastAsia="zh-CN"/>
              </w:rPr>
              <w:t>农村</w:t>
            </w:r>
            <w:r>
              <w:rPr>
                <w:rFonts w:hint="eastAsia" w:ascii="Times New Roman" w:hAnsi="Times New Roman" w:eastAsia="仿宋" w:cs="Times New Roman"/>
                <w:color w:val="auto"/>
                <w:sz w:val="21"/>
                <w:szCs w:val="21"/>
                <w:lang w:val="en-US" w:eastAsia="zh-CN"/>
              </w:rPr>
              <w:t>“</w:t>
            </w:r>
            <w:r>
              <w:rPr>
                <w:rFonts w:hint="default" w:ascii="Times New Roman" w:hAnsi="Times New Roman" w:eastAsia="仿宋" w:cs="Times New Roman"/>
                <w:color w:val="auto"/>
                <w:sz w:val="21"/>
                <w:szCs w:val="21"/>
                <w:lang w:val="en-US" w:eastAsia="zh-CN"/>
              </w:rPr>
              <w:t>厕所革命</w:t>
            </w:r>
            <w:r>
              <w:rPr>
                <w:rFonts w:hint="eastAsia" w:ascii="Times New Roman" w:hAnsi="Times New Roman" w:eastAsia="仿宋" w:cs="Times New Roman"/>
                <w:color w:val="auto"/>
                <w:sz w:val="21"/>
                <w:szCs w:val="21"/>
                <w:lang w:val="en-US" w:eastAsia="zh-CN"/>
              </w:rPr>
              <w:t>”</w:t>
            </w:r>
            <w:r>
              <w:rPr>
                <w:rFonts w:hint="default" w:ascii="Times New Roman" w:hAnsi="Times New Roman" w:eastAsia="仿宋" w:cs="Times New Roman"/>
                <w:color w:val="auto"/>
                <w:sz w:val="21"/>
                <w:szCs w:val="21"/>
                <w:lang w:val="en-US" w:eastAsia="zh-CN"/>
              </w:rPr>
              <w:t>实施方案》（</w:t>
            </w:r>
            <w:r>
              <w:rPr>
                <w:rFonts w:hint="eastAsia" w:ascii="Times New Roman" w:hAnsi="Times New Roman" w:eastAsia="仿宋" w:cs="Times New Roman"/>
                <w:color w:val="auto"/>
                <w:sz w:val="21"/>
                <w:szCs w:val="21"/>
                <w:lang w:val="en-US" w:eastAsia="zh-CN"/>
              </w:rPr>
              <w:t>新</w:t>
            </w:r>
            <w:r>
              <w:rPr>
                <w:rFonts w:hint="default" w:ascii="Times New Roman" w:hAnsi="Times New Roman" w:eastAsia="仿宋" w:cs="Times New Roman"/>
                <w:color w:val="auto"/>
                <w:sz w:val="21"/>
                <w:szCs w:val="21"/>
                <w:lang w:val="en-US" w:eastAsia="zh-CN"/>
              </w:rPr>
              <w:t>农办</w:t>
            </w:r>
            <w:r>
              <w:rPr>
                <w:rFonts w:hint="eastAsia" w:ascii="Times New Roman" w:hAnsi="Times New Roman" w:eastAsia="仿宋" w:cs="Times New Roman"/>
                <w:color w:val="auto"/>
                <w:sz w:val="21"/>
                <w:szCs w:val="21"/>
                <w:lang w:val="en-US" w:eastAsia="zh-CN"/>
              </w:rPr>
              <w:t>〔</w:t>
            </w:r>
            <w:r>
              <w:rPr>
                <w:rFonts w:hint="default" w:ascii="Times New Roman" w:hAnsi="Times New Roman" w:eastAsia="仿宋" w:cs="Times New Roman"/>
                <w:color w:val="auto"/>
                <w:sz w:val="21"/>
                <w:szCs w:val="21"/>
                <w:lang w:val="en-US" w:eastAsia="zh-CN"/>
              </w:rPr>
              <w:t>2019</w:t>
            </w:r>
            <w:r>
              <w:rPr>
                <w:rFonts w:hint="eastAsia" w:ascii="Times New Roman" w:hAnsi="Times New Roman" w:eastAsia="仿宋" w:cs="Times New Roman"/>
                <w:color w:val="auto"/>
                <w:sz w:val="21"/>
                <w:szCs w:val="21"/>
                <w:lang w:val="en-US" w:eastAsia="zh-CN"/>
              </w:rPr>
              <w:t>〕2</w:t>
            </w:r>
            <w:r>
              <w:rPr>
                <w:rFonts w:hint="default" w:ascii="Times New Roman" w:hAnsi="Times New Roman" w:eastAsia="仿宋" w:cs="Times New Roman"/>
                <w:color w:val="auto"/>
                <w:sz w:val="21"/>
                <w:szCs w:val="21"/>
                <w:lang w:val="en-US" w:eastAsia="zh-CN"/>
              </w:rPr>
              <w:t>号）、《   农村“厕所革命”任务建设完成情况表（2018—2020年）》以及新平县2019</w:t>
            </w:r>
            <w:r>
              <w:rPr>
                <w:rFonts w:hint="eastAsia" w:ascii="Times New Roman" w:hAnsi="Times New Roman" w:eastAsia="仿宋" w:cs="Times New Roman"/>
                <w:color w:val="auto"/>
                <w:sz w:val="21"/>
                <w:szCs w:val="21"/>
                <w:lang w:val="en-US" w:eastAsia="zh-CN"/>
              </w:rPr>
              <w:t>—</w:t>
            </w:r>
            <w:r>
              <w:rPr>
                <w:rFonts w:hint="default" w:ascii="Times New Roman" w:hAnsi="Times New Roman" w:eastAsia="仿宋" w:cs="Times New Roman"/>
                <w:color w:val="auto"/>
                <w:sz w:val="21"/>
                <w:szCs w:val="21"/>
                <w:lang w:val="en-US" w:eastAsia="zh-CN"/>
              </w:rPr>
              <w:t>2021年农村厕所革命工作总结</w:t>
            </w:r>
            <w:r>
              <w:rPr>
                <w:rFonts w:hint="eastAsia" w:ascii="Times New Roman" w:hAnsi="Times New Roman" w:eastAsia="仿宋" w:cs="Times New Roman"/>
                <w:color w:val="auto"/>
                <w:sz w:val="21"/>
                <w:szCs w:val="21"/>
                <w:lang w:val="en-US" w:eastAsia="zh-CN"/>
              </w:rPr>
              <w:t>计算得出</w:t>
            </w:r>
            <w:r>
              <w:rPr>
                <w:rFonts w:hint="default" w:ascii="Times New Roman" w:hAnsi="Times New Roman" w:eastAsia="仿宋" w:cs="Times New Roman"/>
                <w:color w:val="auto"/>
                <w:sz w:val="21"/>
                <w:szCs w:val="21"/>
                <w:lang w:val="en-US" w:eastAsia="zh-CN"/>
              </w:rPr>
              <w:t>。</w:t>
            </w:r>
          </w:p>
        </w:tc>
      </w:tr>
      <w:tr w14:paraId="756AA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05" w:type="pct"/>
            <w:vMerge w:val="continue"/>
            <w:noWrap w:val="0"/>
            <w:vAlign w:val="center"/>
          </w:tcPr>
          <w:p w14:paraId="60618DBA">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212" w:type="pct"/>
            <w:vMerge w:val="continue"/>
            <w:noWrap w:val="0"/>
            <w:vAlign w:val="center"/>
          </w:tcPr>
          <w:p w14:paraId="25A24AD7">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102" w:type="pct"/>
            <w:vMerge w:val="continue"/>
            <w:noWrap w:val="0"/>
            <w:vAlign w:val="center"/>
          </w:tcPr>
          <w:p w14:paraId="23B69730">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678" w:type="pct"/>
            <w:gridSpan w:val="4"/>
            <w:vMerge w:val="continue"/>
            <w:noWrap w:val="0"/>
            <w:vAlign w:val="center"/>
          </w:tcPr>
          <w:p w14:paraId="27AC733D">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192" w:type="pct"/>
            <w:vMerge w:val="continue"/>
            <w:noWrap w:val="0"/>
            <w:vAlign w:val="center"/>
          </w:tcPr>
          <w:p w14:paraId="21C740F8">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321" w:type="pct"/>
            <w:vMerge w:val="continue"/>
            <w:noWrap w:val="0"/>
            <w:vAlign w:val="center"/>
          </w:tcPr>
          <w:p w14:paraId="49216472">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322" w:type="pct"/>
            <w:vMerge w:val="continue"/>
            <w:noWrap w:val="0"/>
            <w:vAlign w:val="center"/>
          </w:tcPr>
          <w:p w14:paraId="5EC9288A">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320" w:type="pct"/>
            <w:noWrap w:val="0"/>
            <w:vAlign w:val="center"/>
          </w:tcPr>
          <w:p w14:paraId="4845387B">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eastAsia" w:ascii="Times New Roman" w:hAnsi="Times New Roman" w:eastAsia="仿宋" w:cs="Times New Roman"/>
                <w:color w:val="auto"/>
                <w:kern w:val="2"/>
                <w:sz w:val="21"/>
                <w:szCs w:val="21"/>
                <w:lang w:val="en-US" w:eastAsia="zh-CN" w:bidi="ar-SA"/>
              </w:rPr>
              <w:t>/</w:t>
            </w:r>
          </w:p>
        </w:tc>
        <w:tc>
          <w:tcPr>
            <w:tcW w:w="367" w:type="pct"/>
            <w:noWrap w:val="0"/>
            <w:vAlign w:val="center"/>
          </w:tcPr>
          <w:p w14:paraId="77528C34">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eastAsia" w:ascii="Times New Roman" w:hAnsi="Times New Roman" w:eastAsia="仿宋" w:cs="Times New Roman"/>
                <w:color w:val="auto"/>
                <w:kern w:val="2"/>
                <w:sz w:val="21"/>
                <w:szCs w:val="21"/>
                <w:lang w:val="en-US" w:eastAsia="zh-CN" w:bidi="ar-SA"/>
              </w:rPr>
              <w:t>/</w:t>
            </w:r>
          </w:p>
        </w:tc>
        <w:tc>
          <w:tcPr>
            <w:tcW w:w="361" w:type="pct"/>
            <w:noWrap w:val="0"/>
            <w:vAlign w:val="center"/>
          </w:tcPr>
          <w:p w14:paraId="6CB31C04">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eastAsia" w:ascii="Times New Roman" w:hAnsi="Times New Roman" w:eastAsia="仿宋" w:cs="Times New Roman"/>
                <w:color w:val="auto"/>
                <w:kern w:val="2"/>
                <w:sz w:val="21"/>
                <w:szCs w:val="21"/>
                <w:lang w:val="en-US" w:eastAsia="zh-CN" w:bidi="ar-SA"/>
              </w:rPr>
              <w:t>6239</w:t>
            </w:r>
          </w:p>
        </w:tc>
        <w:tc>
          <w:tcPr>
            <w:tcW w:w="381" w:type="pct"/>
            <w:noWrap w:val="0"/>
            <w:vAlign w:val="center"/>
          </w:tcPr>
          <w:p w14:paraId="79EABB76">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eastAsia" w:ascii="Times New Roman" w:hAnsi="Times New Roman" w:eastAsia="仿宋" w:cs="Times New Roman"/>
                <w:color w:val="auto"/>
                <w:kern w:val="2"/>
                <w:sz w:val="21"/>
                <w:szCs w:val="21"/>
                <w:lang w:val="en-US" w:eastAsia="zh-CN" w:bidi="ar-SA"/>
              </w:rPr>
              <w:t>6239</w:t>
            </w:r>
          </w:p>
        </w:tc>
        <w:tc>
          <w:tcPr>
            <w:tcW w:w="357" w:type="pct"/>
            <w:noWrap w:val="0"/>
            <w:vAlign w:val="center"/>
          </w:tcPr>
          <w:p w14:paraId="1C8B059D">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eastAsia" w:ascii="Times New Roman" w:hAnsi="Times New Roman" w:eastAsia="仿宋" w:cs="Times New Roman"/>
                <w:color w:val="auto"/>
                <w:kern w:val="2"/>
                <w:sz w:val="21"/>
                <w:szCs w:val="21"/>
                <w:lang w:val="en-US" w:eastAsia="zh-CN" w:bidi="ar-SA"/>
              </w:rPr>
              <w:t>1226</w:t>
            </w:r>
          </w:p>
        </w:tc>
        <w:tc>
          <w:tcPr>
            <w:tcW w:w="1276" w:type="pct"/>
            <w:vMerge w:val="continue"/>
            <w:noWrap w:val="0"/>
            <w:vAlign w:val="center"/>
          </w:tcPr>
          <w:p w14:paraId="0CCF74C7">
            <w:pPr>
              <w:spacing w:line="260" w:lineRule="exact"/>
              <w:ind w:firstLine="420" w:firstLineChars="200"/>
              <w:jc w:val="left"/>
              <w:rPr>
                <w:rFonts w:hint="default" w:ascii="Times New Roman" w:hAnsi="Times New Roman" w:eastAsia="仿宋" w:cs="Times New Roman"/>
                <w:color w:val="auto"/>
                <w:sz w:val="21"/>
                <w:szCs w:val="21"/>
                <w:lang w:val="en-US" w:eastAsia="zh-CN"/>
              </w:rPr>
            </w:pPr>
          </w:p>
        </w:tc>
      </w:tr>
      <w:tr w14:paraId="62329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05" w:type="pct"/>
            <w:vMerge w:val="continue"/>
            <w:noWrap w:val="0"/>
            <w:vAlign w:val="center"/>
          </w:tcPr>
          <w:p w14:paraId="059B9345">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212" w:type="pct"/>
            <w:vMerge w:val="restart"/>
            <w:noWrap w:val="0"/>
            <w:vAlign w:val="center"/>
          </w:tcPr>
          <w:p w14:paraId="068838B9">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（九）</w:t>
            </w:r>
          </w:p>
          <w:p w14:paraId="4FD88016">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生活</w:t>
            </w:r>
          </w:p>
          <w:p w14:paraId="3B391404">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方式</w:t>
            </w:r>
          </w:p>
          <w:p w14:paraId="40F4E62F">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绿色化</w:t>
            </w:r>
          </w:p>
        </w:tc>
        <w:tc>
          <w:tcPr>
            <w:tcW w:w="102" w:type="pct"/>
            <w:noWrap w:val="0"/>
            <w:vAlign w:val="center"/>
          </w:tcPr>
          <w:p w14:paraId="423C5BE0">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34</w:t>
            </w:r>
          </w:p>
        </w:tc>
        <w:tc>
          <w:tcPr>
            <w:tcW w:w="678" w:type="pct"/>
            <w:gridSpan w:val="4"/>
            <w:noWrap w:val="0"/>
            <w:vAlign w:val="center"/>
          </w:tcPr>
          <w:p w14:paraId="396C8CE5">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城镇新建绿色建筑比例</w:t>
            </w:r>
          </w:p>
        </w:tc>
        <w:tc>
          <w:tcPr>
            <w:tcW w:w="192" w:type="pct"/>
            <w:noWrap w:val="0"/>
            <w:vAlign w:val="center"/>
          </w:tcPr>
          <w:p w14:paraId="6E2FB272">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w:t>
            </w:r>
          </w:p>
        </w:tc>
        <w:tc>
          <w:tcPr>
            <w:tcW w:w="321" w:type="pct"/>
            <w:noWrap w:val="0"/>
            <w:vAlign w:val="center"/>
          </w:tcPr>
          <w:p w14:paraId="69A54DAC">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≥50</w:t>
            </w:r>
          </w:p>
        </w:tc>
        <w:tc>
          <w:tcPr>
            <w:tcW w:w="322" w:type="pct"/>
            <w:noWrap w:val="0"/>
            <w:vAlign w:val="center"/>
          </w:tcPr>
          <w:p w14:paraId="55EC1601">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参考性</w:t>
            </w:r>
          </w:p>
        </w:tc>
        <w:tc>
          <w:tcPr>
            <w:tcW w:w="320" w:type="pct"/>
            <w:noWrap w:val="0"/>
            <w:vAlign w:val="center"/>
          </w:tcPr>
          <w:p w14:paraId="7AC88A92">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eastAsia" w:ascii="Times New Roman" w:hAnsi="Times New Roman" w:eastAsia="仿宋" w:cs="Times New Roman"/>
                <w:color w:val="auto"/>
                <w:kern w:val="2"/>
                <w:sz w:val="21"/>
                <w:szCs w:val="21"/>
                <w:lang w:val="en-US" w:eastAsia="zh-CN" w:bidi="ar-SA"/>
              </w:rPr>
              <w:t>/</w:t>
            </w:r>
          </w:p>
        </w:tc>
        <w:tc>
          <w:tcPr>
            <w:tcW w:w="367" w:type="pct"/>
            <w:noWrap w:val="0"/>
            <w:vAlign w:val="center"/>
          </w:tcPr>
          <w:p w14:paraId="326D4E43">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eastAsia" w:ascii="Times New Roman" w:hAnsi="Times New Roman" w:eastAsia="仿宋" w:cs="Times New Roman"/>
                <w:color w:val="auto"/>
                <w:kern w:val="2"/>
                <w:sz w:val="21"/>
                <w:szCs w:val="21"/>
                <w:lang w:val="en-US" w:eastAsia="zh-CN" w:bidi="ar-SA"/>
              </w:rPr>
              <w:t>/</w:t>
            </w:r>
          </w:p>
        </w:tc>
        <w:tc>
          <w:tcPr>
            <w:tcW w:w="361" w:type="pct"/>
            <w:noWrap w:val="0"/>
            <w:vAlign w:val="center"/>
          </w:tcPr>
          <w:p w14:paraId="3DE1DA0B">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eastAsia" w:ascii="Times New Roman" w:hAnsi="Times New Roman" w:eastAsia="仿宋" w:cs="Times New Roman"/>
                <w:color w:val="auto"/>
                <w:kern w:val="2"/>
                <w:sz w:val="21"/>
                <w:szCs w:val="21"/>
                <w:lang w:val="en-US" w:eastAsia="zh-CN" w:bidi="ar-SA"/>
              </w:rPr>
              <w:t>73.89</w:t>
            </w:r>
          </w:p>
        </w:tc>
        <w:tc>
          <w:tcPr>
            <w:tcW w:w="381" w:type="pct"/>
            <w:noWrap w:val="0"/>
            <w:vAlign w:val="center"/>
          </w:tcPr>
          <w:p w14:paraId="63E36CD9">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eastAsia" w:ascii="Times New Roman" w:hAnsi="Times New Roman" w:eastAsia="仿宋" w:cs="Times New Roman"/>
                <w:color w:val="auto"/>
                <w:kern w:val="2"/>
                <w:sz w:val="21"/>
                <w:szCs w:val="21"/>
                <w:lang w:val="en-US" w:eastAsia="zh-CN" w:bidi="ar-SA"/>
              </w:rPr>
              <w:t>78.71</w:t>
            </w:r>
          </w:p>
        </w:tc>
        <w:tc>
          <w:tcPr>
            <w:tcW w:w="357" w:type="pct"/>
            <w:noWrap w:val="0"/>
            <w:vAlign w:val="center"/>
          </w:tcPr>
          <w:p w14:paraId="18ADF38C">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eastAsia" w:ascii="Times New Roman" w:hAnsi="Times New Roman" w:eastAsia="仿宋" w:cs="Times New Roman"/>
                <w:color w:val="auto"/>
                <w:kern w:val="2"/>
                <w:sz w:val="21"/>
                <w:szCs w:val="21"/>
                <w:lang w:val="en-US" w:eastAsia="zh-CN" w:bidi="ar-SA"/>
              </w:rPr>
              <w:t>98.62</w:t>
            </w:r>
          </w:p>
        </w:tc>
        <w:tc>
          <w:tcPr>
            <w:tcW w:w="1276" w:type="pct"/>
            <w:noWrap w:val="0"/>
            <w:vAlign w:val="center"/>
          </w:tcPr>
          <w:p w14:paraId="445C9EA9">
            <w:pPr>
              <w:spacing w:line="260" w:lineRule="exact"/>
              <w:ind w:firstLine="420" w:firstLineChars="200"/>
              <w:jc w:val="left"/>
              <w:rPr>
                <w:rFonts w:hint="default" w:ascii="Times New Roman" w:hAnsi="Times New Roman" w:eastAsia="仿宋" w:cs="Times New Roman"/>
                <w:color w:val="auto"/>
                <w:sz w:val="21"/>
                <w:szCs w:val="21"/>
                <w:lang w:val="en-US" w:eastAsia="zh-CN"/>
              </w:rPr>
            </w:pPr>
            <w:r>
              <w:rPr>
                <w:rFonts w:hint="eastAsia" w:ascii="Times New Roman" w:hAnsi="Times New Roman" w:eastAsia="仿宋" w:cs="Times New Roman"/>
                <w:color w:val="auto"/>
                <w:sz w:val="21"/>
                <w:szCs w:val="21"/>
                <w:lang w:val="en-US" w:eastAsia="zh-CN"/>
              </w:rPr>
              <w:t>根据</w:t>
            </w:r>
            <w:r>
              <w:rPr>
                <w:rFonts w:hint="default" w:ascii="Times New Roman" w:hAnsi="Times New Roman" w:eastAsia="仿宋" w:cs="Times New Roman"/>
                <w:color w:val="auto"/>
                <w:sz w:val="21"/>
                <w:szCs w:val="21"/>
                <w:lang w:val="en-US" w:eastAsia="zh-CN"/>
              </w:rPr>
              <w:t>201</w:t>
            </w:r>
            <w:r>
              <w:rPr>
                <w:rFonts w:hint="eastAsia" w:ascii="Times New Roman" w:hAnsi="Times New Roman" w:eastAsia="仿宋" w:cs="Times New Roman"/>
                <w:color w:val="auto"/>
                <w:sz w:val="21"/>
                <w:szCs w:val="21"/>
                <w:lang w:val="en-US" w:eastAsia="zh-CN"/>
              </w:rPr>
              <w:t>9—</w:t>
            </w:r>
            <w:r>
              <w:rPr>
                <w:rFonts w:hint="default" w:ascii="Times New Roman" w:hAnsi="Times New Roman" w:eastAsia="仿宋" w:cs="Times New Roman"/>
                <w:color w:val="auto"/>
                <w:sz w:val="21"/>
                <w:szCs w:val="21"/>
                <w:lang w:val="en-US" w:eastAsia="zh-CN"/>
              </w:rPr>
              <w:t>2021年各年度城镇新建建筑及新建绿色建筑面积统计表</w:t>
            </w:r>
            <w:r>
              <w:rPr>
                <w:rFonts w:hint="eastAsia" w:ascii="Times New Roman" w:hAnsi="Times New Roman" w:eastAsia="仿宋" w:cs="Times New Roman"/>
                <w:color w:val="auto"/>
                <w:sz w:val="21"/>
                <w:szCs w:val="21"/>
                <w:lang w:val="en-US" w:eastAsia="zh-CN"/>
              </w:rPr>
              <w:t>计算</w:t>
            </w:r>
            <w:r>
              <w:rPr>
                <w:rFonts w:hint="default" w:ascii="Times New Roman" w:hAnsi="Times New Roman" w:eastAsia="仿宋" w:cs="Times New Roman"/>
                <w:color w:val="auto"/>
                <w:sz w:val="21"/>
                <w:szCs w:val="21"/>
                <w:lang w:val="en-US" w:eastAsia="zh-CN"/>
              </w:rPr>
              <w:t>。</w:t>
            </w:r>
          </w:p>
        </w:tc>
      </w:tr>
      <w:tr w14:paraId="59BE3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05" w:type="pct"/>
            <w:vMerge w:val="continue"/>
            <w:noWrap w:val="0"/>
            <w:vAlign w:val="center"/>
          </w:tcPr>
          <w:p w14:paraId="0F0F5099">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212" w:type="pct"/>
            <w:vMerge w:val="continue"/>
            <w:noWrap w:val="0"/>
            <w:vAlign w:val="center"/>
          </w:tcPr>
          <w:p w14:paraId="6BDDCF66">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102" w:type="pct"/>
            <w:noWrap w:val="0"/>
            <w:vAlign w:val="center"/>
          </w:tcPr>
          <w:p w14:paraId="7E03ADEC">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35</w:t>
            </w:r>
          </w:p>
        </w:tc>
        <w:tc>
          <w:tcPr>
            <w:tcW w:w="678" w:type="pct"/>
            <w:gridSpan w:val="4"/>
            <w:noWrap w:val="0"/>
            <w:vAlign w:val="center"/>
          </w:tcPr>
          <w:p w14:paraId="508F665B">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城镇生活垃圾分类减量化行动</w:t>
            </w:r>
          </w:p>
        </w:tc>
        <w:tc>
          <w:tcPr>
            <w:tcW w:w="192" w:type="pct"/>
            <w:noWrap w:val="0"/>
            <w:vAlign w:val="center"/>
          </w:tcPr>
          <w:p w14:paraId="75DF0406">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w:t>
            </w:r>
          </w:p>
        </w:tc>
        <w:tc>
          <w:tcPr>
            <w:tcW w:w="321" w:type="pct"/>
            <w:noWrap w:val="0"/>
            <w:vAlign w:val="center"/>
          </w:tcPr>
          <w:p w14:paraId="77681691">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实施</w:t>
            </w:r>
          </w:p>
        </w:tc>
        <w:tc>
          <w:tcPr>
            <w:tcW w:w="322" w:type="pct"/>
            <w:noWrap w:val="0"/>
            <w:vAlign w:val="center"/>
          </w:tcPr>
          <w:p w14:paraId="051B9731">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实施</w:t>
            </w:r>
          </w:p>
        </w:tc>
        <w:tc>
          <w:tcPr>
            <w:tcW w:w="320" w:type="pct"/>
            <w:noWrap w:val="0"/>
            <w:vAlign w:val="center"/>
          </w:tcPr>
          <w:p w14:paraId="4D51810A">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eastAsia" w:ascii="Times New Roman" w:hAnsi="Times New Roman" w:eastAsia="仿宋" w:cs="Times New Roman"/>
                <w:color w:val="auto"/>
                <w:kern w:val="2"/>
                <w:sz w:val="21"/>
                <w:szCs w:val="21"/>
                <w:lang w:val="en-US" w:eastAsia="zh-CN" w:bidi="ar-SA"/>
              </w:rPr>
              <w:t>探索</w:t>
            </w:r>
          </w:p>
        </w:tc>
        <w:tc>
          <w:tcPr>
            <w:tcW w:w="367" w:type="pct"/>
            <w:noWrap w:val="0"/>
            <w:vAlign w:val="center"/>
          </w:tcPr>
          <w:p w14:paraId="4E75282E">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eastAsia" w:ascii="Times New Roman" w:hAnsi="Times New Roman" w:eastAsia="仿宋" w:cs="Times New Roman"/>
                <w:color w:val="auto"/>
                <w:kern w:val="2"/>
                <w:sz w:val="21"/>
                <w:szCs w:val="21"/>
                <w:lang w:val="en-US" w:eastAsia="zh-CN" w:bidi="ar-SA"/>
              </w:rPr>
              <w:t>探索</w:t>
            </w:r>
          </w:p>
        </w:tc>
        <w:tc>
          <w:tcPr>
            <w:tcW w:w="361" w:type="pct"/>
            <w:noWrap w:val="0"/>
            <w:vAlign w:val="center"/>
          </w:tcPr>
          <w:p w14:paraId="61C1242E">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实施</w:t>
            </w:r>
          </w:p>
        </w:tc>
        <w:tc>
          <w:tcPr>
            <w:tcW w:w="381" w:type="pct"/>
            <w:noWrap w:val="0"/>
            <w:vAlign w:val="center"/>
          </w:tcPr>
          <w:p w14:paraId="3799C276">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实施</w:t>
            </w:r>
          </w:p>
        </w:tc>
        <w:tc>
          <w:tcPr>
            <w:tcW w:w="357" w:type="pct"/>
            <w:noWrap w:val="0"/>
            <w:vAlign w:val="center"/>
          </w:tcPr>
          <w:p w14:paraId="402FDC58">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实施</w:t>
            </w:r>
          </w:p>
        </w:tc>
        <w:tc>
          <w:tcPr>
            <w:tcW w:w="1276" w:type="pct"/>
            <w:noWrap w:val="0"/>
            <w:vAlign w:val="center"/>
          </w:tcPr>
          <w:p w14:paraId="13E6556E">
            <w:pPr>
              <w:spacing w:line="260" w:lineRule="exact"/>
              <w:ind w:firstLine="420" w:firstLineChars="200"/>
              <w:jc w:val="left"/>
              <w:rPr>
                <w:rFonts w:hint="default" w:ascii="Times New Roman" w:hAnsi="Times New Roman" w:eastAsia="仿宋" w:cs="Times New Roman"/>
                <w:color w:val="auto"/>
                <w:sz w:val="21"/>
                <w:szCs w:val="21"/>
                <w:lang w:val="en-US" w:eastAsia="zh-CN"/>
              </w:rPr>
            </w:pPr>
            <w:r>
              <w:rPr>
                <w:rFonts w:hint="default" w:ascii="Times New Roman" w:hAnsi="Times New Roman" w:eastAsia="仿宋" w:cs="Times New Roman"/>
                <w:color w:val="auto"/>
                <w:sz w:val="21"/>
                <w:szCs w:val="21"/>
                <w:lang w:val="en-US" w:eastAsia="zh-CN"/>
              </w:rPr>
              <w:t>2020年</w:t>
            </w:r>
            <w:r>
              <w:rPr>
                <w:rFonts w:hint="eastAsia" w:ascii="Times New Roman" w:hAnsi="Times New Roman" w:eastAsia="仿宋" w:cs="Times New Roman"/>
                <w:color w:val="auto"/>
                <w:sz w:val="21"/>
                <w:szCs w:val="21"/>
                <w:lang w:val="en-US" w:eastAsia="zh-CN"/>
              </w:rPr>
              <w:t>新平县</w:t>
            </w:r>
            <w:r>
              <w:rPr>
                <w:rFonts w:hint="default" w:ascii="Times New Roman" w:hAnsi="Times New Roman" w:eastAsia="仿宋" w:cs="Times New Roman"/>
                <w:color w:val="auto"/>
                <w:sz w:val="21"/>
                <w:szCs w:val="21"/>
                <w:lang w:val="en-US" w:eastAsia="zh-CN"/>
              </w:rPr>
              <w:t>人民政府办公室印发了《</w:t>
            </w:r>
            <w:r>
              <w:rPr>
                <w:rFonts w:hint="eastAsia" w:ascii="Times New Roman" w:hAnsi="Times New Roman" w:eastAsia="仿宋" w:cs="Times New Roman"/>
                <w:color w:val="auto"/>
                <w:sz w:val="21"/>
                <w:szCs w:val="21"/>
                <w:lang w:val="en-US" w:eastAsia="zh-CN"/>
              </w:rPr>
              <w:t>新平县城市</w:t>
            </w:r>
            <w:r>
              <w:rPr>
                <w:rFonts w:hint="default" w:ascii="Times New Roman" w:hAnsi="Times New Roman" w:eastAsia="仿宋" w:cs="Times New Roman"/>
                <w:color w:val="auto"/>
                <w:sz w:val="21"/>
                <w:szCs w:val="21"/>
                <w:lang w:val="en-US" w:eastAsia="zh-CN"/>
              </w:rPr>
              <w:t>生活垃圾分类实施方案》（</w:t>
            </w:r>
            <w:r>
              <w:rPr>
                <w:rFonts w:hint="eastAsia" w:ascii="Times New Roman" w:hAnsi="Times New Roman" w:eastAsia="仿宋" w:cs="Times New Roman"/>
                <w:color w:val="auto"/>
                <w:sz w:val="21"/>
                <w:szCs w:val="21"/>
                <w:lang w:val="en-US" w:eastAsia="zh-CN"/>
              </w:rPr>
              <w:t>新</w:t>
            </w:r>
            <w:r>
              <w:rPr>
                <w:rFonts w:hint="default" w:ascii="Times New Roman" w:hAnsi="Times New Roman" w:eastAsia="仿宋" w:cs="Times New Roman"/>
                <w:color w:val="auto"/>
                <w:sz w:val="21"/>
                <w:szCs w:val="21"/>
                <w:lang w:val="en-US" w:eastAsia="zh-CN"/>
              </w:rPr>
              <w:t>政办发〔2020〕</w:t>
            </w:r>
            <w:r>
              <w:rPr>
                <w:rFonts w:hint="eastAsia" w:ascii="Times New Roman" w:hAnsi="Times New Roman" w:eastAsia="仿宋" w:cs="Times New Roman"/>
                <w:color w:val="auto"/>
                <w:sz w:val="21"/>
                <w:szCs w:val="21"/>
                <w:lang w:val="en-US" w:eastAsia="zh-CN"/>
              </w:rPr>
              <w:t>28</w:t>
            </w:r>
            <w:r>
              <w:rPr>
                <w:rFonts w:hint="default" w:ascii="Times New Roman" w:hAnsi="Times New Roman" w:eastAsia="仿宋" w:cs="Times New Roman"/>
                <w:color w:val="auto"/>
                <w:sz w:val="21"/>
                <w:szCs w:val="21"/>
                <w:lang w:val="en-US" w:eastAsia="zh-CN"/>
              </w:rPr>
              <w:t>号），建立健全垃圾分类制度，配套完善分类投放、分类收集、分类运输、分类处置设施，引导全民参与垃圾分类减量化行动。</w:t>
            </w:r>
          </w:p>
        </w:tc>
      </w:tr>
      <w:tr w14:paraId="4419B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05" w:type="pct"/>
            <w:vMerge w:val="continue"/>
            <w:noWrap w:val="0"/>
            <w:vAlign w:val="center"/>
          </w:tcPr>
          <w:p w14:paraId="789EF981">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212" w:type="pct"/>
            <w:vMerge w:val="continue"/>
            <w:noWrap w:val="0"/>
            <w:vAlign w:val="center"/>
          </w:tcPr>
          <w:p w14:paraId="7135DC99">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102" w:type="pct"/>
            <w:noWrap w:val="0"/>
            <w:vAlign w:val="center"/>
          </w:tcPr>
          <w:p w14:paraId="7C282F2D">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36</w:t>
            </w:r>
          </w:p>
        </w:tc>
        <w:tc>
          <w:tcPr>
            <w:tcW w:w="678" w:type="pct"/>
            <w:gridSpan w:val="4"/>
            <w:noWrap w:val="0"/>
            <w:vAlign w:val="center"/>
          </w:tcPr>
          <w:p w14:paraId="3BCF4056">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政府绿色采购比例</w:t>
            </w:r>
          </w:p>
        </w:tc>
        <w:tc>
          <w:tcPr>
            <w:tcW w:w="192" w:type="pct"/>
            <w:noWrap w:val="0"/>
            <w:vAlign w:val="center"/>
          </w:tcPr>
          <w:p w14:paraId="1D0274DF">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w:t>
            </w:r>
          </w:p>
        </w:tc>
        <w:tc>
          <w:tcPr>
            <w:tcW w:w="321" w:type="pct"/>
            <w:noWrap w:val="0"/>
            <w:vAlign w:val="center"/>
          </w:tcPr>
          <w:p w14:paraId="02E67C47">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≥80</w:t>
            </w:r>
          </w:p>
        </w:tc>
        <w:tc>
          <w:tcPr>
            <w:tcW w:w="322" w:type="pct"/>
            <w:noWrap w:val="0"/>
            <w:vAlign w:val="center"/>
          </w:tcPr>
          <w:p w14:paraId="1AE2194E">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≥95</w:t>
            </w:r>
          </w:p>
        </w:tc>
        <w:tc>
          <w:tcPr>
            <w:tcW w:w="320" w:type="pct"/>
            <w:noWrap w:val="0"/>
            <w:vAlign w:val="center"/>
          </w:tcPr>
          <w:p w14:paraId="032610AF">
            <w:pPr>
              <w:spacing w:line="260" w:lineRule="exact"/>
              <w:jc w:val="center"/>
              <w:rPr>
                <w:rFonts w:hint="eastAsia" w:ascii="Times New Roman" w:hAnsi="Times New Roman" w:eastAsia="仿宋" w:cs="Times New Roman"/>
                <w:color w:val="auto"/>
                <w:kern w:val="2"/>
                <w:sz w:val="21"/>
                <w:szCs w:val="21"/>
                <w:lang w:val="en-US" w:eastAsia="zh-CN" w:bidi="ar-SA"/>
              </w:rPr>
            </w:pPr>
            <w:r>
              <w:rPr>
                <w:rFonts w:hint="eastAsia" w:ascii="Times New Roman" w:hAnsi="Times New Roman" w:eastAsia="仿宋" w:cs="Times New Roman"/>
                <w:color w:val="auto"/>
                <w:kern w:val="2"/>
                <w:sz w:val="21"/>
                <w:szCs w:val="21"/>
                <w:lang w:val="en-US" w:eastAsia="zh-CN" w:bidi="ar-SA"/>
              </w:rPr>
              <w:t>/</w:t>
            </w:r>
          </w:p>
        </w:tc>
        <w:tc>
          <w:tcPr>
            <w:tcW w:w="367" w:type="pct"/>
            <w:noWrap w:val="0"/>
            <w:vAlign w:val="center"/>
          </w:tcPr>
          <w:p w14:paraId="51A25CC8">
            <w:pPr>
              <w:spacing w:line="260" w:lineRule="exact"/>
              <w:jc w:val="center"/>
              <w:rPr>
                <w:rFonts w:hint="eastAsia" w:ascii="Times New Roman" w:hAnsi="Times New Roman" w:eastAsia="仿宋" w:cs="Times New Roman"/>
                <w:color w:val="auto"/>
                <w:kern w:val="2"/>
                <w:sz w:val="21"/>
                <w:szCs w:val="21"/>
                <w:lang w:val="en-US" w:eastAsia="zh-CN" w:bidi="ar-SA"/>
              </w:rPr>
            </w:pPr>
            <w:r>
              <w:rPr>
                <w:rFonts w:hint="eastAsia" w:ascii="Times New Roman" w:hAnsi="Times New Roman" w:eastAsia="仿宋" w:cs="Times New Roman"/>
                <w:color w:val="auto"/>
                <w:kern w:val="2"/>
                <w:sz w:val="21"/>
                <w:szCs w:val="21"/>
                <w:lang w:val="en-US" w:eastAsia="zh-CN" w:bidi="ar-SA"/>
              </w:rPr>
              <w:t>/</w:t>
            </w:r>
          </w:p>
        </w:tc>
        <w:tc>
          <w:tcPr>
            <w:tcW w:w="361" w:type="pct"/>
            <w:noWrap w:val="0"/>
            <w:vAlign w:val="center"/>
          </w:tcPr>
          <w:p w14:paraId="0BB4CC37">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eastAsia" w:ascii="Times New Roman" w:hAnsi="Times New Roman" w:eastAsia="仿宋" w:cs="Times New Roman"/>
                <w:color w:val="auto"/>
                <w:kern w:val="2"/>
                <w:sz w:val="21"/>
                <w:szCs w:val="21"/>
                <w:lang w:val="en-US" w:eastAsia="zh-CN" w:bidi="ar-SA"/>
              </w:rPr>
              <w:t>97.9</w:t>
            </w:r>
          </w:p>
        </w:tc>
        <w:tc>
          <w:tcPr>
            <w:tcW w:w="381" w:type="pct"/>
            <w:noWrap w:val="0"/>
            <w:vAlign w:val="center"/>
          </w:tcPr>
          <w:p w14:paraId="27E05D8B">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eastAsia" w:ascii="Times New Roman" w:hAnsi="Times New Roman" w:eastAsia="仿宋" w:cs="Times New Roman"/>
                <w:color w:val="auto"/>
                <w:kern w:val="2"/>
                <w:sz w:val="21"/>
                <w:szCs w:val="21"/>
                <w:lang w:val="en-US" w:eastAsia="zh-CN" w:bidi="ar-SA"/>
              </w:rPr>
              <w:t>97.96</w:t>
            </w:r>
          </w:p>
        </w:tc>
        <w:tc>
          <w:tcPr>
            <w:tcW w:w="357" w:type="pct"/>
            <w:noWrap w:val="0"/>
            <w:vAlign w:val="center"/>
          </w:tcPr>
          <w:p w14:paraId="05E0FDC3">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eastAsia" w:ascii="Times New Roman" w:hAnsi="Times New Roman" w:eastAsia="仿宋" w:cs="Times New Roman"/>
                <w:color w:val="auto"/>
                <w:kern w:val="2"/>
                <w:sz w:val="21"/>
                <w:szCs w:val="21"/>
                <w:lang w:val="en-US" w:eastAsia="zh-CN" w:bidi="ar-SA"/>
              </w:rPr>
              <w:t>99.89</w:t>
            </w:r>
          </w:p>
        </w:tc>
        <w:tc>
          <w:tcPr>
            <w:tcW w:w="1276" w:type="pct"/>
            <w:noWrap w:val="0"/>
            <w:vAlign w:val="center"/>
          </w:tcPr>
          <w:p w14:paraId="0CEA471E">
            <w:pPr>
              <w:pStyle w:val="160"/>
              <w:spacing w:line="260" w:lineRule="exact"/>
              <w:ind w:firstLine="0" w:firstLineChars="0"/>
              <w:jc w:val="left"/>
              <w:rPr>
                <w:rFonts w:hint="default" w:ascii="Times New Roman" w:hAnsi="Times New Roman" w:eastAsia="宋体" w:cs="Times New Roman"/>
                <w:color w:val="auto"/>
                <w:kern w:val="0"/>
                <w:sz w:val="21"/>
                <w:szCs w:val="21"/>
                <w:highlight w:val="none"/>
              </w:rPr>
            </w:pPr>
            <w:r>
              <w:rPr>
                <w:rFonts w:hint="default" w:ascii="Times New Roman" w:hAnsi="Times New Roman" w:eastAsia="仿宋" w:cs="Times New Roman"/>
                <w:color w:val="auto"/>
                <w:kern w:val="2"/>
                <w:sz w:val="21"/>
                <w:szCs w:val="21"/>
                <w:lang w:val="en-US" w:eastAsia="zh-CN" w:bidi="ar-SA"/>
              </w:rPr>
              <w:t>根据</w:t>
            </w:r>
            <w:r>
              <w:rPr>
                <w:rFonts w:hint="eastAsia" w:ascii="Times New Roman" w:hAnsi="Times New Roman" w:eastAsia="仿宋" w:cs="Times New Roman"/>
                <w:color w:val="auto"/>
                <w:kern w:val="2"/>
                <w:sz w:val="21"/>
                <w:szCs w:val="21"/>
                <w:lang w:val="en-US" w:eastAsia="zh-CN" w:bidi="ar-SA"/>
              </w:rPr>
              <w:t>新平县</w:t>
            </w:r>
            <w:r>
              <w:rPr>
                <w:rFonts w:hint="default" w:ascii="Times New Roman" w:hAnsi="Times New Roman" w:eastAsia="仿宋" w:cs="Times New Roman"/>
                <w:color w:val="auto"/>
                <w:kern w:val="2"/>
                <w:sz w:val="21"/>
                <w:szCs w:val="21"/>
                <w:lang w:val="en-US" w:eastAsia="zh-CN" w:bidi="ar-SA"/>
              </w:rPr>
              <w:t>政府采购信息统计报表获得政府绿色采购比例。</w:t>
            </w:r>
          </w:p>
        </w:tc>
      </w:tr>
      <w:tr w14:paraId="47973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05" w:type="pct"/>
            <w:vMerge w:val="restart"/>
            <w:noWrap w:val="0"/>
            <w:vAlign w:val="center"/>
          </w:tcPr>
          <w:p w14:paraId="4268CE7C">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生态文化</w:t>
            </w:r>
          </w:p>
        </w:tc>
        <w:tc>
          <w:tcPr>
            <w:tcW w:w="212" w:type="pct"/>
            <w:vMerge w:val="restart"/>
            <w:noWrap w:val="0"/>
            <w:vAlign w:val="center"/>
          </w:tcPr>
          <w:p w14:paraId="63C51133">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（十）</w:t>
            </w:r>
          </w:p>
          <w:p w14:paraId="71F0714E">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观念意识普及</w:t>
            </w:r>
          </w:p>
        </w:tc>
        <w:tc>
          <w:tcPr>
            <w:tcW w:w="102" w:type="pct"/>
            <w:noWrap w:val="0"/>
            <w:vAlign w:val="center"/>
          </w:tcPr>
          <w:p w14:paraId="0C2A2A86">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37</w:t>
            </w:r>
          </w:p>
        </w:tc>
        <w:tc>
          <w:tcPr>
            <w:tcW w:w="678" w:type="pct"/>
            <w:gridSpan w:val="4"/>
            <w:noWrap w:val="0"/>
            <w:vAlign w:val="center"/>
          </w:tcPr>
          <w:p w14:paraId="06E895D4">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党政领导干部参加生态文明培训的人数比例</w:t>
            </w:r>
          </w:p>
        </w:tc>
        <w:tc>
          <w:tcPr>
            <w:tcW w:w="192" w:type="pct"/>
            <w:noWrap w:val="0"/>
            <w:vAlign w:val="center"/>
          </w:tcPr>
          <w:p w14:paraId="7F885D27">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w:t>
            </w:r>
          </w:p>
        </w:tc>
        <w:tc>
          <w:tcPr>
            <w:tcW w:w="321" w:type="pct"/>
            <w:noWrap w:val="0"/>
            <w:vAlign w:val="center"/>
          </w:tcPr>
          <w:p w14:paraId="77FFA8C2">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100</w:t>
            </w:r>
          </w:p>
        </w:tc>
        <w:tc>
          <w:tcPr>
            <w:tcW w:w="322" w:type="pct"/>
            <w:noWrap w:val="0"/>
            <w:vAlign w:val="center"/>
          </w:tcPr>
          <w:p w14:paraId="7FD2D5CB">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100</w:t>
            </w:r>
          </w:p>
        </w:tc>
        <w:tc>
          <w:tcPr>
            <w:tcW w:w="320" w:type="pct"/>
            <w:noWrap w:val="0"/>
            <w:vAlign w:val="center"/>
          </w:tcPr>
          <w:p w14:paraId="0CC2663D">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100</w:t>
            </w:r>
          </w:p>
        </w:tc>
        <w:tc>
          <w:tcPr>
            <w:tcW w:w="367" w:type="pct"/>
            <w:noWrap w:val="0"/>
            <w:vAlign w:val="center"/>
          </w:tcPr>
          <w:p w14:paraId="0A0A77D6">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100</w:t>
            </w:r>
          </w:p>
        </w:tc>
        <w:tc>
          <w:tcPr>
            <w:tcW w:w="361" w:type="pct"/>
            <w:noWrap w:val="0"/>
            <w:vAlign w:val="center"/>
          </w:tcPr>
          <w:p w14:paraId="261839E0">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eastAsia" w:ascii="Times New Roman" w:hAnsi="Times New Roman" w:eastAsia="仿宋" w:cs="Times New Roman"/>
                <w:color w:val="auto"/>
                <w:kern w:val="2"/>
                <w:sz w:val="21"/>
                <w:szCs w:val="21"/>
                <w:lang w:val="en-US" w:eastAsia="zh-CN" w:bidi="ar-SA"/>
              </w:rPr>
              <w:t>100</w:t>
            </w:r>
          </w:p>
        </w:tc>
        <w:tc>
          <w:tcPr>
            <w:tcW w:w="381" w:type="pct"/>
            <w:noWrap w:val="0"/>
            <w:vAlign w:val="center"/>
          </w:tcPr>
          <w:p w14:paraId="03C2F26B">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eastAsia" w:ascii="Times New Roman" w:hAnsi="Times New Roman" w:eastAsia="仿宋" w:cs="Times New Roman"/>
                <w:color w:val="auto"/>
                <w:kern w:val="2"/>
                <w:sz w:val="21"/>
                <w:szCs w:val="21"/>
                <w:lang w:val="en-US" w:eastAsia="zh-CN" w:bidi="ar-SA"/>
              </w:rPr>
              <w:t>100</w:t>
            </w:r>
          </w:p>
        </w:tc>
        <w:tc>
          <w:tcPr>
            <w:tcW w:w="357" w:type="pct"/>
            <w:noWrap w:val="0"/>
            <w:vAlign w:val="center"/>
          </w:tcPr>
          <w:p w14:paraId="6885B7C1">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eastAsia" w:ascii="Times New Roman" w:hAnsi="Times New Roman" w:eastAsia="仿宋" w:cs="Times New Roman"/>
                <w:color w:val="auto"/>
                <w:kern w:val="2"/>
                <w:sz w:val="21"/>
                <w:szCs w:val="21"/>
                <w:lang w:val="en-US" w:eastAsia="zh-CN" w:bidi="ar-SA"/>
              </w:rPr>
              <w:t>100</w:t>
            </w:r>
          </w:p>
        </w:tc>
        <w:tc>
          <w:tcPr>
            <w:tcW w:w="1276" w:type="pct"/>
            <w:noWrap w:val="0"/>
            <w:vAlign w:val="center"/>
          </w:tcPr>
          <w:p w14:paraId="1F2F307E">
            <w:pPr>
              <w:pStyle w:val="160"/>
              <w:spacing w:line="260" w:lineRule="exact"/>
              <w:ind w:firstLine="0" w:firstLineChars="0"/>
              <w:jc w:val="left"/>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根据</w:t>
            </w:r>
            <w:r>
              <w:rPr>
                <w:rFonts w:hint="eastAsia" w:ascii="Times New Roman" w:hAnsi="Times New Roman" w:eastAsia="仿宋" w:cs="Times New Roman"/>
                <w:color w:val="auto"/>
                <w:kern w:val="2"/>
                <w:sz w:val="21"/>
                <w:szCs w:val="21"/>
                <w:lang w:val="en-US" w:eastAsia="zh-CN" w:bidi="ar-SA"/>
              </w:rPr>
              <w:t>新平县</w:t>
            </w:r>
            <w:r>
              <w:rPr>
                <w:rFonts w:hint="default" w:ascii="Times New Roman" w:hAnsi="Times New Roman" w:eastAsia="仿宋" w:cs="Times New Roman"/>
                <w:color w:val="auto"/>
                <w:kern w:val="2"/>
                <w:sz w:val="21"/>
                <w:szCs w:val="21"/>
                <w:lang w:val="en-US" w:eastAsia="zh-CN" w:bidi="ar-SA"/>
              </w:rPr>
              <w:t>委组织部提供的2017</w:t>
            </w:r>
            <w:r>
              <w:rPr>
                <w:rFonts w:hint="eastAsia" w:ascii="Times New Roman" w:hAnsi="Times New Roman" w:eastAsia="仿宋" w:cs="Times New Roman"/>
                <w:color w:val="auto"/>
                <w:kern w:val="2"/>
                <w:sz w:val="21"/>
                <w:szCs w:val="21"/>
                <w:lang w:val="en-US" w:eastAsia="zh-CN" w:bidi="ar-SA"/>
              </w:rPr>
              <w:t>—</w:t>
            </w:r>
            <w:r>
              <w:rPr>
                <w:rFonts w:hint="default" w:ascii="Times New Roman" w:hAnsi="Times New Roman" w:eastAsia="仿宋" w:cs="Times New Roman"/>
                <w:color w:val="auto"/>
                <w:kern w:val="2"/>
                <w:sz w:val="21"/>
                <w:szCs w:val="21"/>
                <w:lang w:val="en-US" w:eastAsia="zh-CN" w:bidi="ar-SA"/>
              </w:rPr>
              <w:t>2021年副科级以上在职党政领导干部花名册以及生态文明培训通知、学员手册、培训人数和在线学习统计情况，计算得党政领导干部参加生态文明培训的人数比例为100%。</w:t>
            </w:r>
          </w:p>
        </w:tc>
      </w:tr>
      <w:tr w14:paraId="7295A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05" w:type="pct"/>
            <w:vMerge w:val="continue"/>
            <w:noWrap w:val="0"/>
            <w:vAlign w:val="center"/>
          </w:tcPr>
          <w:p w14:paraId="70721A8E">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212" w:type="pct"/>
            <w:vMerge w:val="continue"/>
            <w:noWrap w:val="0"/>
            <w:vAlign w:val="center"/>
          </w:tcPr>
          <w:p w14:paraId="1EC825BA">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102" w:type="pct"/>
            <w:noWrap w:val="0"/>
            <w:vAlign w:val="center"/>
          </w:tcPr>
          <w:p w14:paraId="5E3F5D5B">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38</w:t>
            </w:r>
          </w:p>
        </w:tc>
        <w:tc>
          <w:tcPr>
            <w:tcW w:w="678" w:type="pct"/>
            <w:gridSpan w:val="4"/>
            <w:noWrap w:val="0"/>
            <w:vAlign w:val="center"/>
          </w:tcPr>
          <w:p w14:paraId="38DF4DA0">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公众对生态文明建设的满意度</w:t>
            </w:r>
          </w:p>
        </w:tc>
        <w:tc>
          <w:tcPr>
            <w:tcW w:w="192" w:type="pct"/>
            <w:noWrap w:val="0"/>
            <w:vAlign w:val="center"/>
          </w:tcPr>
          <w:p w14:paraId="537DF325">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w:t>
            </w:r>
          </w:p>
        </w:tc>
        <w:tc>
          <w:tcPr>
            <w:tcW w:w="321" w:type="pct"/>
            <w:noWrap w:val="0"/>
            <w:vAlign w:val="center"/>
          </w:tcPr>
          <w:p w14:paraId="53B29DD9">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≥80</w:t>
            </w:r>
          </w:p>
        </w:tc>
        <w:tc>
          <w:tcPr>
            <w:tcW w:w="322" w:type="pct"/>
            <w:noWrap w:val="0"/>
            <w:vAlign w:val="center"/>
          </w:tcPr>
          <w:p w14:paraId="6158DFE3">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≥80</w:t>
            </w:r>
          </w:p>
        </w:tc>
        <w:tc>
          <w:tcPr>
            <w:tcW w:w="320" w:type="pct"/>
            <w:noWrap w:val="0"/>
            <w:vAlign w:val="center"/>
          </w:tcPr>
          <w:p w14:paraId="51C36554">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eastAsia" w:ascii="Times New Roman" w:hAnsi="Times New Roman" w:eastAsia="仿宋" w:cs="Times New Roman"/>
                <w:color w:val="auto"/>
                <w:kern w:val="2"/>
                <w:sz w:val="21"/>
                <w:szCs w:val="21"/>
                <w:lang w:val="en-US" w:eastAsia="zh-CN" w:bidi="ar-SA"/>
              </w:rPr>
              <w:t>未调查</w:t>
            </w:r>
          </w:p>
        </w:tc>
        <w:tc>
          <w:tcPr>
            <w:tcW w:w="367" w:type="pct"/>
            <w:noWrap w:val="0"/>
            <w:vAlign w:val="center"/>
          </w:tcPr>
          <w:p w14:paraId="4726F00E">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eastAsia" w:ascii="Times New Roman" w:hAnsi="Times New Roman" w:eastAsia="仿宋" w:cs="Times New Roman"/>
                <w:color w:val="auto"/>
                <w:kern w:val="2"/>
                <w:sz w:val="21"/>
                <w:szCs w:val="21"/>
                <w:lang w:val="en-US" w:eastAsia="zh-CN" w:bidi="ar-SA"/>
              </w:rPr>
              <w:t>未调查</w:t>
            </w:r>
          </w:p>
        </w:tc>
        <w:tc>
          <w:tcPr>
            <w:tcW w:w="361" w:type="pct"/>
            <w:noWrap w:val="0"/>
            <w:vAlign w:val="center"/>
          </w:tcPr>
          <w:p w14:paraId="6242EE2D">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84.5</w:t>
            </w:r>
          </w:p>
        </w:tc>
        <w:tc>
          <w:tcPr>
            <w:tcW w:w="381" w:type="pct"/>
            <w:noWrap w:val="0"/>
            <w:vAlign w:val="center"/>
          </w:tcPr>
          <w:p w14:paraId="788EE508">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86</w:t>
            </w:r>
          </w:p>
        </w:tc>
        <w:tc>
          <w:tcPr>
            <w:tcW w:w="357" w:type="pct"/>
            <w:noWrap w:val="0"/>
            <w:vAlign w:val="center"/>
          </w:tcPr>
          <w:p w14:paraId="77AAE89F">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88.3</w:t>
            </w:r>
          </w:p>
        </w:tc>
        <w:tc>
          <w:tcPr>
            <w:tcW w:w="1276" w:type="pct"/>
            <w:noWrap w:val="0"/>
            <w:vAlign w:val="center"/>
          </w:tcPr>
          <w:p w14:paraId="652D4597">
            <w:pPr>
              <w:spacing w:line="260" w:lineRule="exact"/>
              <w:jc w:val="left"/>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根据2019</w:t>
            </w:r>
            <w:r>
              <w:rPr>
                <w:rFonts w:hint="eastAsia" w:ascii="Times New Roman" w:hAnsi="Times New Roman" w:eastAsia="仿宋" w:cs="Times New Roman"/>
                <w:color w:val="auto"/>
                <w:kern w:val="2"/>
                <w:sz w:val="21"/>
                <w:szCs w:val="21"/>
                <w:lang w:val="en-US" w:eastAsia="zh-CN" w:bidi="ar-SA"/>
              </w:rPr>
              <w:t>—</w:t>
            </w:r>
            <w:r>
              <w:rPr>
                <w:rFonts w:hint="default" w:ascii="Times New Roman" w:hAnsi="Times New Roman" w:eastAsia="仿宋" w:cs="Times New Roman"/>
                <w:color w:val="auto"/>
                <w:kern w:val="2"/>
                <w:sz w:val="21"/>
                <w:szCs w:val="21"/>
                <w:lang w:val="en-US" w:eastAsia="zh-CN" w:bidi="ar-SA"/>
              </w:rPr>
              <w:t>2021年</w:t>
            </w:r>
            <w:r>
              <w:rPr>
                <w:rFonts w:hint="eastAsia" w:ascii="Times New Roman" w:hAnsi="Times New Roman" w:eastAsia="仿宋" w:cs="Times New Roman"/>
                <w:color w:val="auto"/>
                <w:kern w:val="2"/>
                <w:sz w:val="21"/>
                <w:szCs w:val="21"/>
                <w:lang w:val="en-US" w:eastAsia="zh-CN" w:bidi="ar-SA"/>
              </w:rPr>
              <w:t>新平县</w:t>
            </w:r>
            <w:r>
              <w:rPr>
                <w:rFonts w:hint="default" w:ascii="Times New Roman" w:hAnsi="Times New Roman" w:eastAsia="仿宋" w:cs="Times New Roman"/>
                <w:color w:val="auto"/>
                <w:kern w:val="2"/>
                <w:sz w:val="21"/>
                <w:szCs w:val="21"/>
                <w:lang w:val="en-US" w:eastAsia="zh-CN" w:bidi="ar-SA"/>
              </w:rPr>
              <w:t>公众对生态文明建设满意度调查抽样方案及调查报告统计数据。</w:t>
            </w:r>
          </w:p>
        </w:tc>
      </w:tr>
      <w:tr w14:paraId="243FD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105" w:type="pct"/>
            <w:vMerge w:val="continue"/>
            <w:noWrap w:val="0"/>
            <w:vAlign w:val="center"/>
          </w:tcPr>
          <w:p w14:paraId="50A98318">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212" w:type="pct"/>
            <w:vMerge w:val="continue"/>
            <w:noWrap w:val="0"/>
            <w:vAlign w:val="center"/>
          </w:tcPr>
          <w:p w14:paraId="4EA00483">
            <w:pPr>
              <w:spacing w:line="260" w:lineRule="exact"/>
              <w:jc w:val="center"/>
              <w:rPr>
                <w:rFonts w:hint="default" w:ascii="Times New Roman" w:hAnsi="Times New Roman" w:eastAsia="仿宋" w:cs="Times New Roman"/>
                <w:color w:val="auto"/>
                <w:kern w:val="2"/>
                <w:sz w:val="21"/>
                <w:szCs w:val="21"/>
                <w:lang w:val="en-US" w:eastAsia="zh-CN" w:bidi="ar-SA"/>
              </w:rPr>
            </w:pPr>
          </w:p>
        </w:tc>
        <w:tc>
          <w:tcPr>
            <w:tcW w:w="102" w:type="pct"/>
            <w:noWrap w:val="0"/>
            <w:vAlign w:val="center"/>
          </w:tcPr>
          <w:p w14:paraId="6E629496">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39</w:t>
            </w:r>
          </w:p>
        </w:tc>
        <w:tc>
          <w:tcPr>
            <w:tcW w:w="678" w:type="pct"/>
            <w:gridSpan w:val="4"/>
            <w:noWrap w:val="0"/>
            <w:vAlign w:val="center"/>
          </w:tcPr>
          <w:p w14:paraId="39237B42">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公众对生态文明建设的参与度</w:t>
            </w:r>
          </w:p>
        </w:tc>
        <w:tc>
          <w:tcPr>
            <w:tcW w:w="192" w:type="pct"/>
            <w:noWrap w:val="0"/>
            <w:vAlign w:val="center"/>
          </w:tcPr>
          <w:p w14:paraId="09E57235">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w:t>
            </w:r>
          </w:p>
        </w:tc>
        <w:tc>
          <w:tcPr>
            <w:tcW w:w="321" w:type="pct"/>
            <w:noWrap w:val="0"/>
            <w:vAlign w:val="center"/>
          </w:tcPr>
          <w:p w14:paraId="7B039325">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≥80</w:t>
            </w:r>
          </w:p>
        </w:tc>
        <w:tc>
          <w:tcPr>
            <w:tcW w:w="322" w:type="pct"/>
            <w:noWrap w:val="0"/>
            <w:vAlign w:val="center"/>
          </w:tcPr>
          <w:p w14:paraId="136B5217">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≥80</w:t>
            </w:r>
          </w:p>
        </w:tc>
        <w:tc>
          <w:tcPr>
            <w:tcW w:w="320" w:type="pct"/>
            <w:noWrap w:val="0"/>
            <w:vAlign w:val="center"/>
          </w:tcPr>
          <w:p w14:paraId="009F925E">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eastAsia" w:ascii="Times New Roman" w:hAnsi="Times New Roman" w:eastAsia="仿宋" w:cs="Times New Roman"/>
                <w:color w:val="auto"/>
                <w:kern w:val="2"/>
                <w:sz w:val="21"/>
                <w:szCs w:val="21"/>
                <w:lang w:val="en-US" w:eastAsia="zh-CN" w:bidi="ar-SA"/>
              </w:rPr>
              <w:t>未调查</w:t>
            </w:r>
          </w:p>
        </w:tc>
        <w:tc>
          <w:tcPr>
            <w:tcW w:w="367" w:type="pct"/>
            <w:noWrap w:val="0"/>
            <w:vAlign w:val="center"/>
          </w:tcPr>
          <w:p w14:paraId="563992E9">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eastAsia" w:ascii="Times New Roman" w:hAnsi="Times New Roman" w:eastAsia="仿宋" w:cs="Times New Roman"/>
                <w:color w:val="auto"/>
                <w:kern w:val="2"/>
                <w:sz w:val="21"/>
                <w:szCs w:val="21"/>
                <w:lang w:val="en-US" w:eastAsia="zh-CN" w:bidi="ar-SA"/>
              </w:rPr>
              <w:t>未调查</w:t>
            </w:r>
          </w:p>
        </w:tc>
        <w:tc>
          <w:tcPr>
            <w:tcW w:w="361" w:type="pct"/>
            <w:noWrap w:val="0"/>
            <w:vAlign w:val="center"/>
          </w:tcPr>
          <w:p w14:paraId="0C76FFE0">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82.</w:t>
            </w:r>
            <w:r>
              <w:rPr>
                <w:rFonts w:hint="eastAsia" w:ascii="Times New Roman" w:hAnsi="Times New Roman" w:eastAsia="仿宋" w:cs="Times New Roman"/>
                <w:color w:val="auto"/>
                <w:kern w:val="2"/>
                <w:sz w:val="21"/>
                <w:szCs w:val="21"/>
                <w:lang w:val="en-US" w:eastAsia="zh-CN" w:bidi="ar-SA"/>
              </w:rPr>
              <w:t>3</w:t>
            </w:r>
          </w:p>
        </w:tc>
        <w:tc>
          <w:tcPr>
            <w:tcW w:w="381" w:type="pct"/>
            <w:noWrap w:val="0"/>
            <w:vAlign w:val="center"/>
          </w:tcPr>
          <w:p w14:paraId="0367EDD4">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84.6</w:t>
            </w:r>
          </w:p>
        </w:tc>
        <w:tc>
          <w:tcPr>
            <w:tcW w:w="357" w:type="pct"/>
            <w:noWrap w:val="0"/>
            <w:vAlign w:val="center"/>
          </w:tcPr>
          <w:p w14:paraId="054648BB">
            <w:pPr>
              <w:spacing w:line="260" w:lineRule="exact"/>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85</w:t>
            </w:r>
          </w:p>
        </w:tc>
        <w:tc>
          <w:tcPr>
            <w:tcW w:w="1276" w:type="pct"/>
            <w:noWrap w:val="0"/>
            <w:vAlign w:val="center"/>
          </w:tcPr>
          <w:p w14:paraId="72689C04">
            <w:pPr>
              <w:spacing w:line="260" w:lineRule="exact"/>
              <w:jc w:val="left"/>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根据2019</w:t>
            </w:r>
            <w:r>
              <w:rPr>
                <w:rFonts w:hint="eastAsia" w:ascii="Times New Roman" w:hAnsi="Times New Roman" w:eastAsia="仿宋" w:cs="Times New Roman"/>
                <w:color w:val="auto"/>
                <w:kern w:val="2"/>
                <w:sz w:val="21"/>
                <w:szCs w:val="21"/>
                <w:lang w:val="en-US" w:eastAsia="zh-CN" w:bidi="ar-SA"/>
              </w:rPr>
              <w:t>—</w:t>
            </w:r>
            <w:r>
              <w:rPr>
                <w:rFonts w:hint="default" w:ascii="Times New Roman" w:hAnsi="Times New Roman" w:eastAsia="仿宋" w:cs="Times New Roman"/>
                <w:color w:val="auto"/>
                <w:kern w:val="2"/>
                <w:sz w:val="21"/>
                <w:szCs w:val="21"/>
                <w:lang w:val="en-US" w:eastAsia="zh-CN" w:bidi="ar-SA"/>
              </w:rPr>
              <w:t>2021年</w:t>
            </w:r>
            <w:r>
              <w:rPr>
                <w:rFonts w:hint="eastAsia" w:ascii="Times New Roman" w:hAnsi="Times New Roman" w:eastAsia="仿宋" w:cs="Times New Roman"/>
                <w:color w:val="auto"/>
                <w:kern w:val="2"/>
                <w:sz w:val="21"/>
                <w:szCs w:val="21"/>
                <w:lang w:val="en-US" w:eastAsia="zh-CN" w:bidi="ar-SA"/>
              </w:rPr>
              <w:t>新平县</w:t>
            </w:r>
            <w:r>
              <w:rPr>
                <w:rFonts w:hint="default" w:ascii="Times New Roman" w:hAnsi="Times New Roman" w:eastAsia="仿宋" w:cs="Times New Roman"/>
                <w:color w:val="auto"/>
                <w:kern w:val="2"/>
                <w:sz w:val="21"/>
                <w:szCs w:val="21"/>
                <w:lang w:val="en-US" w:eastAsia="zh-CN" w:bidi="ar-SA"/>
              </w:rPr>
              <w:t>公众对生态文明建设满意度抽样方案及调查报告统计数据。</w:t>
            </w:r>
          </w:p>
        </w:tc>
      </w:tr>
    </w:tbl>
    <w:p w14:paraId="11BC7003">
      <w:pPr>
        <w:rPr>
          <w:rFonts w:ascii="Times New Roman" w:hAnsi="Times New Roman" w:eastAsia="仿宋" w:cs="Times New Roman"/>
          <w:color w:val="FF0000"/>
        </w:rPr>
        <w:sectPr>
          <w:pgSz w:w="16838" w:h="11906" w:orient="landscape"/>
          <w:pgMar w:top="1800" w:right="1440" w:bottom="1800" w:left="1440" w:header="851" w:footer="992" w:gutter="0"/>
          <w:pgNumType w:fmt="decimal"/>
          <w:cols w:space="425" w:num="1"/>
          <w:docGrid w:type="lines" w:linePitch="312" w:charSpace="0"/>
        </w:sectPr>
      </w:pPr>
    </w:p>
    <w:p w14:paraId="7075F28B">
      <w:pPr>
        <w:pStyle w:val="5"/>
        <w:pageBreakBefore w:val="0"/>
        <w:kinsoku/>
        <w:wordWrap/>
        <w:autoSpaceDE/>
        <w:autoSpaceDN/>
        <w:bidi w:val="0"/>
        <w:spacing w:before="120" w:after="120" w:line="500" w:lineRule="exact"/>
        <w:ind w:firstLine="0" w:firstLineChars="0"/>
        <w:textAlignment w:val="auto"/>
        <w:rPr>
          <w:rFonts w:hint="default" w:eastAsia="仿宋"/>
          <w:snapToGrid w:val="0"/>
          <w:color w:val="auto"/>
          <w:sz w:val="28"/>
          <w:szCs w:val="28"/>
          <w:lang w:val="en-US" w:eastAsia="zh-CN"/>
        </w:rPr>
      </w:pPr>
      <w:bookmarkStart w:id="227" w:name="_Toc9516116"/>
      <w:bookmarkStart w:id="228" w:name="_Toc88223194"/>
      <w:bookmarkStart w:id="229" w:name="_Toc514661268"/>
      <w:bookmarkStart w:id="230" w:name="_Toc103590104"/>
      <w:bookmarkStart w:id="231" w:name="_Toc35697774"/>
      <w:bookmarkStart w:id="232" w:name="_Toc538"/>
      <w:r>
        <w:rPr>
          <w:rFonts w:hint="default" w:eastAsia="仿宋"/>
          <w:snapToGrid w:val="0"/>
          <w:color w:val="auto"/>
          <w:sz w:val="28"/>
          <w:szCs w:val="28"/>
          <w:lang w:val="en-US" w:eastAsia="zh-CN"/>
        </w:rPr>
        <w:t>4.</w:t>
      </w:r>
      <w:r>
        <w:rPr>
          <w:rFonts w:hint="eastAsia" w:eastAsia="仿宋"/>
          <w:snapToGrid w:val="0"/>
          <w:color w:val="auto"/>
          <w:sz w:val="28"/>
          <w:szCs w:val="28"/>
          <w:lang w:val="en-US" w:eastAsia="zh-CN"/>
        </w:rPr>
        <w:t>7</w:t>
      </w:r>
      <w:r>
        <w:rPr>
          <w:rFonts w:hint="default" w:eastAsia="仿宋"/>
          <w:snapToGrid w:val="0"/>
          <w:color w:val="auto"/>
          <w:sz w:val="28"/>
          <w:szCs w:val="28"/>
          <w:lang w:val="en-US" w:eastAsia="zh-CN"/>
        </w:rPr>
        <w:t>.2指标目标及可达性分析</w:t>
      </w:r>
      <w:bookmarkEnd w:id="227"/>
      <w:bookmarkEnd w:id="228"/>
      <w:bookmarkEnd w:id="229"/>
      <w:bookmarkEnd w:id="230"/>
      <w:bookmarkEnd w:id="231"/>
      <w:bookmarkEnd w:id="232"/>
    </w:p>
    <w:p w14:paraId="17079F43">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根据《国家生态文明建设示范区建设指标（修订版）》《云南省省级生态文明建设示范区建设指标》（2022），国家生态文明建设示范区指标考核新平县的共有35项，35项指标中已达标</w:t>
      </w:r>
      <w:r>
        <w:rPr>
          <w:rFonts w:hint="eastAsia" w:ascii="Times New Roman" w:hAnsi="Times New Roman" w:eastAsia="方正仿宋_GBK" w:cs="方正仿宋_GBK"/>
          <w:b w:val="0"/>
          <w:bCs w:val="0"/>
          <w:color w:val="auto"/>
          <w:kern w:val="2"/>
          <w:sz w:val="28"/>
          <w:szCs w:val="28"/>
          <w:lang w:val="en-US" w:eastAsia="zh-CN" w:bidi="ar-SA"/>
        </w:rPr>
        <w:t>32</w:t>
      </w:r>
      <w:r>
        <w:rPr>
          <w:rFonts w:hint="default" w:ascii="Times New Roman" w:hAnsi="Times New Roman" w:eastAsia="方正仿宋_GBK" w:cs="方正仿宋_GBK"/>
          <w:b w:val="0"/>
          <w:bCs w:val="0"/>
          <w:color w:val="auto"/>
          <w:kern w:val="2"/>
          <w:sz w:val="28"/>
          <w:szCs w:val="28"/>
          <w:lang w:val="en-US" w:eastAsia="zh-CN" w:bidi="ar-SA"/>
        </w:rPr>
        <w:t>项，</w:t>
      </w:r>
      <w:r>
        <w:rPr>
          <w:rFonts w:hint="eastAsia" w:ascii="Times New Roman" w:hAnsi="Times New Roman" w:eastAsia="方正仿宋_GBK" w:cs="方正仿宋_GBK"/>
          <w:b w:val="0"/>
          <w:bCs w:val="0"/>
          <w:color w:val="auto"/>
          <w:kern w:val="2"/>
          <w:sz w:val="28"/>
          <w:szCs w:val="28"/>
          <w:lang w:val="en-US" w:eastAsia="zh-CN" w:bidi="ar-SA"/>
        </w:rPr>
        <w:t>其中</w:t>
      </w:r>
      <w:r>
        <w:rPr>
          <w:rFonts w:hint="default" w:ascii="Times New Roman" w:hAnsi="Times New Roman" w:eastAsia="方正仿宋_GBK" w:cs="方正仿宋_GBK"/>
          <w:b w:val="0"/>
          <w:bCs w:val="0"/>
          <w:color w:val="auto"/>
          <w:kern w:val="2"/>
          <w:sz w:val="28"/>
          <w:szCs w:val="28"/>
          <w:lang w:val="en-US" w:eastAsia="zh-CN" w:bidi="ar-SA"/>
        </w:rPr>
        <w:t>单位地区生产总值能耗</w:t>
      </w:r>
      <w:r>
        <w:rPr>
          <w:rFonts w:hint="eastAsia" w:ascii="Times New Roman" w:hAnsi="Times New Roman" w:eastAsia="方正仿宋_GBK" w:cs="方正仿宋_GBK"/>
          <w:b w:val="0"/>
          <w:bCs w:val="0"/>
          <w:color w:val="auto"/>
          <w:kern w:val="2"/>
          <w:sz w:val="28"/>
          <w:szCs w:val="28"/>
          <w:lang w:val="en-US" w:eastAsia="zh-CN" w:bidi="ar-SA"/>
        </w:rPr>
        <w:t>、农村生活污水治理率、农村饮用水水质合格率等3指标</w:t>
      </w:r>
      <w:r>
        <w:rPr>
          <w:rFonts w:hint="default" w:ascii="Times New Roman" w:hAnsi="Times New Roman" w:eastAsia="方正仿宋_GBK" w:cs="方正仿宋_GBK"/>
          <w:b w:val="0"/>
          <w:bCs w:val="0"/>
          <w:color w:val="auto"/>
          <w:kern w:val="2"/>
          <w:sz w:val="28"/>
          <w:szCs w:val="28"/>
          <w:lang w:val="en-US" w:eastAsia="zh-CN" w:bidi="ar-SA"/>
        </w:rPr>
        <w:t>不达标，达标率为</w:t>
      </w:r>
      <w:r>
        <w:rPr>
          <w:rFonts w:hint="eastAsia" w:ascii="Times New Roman" w:hAnsi="Times New Roman" w:eastAsia="方正仿宋_GBK" w:cs="方正仿宋_GBK"/>
          <w:b w:val="0"/>
          <w:bCs w:val="0"/>
          <w:color w:val="auto"/>
          <w:kern w:val="2"/>
          <w:sz w:val="28"/>
          <w:szCs w:val="28"/>
          <w:lang w:val="en-US" w:eastAsia="zh-CN" w:bidi="ar-SA"/>
        </w:rPr>
        <w:t>91.43</w:t>
      </w:r>
      <w:r>
        <w:rPr>
          <w:rFonts w:hint="default" w:ascii="Times New Roman" w:hAnsi="Times New Roman" w:eastAsia="方正仿宋_GBK" w:cs="方正仿宋_GBK"/>
          <w:b w:val="0"/>
          <w:bCs w:val="0"/>
          <w:color w:val="auto"/>
          <w:kern w:val="2"/>
          <w:sz w:val="28"/>
          <w:szCs w:val="28"/>
          <w:lang w:val="en-US" w:eastAsia="zh-CN" w:bidi="ar-SA"/>
        </w:rPr>
        <w:t>%；云南省省级生态文明建设示范区指标考核新平县的共有39项，39项指标中已达标</w:t>
      </w:r>
      <w:r>
        <w:rPr>
          <w:rFonts w:hint="eastAsia" w:ascii="Times New Roman" w:hAnsi="Times New Roman" w:eastAsia="方正仿宋_GBK" w:cs="方正仿宋_GBK"/>
          <w:b w:val="0"/>
          <w:bCs w:val="0"/>
          <w:color w:val="auto"/>
          <w:kern w:val="2"/>
          <w:sz w:val="28"/>
          <w:szCs w:val="28"/>
          <w:lang w:val="en-US" w:eastAsia="zh-CN" w:bidi="ar-SA"/>
        </w:rPr>
        <w:t>38</w:t>
      </w:r>
      <w:r>
        <w:rPr>
          <w:rFonts w:hint="default" w:ascii="Times New Roman" w:hAnsi="Times New Roman" w:eastAsia="方正仿宋_GBK" w:cs="方正仿宋_GBK"/>
          <w:b w:val="0"/>
          <w:bCs w:val="0"/>
          <w:color w:val="auto"/>
          <w:kern w:val="2"/>
          <w:sz w:val="28"/>
          <w:szCs w:val="28"/>
          <w:lang w:val="en-US" w:eastAsia="zh-CN" w:bidi="ar-SA"/>
        </w:rPr>
        <w:t>项，</w:t>
      </w:r>
      <w:r>
        <w:rPr>
          <w:rFonts w:hint="eastAsia" w:ascii="Times New Roman" w:hAnsi="Times New Roman" w:eastAsia="方正仿宋_GBK" w:cs="方正仿宋_GBK"/>
          <w:b w:val="0"/>
          <w:bCs w:val="0"/>
          <w:color w:val="auto"/>
          <w:kern w:val="2"/>
          <w:sz w:val="28"/>
          <w:szCs w:val="28"/>
          <w:lang w:val="en-US" w:eastAsia="zh-CN" w:bidi="ar-SA"/>
        </w:rPr>
        <w:t>其中</w:t>
      </w:r>
      <w:r>
        <w:rPr>
          <w:rFonts w:hint="default" w:ascii="Times New Roman" w:hAnsi="Times New Roman" w:eastAsia="方正仿宋_GBK" w:cs="方正仿宋_GBK"/>
          <w:b w:val="0"/>
          <w:bCs w:val="0"/>
          <w:color w:val="auto"/>
          <w:kern w:val="2"/>
          <w:sz w:val="28"/>
          <w:szCs w:val="28"/>
          <w:lang w:val="en-US" w:eastAsia="zh-CN" w:bidi="ar-SA"/>
        </w:rPr>
        <w:t>单位地区生产总值能耗</w:t>
      </w:r>
      <w:r>
        <w:rPr>
          <w:rFonts w:hint="eastAsia" w:ascii="Times New Roman" w:hAnsi="Times New Roman" w:eastAsia="方正仿宋_GBK" w:cs="方正仿宋_GBK"/>
          <w:b w:val="0"/>
          <w:bCs w:val="0"/>
          <w:color w:val="auto"/>
          <w:kern w:val="2"/>
          <w:sz w:val="28"/>
          <w:szCs w:val="28"/>
          <w:lang w:val="en-US" w:eastAsia="zh-CN" w:bidi="ar-SA"/>
        </w:rPr>
        <w:t>1</w:t>
      </w:r>
      <w:r>
        <w:rPr>
          <w:rFonts w:hint="default" w:ascii="Times New Roman" w:hAnsi="Times New Roman" w:eastAsia="方正仿宋_GBK" w:cs="方正仿宋_GBK"/>
          <w:b w:val="0"/>
          <w:bCs w:val="0"/>
          <w:color w:val="auto"/>
          <w:kern w:val="2"/>
          <w:sz w:val="28"/>
          <w:szCs w:val="28"/>
          <w:lang w:val="en-US" w:eastAsia="zh-CN" w:bidi="ar-SA"/>
        </w:rPr>
        <w:t>项</w:t>
      </w:r>
      <w:r>
        <w:rPr>
          <w:rFonts w:hint="eastAsia" w:ascii="Times New Roman" w:hAnsi="Times New Roman" w:eastAsia="方正仿宋_GBK" w:cs="方正仿宋_GBK"/>
          <w:b w:val="0"/>
          <w:bCs w:val="0"/>
          <w:color w:val="auto"/>
          <w:kern w:val="2"/>
          <w:sz w:val="28"/>
          <w:szCs w:val="28"/>
          <w:lang w:val="en-US" w:eastAsia="zh-CN" w:bidi="ar-SA"/>
        </w:rPr>
        <w:t>指标</w:t>
      </w:r>
      <w:r>
        <w:rPr>
          <w:rFonts w:hint="default" w:ascii="Times New Roman" w:hAnsi="Times New Roman" w:eastAsia="方正仿宋_GBK" w:cs="方正仿宋_GBK"/>
          <w:b w:val="0"/>
          <w:bCs w:val="0"/>
          <w:color w:val="auto"/>
          <w:kern w:val="2"/>
          <w:sz w:val="28"/>
          <w:szCs w:val="28"/>
          <w:lang w:val="en-US" w:eastAsia="zh-CN" w:bidi="ar-SA"/>
        </w:rPr>
        <w:t>不达标，达标率为</w:t>
      </w:r>
      <w:r>
        <w:rPr>
          <w:rFonts w:hint="eastAsia" w:ascii="Times New Roman" w:hAnsi="Times New Roman" w:eastAsia="方正仿宋_GBK" w:cs="方正仿宋_GBK"/>
          <w:b w:val="0"/>
          <w:bCs w:val="0"/>
          <w:color w:val="auto"/>
          <w:kern w:val="2"/>
          <w:sz w:val="28"/>
          <w:szCs w:val="28"/>
          <w:lang w:val="en-US" w:eastAsia="zh-CN" w:bidi="ar-SA"/>
        </w:rPr>
        <w:t>97.43</w:t>
      </w:r>
      <w:r>
        <w:rPr>
          <w:rFonts w:hint="default" w:ascii="Times New Roman" w:hAnsi="Times New Roman" w:eastAsia="方正仿宋_GBK" w:cs="方正仿宋_GBK"/>
          <w:b w:val="0"/>
          <w:bCs w:val="0"/>
          <w:color w:val="auto"/>
          <w:kern w:val="2"/>
          <w:sz w:val="28"/>
          <w:szCs w:val="28"/>
          <w:lang w:val="en-US" w:eastAsia="zh-CN" w:bidi="ar-SA"/>
        </w:rPr>
        <w:t>%</w:t>
      </w:r>
      <w:r>
        <w:rPr>
          <w:rFonts w:hint="eastAsia"/>
          <w:lang w:eastAsia="zh-CN"/>
        </w:rPr>
        <w:t>，</w:t>
      </w:r>
      <w:r>
        <w:rPr>
          <w:rFonts w:hint="default" w:ascii="Times New Roman" w:hAnsi="Times New Roman" w:eastAsia="方正仿宋_GBK" w:cs="方正仿宋_GBK"/>
          <w:b w:val="0"/>
          <w:bCs w:val="0"/>
          <w:color w:val="auto"/>
          <w:kern w:val="2"/>
          <w:sz w:val="28"/>
          <w:szCs w:val="28"/>
          <w:lang w:val="en-US" w:eastAsia="zh-CN" w:bidi="ar-SA"/>
        </w:rPr>
        <w:t>结合新平县指标情况，分别设定2025年和2030年目标。详见下表。</w:t>
      </w:r>
    </w:p>
    <w:p w14:paraId="4140BFC0">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（1）难以稳定达标指标分析</w:t>
      </w:r>
    </w:p>
    <w:p w14:paraId="2FACFC4A">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单位地区生产总值能耗。根据统计局提供的新平县能源耗算主表数据，新平县2017—2021年单位地区生产总值能耗下降率分别为2.8%，2.7%、3.4%、5.62%、-3.47%，2017-2021年均不达标。新平县能源消耗主要来自工业，占比90%左右，县域内的重工业以铜铁矿采选业、黑色金属冶炼和压延加工业、非金属矿物制品业为主，其中后两个行业属于高耗能行业，也是新平县工业经济增长的切入点。为了确保新平县单位地区生产总值能耗在规划期内持续稳定达标，要</w:t>
      </w:r>
      <w:r>
        <w:rPr>
          <w:rFonts w:hint="default" w:ascii="Times New Roman" w:hAnsi="Times New Roman" w:eastAsia="方正仿宋_GBK" w:cs="方正仿宋_GBK"/>
          <w:b w:val="0"/>
          <w:bCs w:val="0"/>
          <w:color w:val="auto"/>
          <w:kern w:val="2"/>
          <w:sz w:val="28"/>
          <w:szCs w:val="28"/>
          <w:lang w:val="en-US" w:eastAsia="zh-CN" w:bidi="ar-SA"/>
        </w:rPr>
        <w:t>认真贯彻落实《玉溪市石油天然气改革实施意见》，</w:t>
      </w:r>
      <w:r>
        <w:rPr>
          <w:rFonts w:hint="eastAsia" w:ascii="Times New Roman" w:hAnsi="Times New Roman" w:eastAsia="方正仿宋_GBK" w:cs="方正仿宋_GBK"/>
          <w:b w:val="0"/>
          <w:bCs w:val="0"/>
          <w:color w:val="auto"/>
          <w:kern w:val="2"/>
          <w:sz w:val="28"/>
          <w:szCs w:val="28"/>
          <w:lang w:val="en-US" w:eastAsia="zh-CN" w:bidi="ar-SA"/>
        </w:rPr>
        <w:t>加快推进化念－新平天然气管道建设，</w:t>
      </w:r>
      <w:r>
        <w:rPr>
          <w:rFonts w:hint="default" w:ascii="Times New Roman" w:hAnsi="Times New Roman" w:eastAsia="方正仿宋_GBK" w:cs="方正仿宋_GBK"/>
          <w:b w:val="0"/>
          <w:bCs w:val="0"/>
          <w:color w:val="auto"/>
          <w:kern w:val="2"/>
          <w:sz w:val="28"/>
          <w:szCs w:val="28"/>
          <w:lang w:val="en-US" w:eastAsia="zh-CN" w:bidi="ar-SA"/>
        </w:rPr>
        <w:t>把天然气</w:t>
      </w:r>
      <w:r>
        <w:rPr>
          <w:rFonts w:hint="eastAsia" w:ascii="Times New Roman" w:hAnsi="Times New Roman" w:eastAsia="方正仿宋_GBK" w:cs="方正仿宋_GBK"/>
          <w:b w:val="0"/>
          <w:bCs w:val="0"/>
          <w:color w:val="auto"/>
          <w:kern w:val="2"/>
          <w:sz w:val="28"/>
          <w:szCs w:val="28"/>
          <w:lang w:val="en-US" w:eastAsia="zh-CN" w:bidi="ar-SA"/>
        </w:rPr>
        <w:t>管道联通</w:t>
      </w:r>
      <w:r>
        <w:rPr>
          <w:rFonts w:hint="default" w:ascii="Times New Roman" w:hAnsi="Times New Roman" w:eastAsia="方正仿宋_GBK" w:cs="方正仿宋_GBK"/>
          <w:b w:val="0"/>
          <w:bCs w:val="0"/>
          <w:color w:val="auto"/>
          <w:kern w:val="2"/>
          <w:sz w:val="28"/>
          <w:szCs w:val="28"/>
          <w:lang w:val="en-US" w:eastAsia="zh-CN" w:bidi="ar-SA"/>
        </w:rPr>
        <w:t>到工业园区、大工业用户和重点集镇</w:t>
      </w:r>
      <w:r>
        <w:rPr>
          <w:rFonts w:hint="eastAsia" w:ascii="Times New Roman" w:hAnsi="Times New Roman" w:eastAsia="方正仿宋_GBK" w:cs="方正仿宋_GBK"/>
          <w:b w:val="0"/>
          <w:bCs w:val="0"/>
          <w:color w:val="auto"/>
          <w:kern w:val="2"/>
          <w:sz w:val="28"/>
          <w:szCs w:val="28"/>
          <w:lang w:val="en-US" w:eastAsia="zh-CN" w:bidi="ar-SA"/>
        </w:rPr>
        <w:t>，大幅减少煤炭消耗，除此之外，还要通过实施仙福钢铁（集团）有限公司产能置换技术升级改造项目、新平瀛洲水泥有限公司两千吨每天熟料水泥生产线节能环保提升改造项目和南恩糖公司搬迁改造转型升级项目和其他工业项目节能和改造，促进企业生产工艺的优化和产品结构的升级，降低能源消耗量，不断提高</w:t>
      </w:r>
      <w:r>
        <w:rPr>
          <w:rFonts w:hint="default" w:ascii="Times New Roman" w:hAnsi="Times New Roman" w:eastAsia="方正仿宋_GBK" w:cs="方正仿宋_GBK"/>
          <w:b w:val="0"/>
          <w:bCs w:val="0"/>
          <w:color w:val="auto"/>
          <w:kern w:val="2"/>
          <w:sz w:val="28"/>
          <w:szCs w:val="28"/>
          <w:lang w:val="en-US" w:eastAsia="zh-CN" w:bidi="ar-SA"/>
        </w:rPr>
        <w:t>工业增加值占GDP比</w:t>
      </w:r>
      <w:r>
        <w:rPr>
          <w:rFonts w:hint="eastAsia" w:ascii="Times New Roman" w:hAnsi="Times New Roman" w:eastAsia="方正仿宋_GBK" w:cs="方正仿宋_GBK"/>
          <w:b w:val="0"/>
          <w:bCs w:val="0"/>
          <w:color w:val="auto"/>
          <w:kern w:val="2"/>
          <w:sz w:val="28"/>
          <w:szCs w:val="28"/>
          <w:lang w:val="en-US" w:eastAsia="zh-CN" w:bidi="ar-SA"/>
        </w:rPr>
        <w:t>重，在规划期内，单位地区生产总值能耗有望持续稳定完成上级下达目标任务。</w:t>
      </w:r>
    </w:p>
    <w:p w14:paraId="015022DA">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（2）现状不达标指标达标可达性分析</w:t>
      </w:r>
    </w:p>
    <w:p w14:paraId="57B3CAC4">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农村饮用水水质合格率。新平县农村饮用水水质不合格的主要项目是微生物指标和感官指标。在各类检测指标中，不合格最严重的是总大肠菌群和肉眼可见物两个项目，其次是浑浊度和菌落总数。总大肠菌群是饮用水受到人畜粪便污染的重要标志，浑浊度和肉眼可见物是集中式供水工艺控制中的一个重要参数，其水平对消毒效果也有影响。因此，规划期内加强对这些指标的控制和处理该指标在规划期内有望达标。</w:t>
      </w:r>
    </w:p>
    <w:p w14:paraId="60F51D1F">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农村生活污水治理率</w:t>
      </w:r>
      <w:r>
        <w:rPr>
          <w:rFonts w:hint="eastAsia" w:ascii="Times New Roman" w:hAnsi="Times New Roman" w:eastAsia="方正仿宋_GBK" w:cs="方正仿宋_GBK"/>
          <w:b w:val="0"/>
          <w:bCs w:val="0"/>
          <w:color w:val="auto"/>
          <w:kern w:val="2"/>
          <w:sz w:val="28"/>
          <w:szCs w:val="28"/>
          <w:lang w:val="en-US" w:eastAsia="zh-CN" w:bidi="ar-SA"/>
        </w:rPr>
        <w:t>。</w:t>
      </w:r>
      <w:r>
        <w:rPr>
          <w:rFonts w:hint="default" w:ascii="Times New Roman" w:hAnsi="Times New Roman" w:eastAsia="方正仿宋_GBK" w:cs="方正仿宋_GBK"/>
          <w:b w:val="0"/>
          <w:bCs w:val="0"/>
          <w:color w:val="auto"/>
          <w:kern w:val="2"/>
          <w:sz w:val="28"/>
          <w:szCs w:val="28"/>
          <w:lang w:val="en-US" w:eastAsia="zh-CN" w:bidi="ar-SA"/>
        </w:rPr>
        <w:t>随着近年来农村人居环境整治行动的推进，农村生活污水治理有序开展，</w:t>
      </w:r>
      <w:r>
        <w:rPr>
          <w:rFonts w:hint="eastAsia" w:ascii="Times New Roman" w:hAnsi="Times New Roman" w:eastAsia="方正仿宋_GBK" w:cs="方正仿宋_GBK"/>
          <w:b w:val="0"/>
          <w:bCs w:val="0"/>
          <w:color w:val="auto"/>
          <w:kern w:val="2"/>
          <w:sz w:val="28"/>
          <w:szCs w:val="28"/>
          <w:lang w:val="en-US" w:eastAsia="zh-CN" w:bidi="ar-SA"/>
        </w:rPr>
        <w:t>全县</w:t>
      </w:r>
      <w:r>
        <w:rPr>
          <w:rFonts w:hint="default" w:ascii="Times New Roman" w:hAnsi="Times New Roman" w:eastAsia="方正仿宋_GBK" w:cs="方正仿宋_GBK"/>
          <w:b w:val="0"/>
          <w:bCs w:val="0"/>
          <w:color w:val="auto"/>
          <w:kern w:val="2"/>
          <w:sz w:val="28"/>
          <w:szCs w:val="28"/>
          <w:lang w:val="en-US" w:eastAsia="zh-CN" w:bidi="ar-SA"/>
        </w:rPr>
        <w:t>农村生活污水治理率逐年提升。根据《中央国务院关于全面推进乡村振兴加快农村现代化的意见</w:t>
      </w:r>
      <w:r>
        <w:rPr>
          <w:rFonts w:hint="eastAsia" w:ascii="Times New Roman" w:hAnsi="Times New Roman" w:eastAsia="方正仿宋_GBK" w:cs="方正仿宋_GBK"/>
          <w:b w:val="0"/>
          <w:bCs w:val="0"/>
          <w:color w:val="auto"/>
          <w:kern w:val="2"/>
          <w:sz w:val="28"/>
          <w:szCs w:val="28"/>
          <w:lang w:val="en-US" w:eastAsia="zh-CN" w:bidi="ar-SA"/>
        </w:rPr>
        <w:t>》《</w:t>
      </w:r>
      <w:r>
        <w:rPr>
          <w:rFonts w:hint="default" w:ascii="Times New Roman" w:hAnsi="Times New Roman" w:eastAsia="方正仿宋_GBK" w:cs="方正仿宋_GBK"/>
          <w:b w:val="0"/>
          <w:bCs w:val="0"/>
          <w:color w:val="auto"/>
          <w:kern w:val="2"/>
          <w:sz w:val="28"/>
          <w:szCs w:val="28"/>
          <w:lang w:val="en-US" w:eastAsia="zh-CN" w:bidi="ar-SA"/>
        </w:rPr>
        <w:t>云南省“十四五”人居环境整治提升五年行动计划》</w:t>
      </w:r>
      <w:r>
        <w:rPr>
          <w:rFonts w:hint="eastAsia" w:ascii="Times New Roman" w:hAnsi="Times New Roman" w:eastAsia="方正仿宋_GBK" w:cs="方正仿宋_GBK"/>
          <w:b w:val="0"/>
          <w:bCs w:val="0"/>
          <w:color w:val="auto"/>
          <w:kern w:val="2"/>
          <w:sz w:val="28"/>
          <w:szCs w:val="28"/>
          <w:lang w:val="en-US" w:eastAsia="zh-CN" w:bidi="ar-SA"/>
        </w:rPr>
        <w:t>和《玉溪市》</w:t>
      </w:r>
      <w:r>
        <w:rPr>
          <w:rFonts w:hint="default" w:ascii="Times New Roman" w:hAnsi="Times New Roman" w:eastAsia="方正仿宋_GBK" w:cs="方正仿宋_GBK"/>
          <w:b w:val="0"/>
          <w:bCs w:val="0"/>
          <w:color w:val="auto"/>
          <w:kern w:val="2"/>
          <w:sz w:val="28"/>
          <w:szCs w:val="28"/>
          <w:lang w:val="en-US" w:eastAsia="zh-CN" w:bidi="ar-SA"/>
        </w:rPr>
        <w:t>要求，</w:t>
      </w:r>
      <w:r>
        <w:rPr>
          <w:rFonts w:hint="eastAsia" w:ascii="Times New Roman" w:hAnsi="Times New Roman" w:eastAsia="方正仿宋_GBK" w:cs="方正仿宋_GBK"/>
          <w:b w:val="0"/>
          <w:bCs w:val="0"/>
          <w:color w:val="auto"/>
          <w:kern w:val="2"/>
          <w:sz w:val="28"/>
          <w:szCs w:val="28"/>
          <w:lang w:val="en-US" w:eastAsia="zh-CN" w:bidi="ar-SA"/>
        </w:rPr>
        <w:t>新平县</w:t>
      </w:r>
      <w:r>
        <w:rPr>
          <w:rFonts w:hint="default" w:ascii="Times New Roman" w:hAnsi="Times New Roman" w:eastAsia="方正仿宋_GBK" w:cs="方正仿宋_GBK"/>
          <w:b w:val="0"/>
          <w:bCs w:val="0"/>
          <w:color w:val="auto"/>
          <w:kern w:val="2"/>
          <w:sz w:val="28"/>
          <w:szCs w:val="28"/>
          <w:lang w:val="en-US" w:eastAsia="zh-CN" w:bidi="ar-SA"/>
        </w:rPr>
        <w:t>将进一步加强对农村生活污水进行治理，目前已印发实施《县域农村生活污水治理专项规划》，通过加快推进专项规划实施，加快乡村振兴建设，</w:t>
      </w:r>
      <w:r>
        <w:rPr>
          <w:rFonts w:hint="eastAsia" w:ascii="Times New Roman" w:hAnsi="Times New Roman" w:eastAsia="方正仿宋_GBK" w:cs="方正仿宋_GBK"/>
          <w:b w:val="0"/>
          <w:bCs w:val="0"/>
          <w:color w:val="auto"/>
          <w:kern w:val="2"/>
          <w:sz w:val="28"/>
          <w:szCs w:val="28"/>
          <w:lang w:val="en-US" w:eastAsia="zh-CN" w:bidi="ar-SA"/>
        </w:rPr>
        <w:t>新平县</w:t>
      </w:r>
      <w:r>
        <w:rPr>
          <w:rFonts w:hint="default" w:ascii="Times New Roman" w:hAnsi="Times New Roman" w:eastAsia="方正仿宋_GBK" w:cs="方正仿宋_GBK"/>
          <w:b w:val="0"/>
          <w:bCs w:val="0"/>
          <w:color w:val="auto"/>
          <w:kern w:val="2"/>
          <w:sz w:val="28"/>
          <w:szCs w:val="28"/>
          <w:lang w:val="en-US" w:eastAsia="zh-CN" w:bidi="ar-SA"/>
        </w:rPr>
        <w:t>农村生活污水治理率将进一步提升，该指标在规划期内有望达标。</w:t>
      </w:r>
    </w:p>
    <w:p w14:paraId="0536892C">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FF0000"/>
          <w:kern w:val="2"/>
          <w:sz w:val="28"/>
          <w:szCs w:val="28"/>
          <w:lang w:val="en-US" w:eastAsia="zh-CN" w:bidi="ar-SA"/>
        </w:rPr>
        <w:sectPr>
          <w:pgSz w:w="11906" w:h="16838"/>
          <w:pgMar w:top="1440" w:right="1800" w:bottom="1440" w:left="1800" w:header="851" w:footer="992" w:gutter="0"/>
          <w:pgNumType w:fmt="decimal"/>
          <w:cols w:space="425" w:num="1"/>
          <w:docGrid w:type="lines" w:linePitch="312" w:charSpace="0"/>
        </w:sectPr>
      </w:pPr>
    </w:p>
    <w:p w14:paraId="001012DA">
      <w:pPr>
        <w:pStyle w:val="13"/>
        <w:ind w:left="640" w:firstLine="482"/>
        <w:jc w:val="center"/>
        <w:rPr>
          <w:b/>
          <w:bCs/>
          <w:color w:val="auto"/>
          <w:sz w:val="24"/>
          <w:szCs w:val="24"/>
        </w:rPr>
      </w:pPr>
      <w:r>
        <w:rPr>
          <w:b/>
          <w:bCs/>
          <w:color w:val="auto"/>
          <w:sz w:val="24"/>
          <w:szCs w:val="24"/>
        </w:rPr>
        <w:t>表4.6.2</w:t>
      </w:r>
      <w:r>
        <w:rPr>
          <w:rFonts w:hint="eastAsia"/>
          <w:b/>
          <w:bCs/>
          <w:color w:val="auto"/>
          <w:sz w:val="24"/>
          <w:szCs w:val="24"/>
          <w:lang w:eastAsia="zh-CN"/>
        </w:rPr>
        <w:t>新平县</w:t>
      </w:r>
      <w:r>
        <w:rPr>
          <w:b/>
          <w:bCs/>
          <w:color w:val="auto"/>
          <w:sz w:val="24"/>
          <w:szCs w:val="24"/>
        </w:rPr>
        <w:t>国家、省级生态文明建设示范区建设指标目标规划及可达性分析</w:t>
      </w:r>
    </w:p>
    <w:tbl>
      <w:tblPr>
        <w:tblStyle w:val="25"/>
        <w:tblW w:w="501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85"/>
        <w:gridCol w:w="1194"/>
        <w:gridCol w:w="589"/>
        <w:gridCol w:w="3299"/>
        <w:gridCol w:w="936"/>
        <w:gridCol w:w="2141"/>
        <w:gridCol w:w="1626"/>
        <w:gridCol w:w="1861"/>
        <w:gridCol w:w="1873"/>
      </w:tblGrid>
      <w:tr w14:paraId="025BB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44" w:hRule="atLeast"/>
          <w:tblHeader/>
          <w:jc w:val="center"/>
        </w:trPr>
        <w:tc>
          <w:tcPr>
            <w:tcW w:w="173" w:type="pct"/>
            <w:vAlign w:val="center"/>
          </w:tcPr>
          <w:p w14:paraId="3C767E39">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color w:val="auto"/>
                <w:sz w:val="21"/>
                <w:szCs w:val="21"/>
              </w:rPr>
            </w:pPr>
            <w:r>
              <w:rPr>
                <w:rFonts w:hint="default" w:ascii="Times New Roman" w:hAnsi="Times New Roman" w:eastAsia="仿宋" w:cs="Times New Roman"/>
                <w:b/>
                <w:color w:val="auto"/>
                <w:sz w:val="21"/>
                <w:szCs w:val="21"/>
              </w:rPr>
              <w:t>领域</w:t>
            </w:r>
          </w:p>
        </w:tc>
        <w:tc>
          <w:tcPr>
            <w:tcW w:w="426" w:type="pct"/>
            <w:vAlign w:val="center"/>
          </w:tcPr>
          <w:p w14:paraId="06C65934">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color w:val="auto"/>
                <w:sz w:val="21"/>
                <w:szCs w:val="21"/>
              </w:rPr>
            </w:pPr>
            <w:r>
              <w:rPr>
                <w:rFonts w:hint="default" w:ascii="Times New Roman" w:hAnsi="Times New Roman" w:eastAsia="仿宋" w:cs="Times New Roman"/>
                <w:b/>
                <w:color w:val="auto"/>
                <w:sz w:val="21"/>
                <w:szCs w:val="21"/>
              </w:rPr>
              <w:t>任务</w:t>
            </w:r>
          </w:p>
        </w:tc>
        <w:tc>
          <w:tcPr>
            <w:tcW w:w="210" w:type="pct"/>
            <w:vAlign w:val="center"/>
          </w:tcPr>
          <w:p w14:paraId="42972739">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color w:val="auto"/>
                <w:sz w:val="21"/>
                <w:szCs w:val="21"/>
              </w:rPr>
            </w:pPr>
            <w:r>
              <w:rPr>
                <w:rFonts w:hint="default" w:ascii="Times New Roman" w:hAnsi="Times New Roman" w:eastAsia="仿宋" w:cs="Times New Roman"/>
                <w:b/>
                <w:color w:val="auto"/>
                <w:sz w:val="21"/>
                <w:szCs w:val="21"/>
              </w:rPr>
              <w:t>序号</w:t>
            </w:r>
          </w:p>
        </w:tc>
        <w:tc>
          <w:tcPr>
            <w:tcW w:w="1177" w:type="pct"/>
            <w:vAlign w:val="center"/>
          </w:tcPr>
          <w:p w14:paraId="47654DEC">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color w:val="auto"/>
                <w:sz w:val="21"/>
                <w:szCs w:val="21"/>
              </w:rPr>
            </w:pPr>
            <w:r>
              <w:rPr>
                <w:rFonts w:hint="default" w:ascii="Times New Roman" w:hAnsi="Times New Roman" w:eastAsia="仿宋" w:cs="Times New Roman"/>
                <w:b/>
                <w:color w:val="auto"/>
                <w:sz w:val="21"/>
                <w:szCs w:val="21"/>
              </w:rPr>
              <w:t>指标名称</w:t>
            </w:r>
          </w:p>
        </w:tc>
        <w:tc>
          <w:tcPr>
            <w:tcW w:w="334" w:type="pct"/>
            <w:vAlign w:val="center"/>
          </w:tcPr>
          <w:p w14:paraId="391F9DAD">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color w:val="auto"/>
                <w:sz w:val="21"/>
                <w:szCs w:val="21"/>
              </w:rPr>
            </w:pPr>
            <w:r>
              <w:rPr>
                <w:rFonts w:hint="default" w:ascii="Times New Roman" w:hAnsi="Times New Roman" w:eastAsia="仿宋" w:cs="Times New Roman"/>
                <w:b/>
                <w:color w:val="auto"/>
                <w:sz w:val="21"/>
                <w:szCs w:val="21"/>
              </w:rPr>
              <w:t>单位</w:t>
            </w:r>
          </w:p>
        </w:tc>
        <w:tc>
          <w:tcPr>
            <w:tcW w:w="764" w:type="pct"/>
            <w:vAlign w:val="center"/>
          </w:tcPr>
          <w:p w14:paraId="4ABB2DD0">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color w:val="auto"/>
                <w:sz w:val="21"/>
                <w:szCs w:val="21"/>
              </w:rPr>
            </w:pPr>
            <w:r>
              <w:rPr>
                <w:rFonts w:hint="eastAsia" w:ascii="Times New Roman" w:hAnsi="Times New Roman" w:eastAsia="仿宋" w:cs="Times New Roman"/>
                <w:b/>
                <w:color w:val="auto"/>
                <w:sz w:val="21"/>
                <w:szCs w:val="21"/>
                <w:lang w:val="en-US" w:eastAsia="zh-CN"/>
              </w:rPr>
              <w:t>2021</w:t>
            </w:r>
            <w:r>
              <w:rPr>
                <w:rFonts w:hint="default" w:ascii="Times New Roman" w:hAnsi="Times New Roman" w:eastAsia="仿宋" w:cs="Times New Roman"/>
                <w:b/>
                <w:color w:val="auto"/>
                <w:sz w:val="21"/>
                <w:szCs w:val="21"/>
              </w:rPr>
              <w:t>年完成情况</w:t>
            </w:r>
          </w:p>
        </w:tc>
        <w:tc>
          <w:tcPr>
            <w:tcW w:w="580" w:type="pct"/>
            <w:vAlign w:val="center"/>
          </w:tcPr>
          <w:p w14:paraId="7423BCC0">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color w:val="auto"/>
                <w:sz w:val="21"/>
                <w:szCs w:val="21"/>
              </w:rPr>
            </w:pPr>
            <w:r>
              <w:rPr>
                <w:rFonts w:hint="default" w:ascii="Times New Roman" w:hAnsi="Times New Roman" w:eastAsia="仿宋" w:cs="Times New Roman"/>
                <w:b/>
                <w:color w:val="auto"/>
                <w:sz w:val="21"/>
                <w:szCs w:val="21"/>
              </w:rPr>
              <w:t>2025年目标</w:t>
            </w:r>
          </w:p>
        </w:tc>
        <w:tc>
          <w:tcPr>
            <w:tcW w:w="664" w:type="pct"/>
            <w:vAlign w:val="center"/>
          </w:tcPr>
          <w:p w14:paraId="73EF3152">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color w:val="auto"/>
                <w:sz w:val="21"/>
                <w:szCs w:val="21"/>
              </w:rPr>
            </w:pPr>
            <w:r>
              <w:rPr>
                <w:rFonts w:hint="default" w:ascii="Times New Roman" w:hAnsi="Times New Roman" w:eastAsia="仿宋" w:cs="Times New Roman"/>
                <w:b/>
                <w:color w:val="auto"/>
                <w:sz w:val="21"/>
                <w:szCs w:val="21"/>
              </w:rPr>
              <w:t>2030年目标</w:t>
            </w:r>
          </w:p>
        </w:tc>
        <w:tc>
          <w:tcPr>
            <w:tcW w:w="668" w:type="pct"/>
            <w:vAlign w:val="center"/>
          </w:tcPr>
          <w:p w14:paraId="6B788FDA">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b/>
                <w:color w:val="auto"/>
                <w:sz w:val="21"/>
                <w:szCs w:val="21"/>
                <w:lang w:val="en-US" w:eastAsia="zh-CN"/>
              </w:rPr>
            </w:pPr>
            <w:r>
              <w:rPr>
                <w:rFonts w:hint="default" w:ascii="Times New Roman" w:hAnsi="Times New Roman" w:eastAsia="仿宋" w:cs="Times New Roman"/>
                <w:b/>
                <w:color w:val="auto"/>
                <w:sz w:val="21"/>
                <w:szCs w:val="21"/>
              </w:rPr>
              <w:t>203</w:t>
            </w:r>
            <w:r>
              <w:rPr>
                <w:rFonts w:hint="eastAsia" w:ascii="Times New Roman" w:hAnsi="Times New Roman" w:eastAsia="仿宋" w:cs="Times New Roman"/>
                <w:b/>
                <w:color w:val="auto"/>
                <w:sz w:val="21"/>
                <w:szCs w:val="21"/>
                <w:lang w:val="en-US" w:eastAsia="zh-CN"/>
              </w:rPr>
              <w:t>5</w:t>
            </w:r>
            <w:r>
              <w:rPr>
                <w:rFonts w:hint="default" w:ascii="Times New Roman" w:hAnsi="Times New Roman" w:eastAsia="仿宋" w:cs="Times New Roman"/>
                <w:b/>
                <w:color w:val="auto"/>
                <w:sz w:val="21"/>
                <w:szCs w:val="21"/>
              </w:rPr>
              <w:t>年目标</w:t>
            </w:r>
          </w:p>
        </w:tc>
      </w:tr>
      <w:tr w14:paraId="0767C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173" w:type="pct"/>
            <w:vMerge w:val="restart"/>
            <w:vAlign w:val="center"/>
          </w:tcPr>
          <w:p w14:paraId="3737B28B">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生态制度</w:t>
            </w:r>
          </w:p>
        </w:tc>
        <w:tc>
          <w:tcPr>
            <w:tcW w:w="426" w:type="pct"/>
            <w:vMerge w:val="restart"/>
            <w:vAlign w:val="center"/>
          </w:tcPr>
          <w:p w14:paraId="0C2B6379">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（一）</w:t>
            </w:r>
          </w:p>
          <w:p w14:paraId="273A6BCA">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目标责任体系与制度建设</w:t>
            </w:r>
          </w:p>
        </w:tc>
        <w:tc>
          <w:tcPr>
            <w:tcW w:w="210" w:type="pct"/>
            <w:vAlign w:val="center"/>
          </w:tcPr>
          <w:p w14:paraId="6615C78E">
            <w:pPr>
              <w:pStyle w:val="160"/>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1</w:t>
            </w:r>
          </w:p>
        </w:tc>
        <w:tc>
          <w:tcPr>
            <w:tcW w:w="1177" w:type="pct"/>
            <w:vAlign w:val="center"/>
          </w:tcPr>
          <w:p w14:paraId="16B96DD1">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生态文明建设规划/生态文明建设示范区规划</w:t>
            </w:r>
          </w:p>
        </w:tc>
        <w:tc>
          <w:tcPr>
            <w:tcW w:w="334" w:type="pct"/>
            <w:vAlign w:val="center"/>
          </w:tcPr>
          <w:p w14:paraId="47437E50">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w:t>
            </w:r>
          </w:p>
        </w:tc>
        <w:tc>
          <w:tcPr>
            <w:tcW w:w="764" w:type="pct"/>
            <w:vAlign w:val="center"/>
          </w:tcPr>
          <w:p w14:paraId="6AE2B054">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制定实施</w:t>
            </w:r>
          </w:p>
        </w:tc>
        <w:tc>
          <w:tcPr>
            <w:tcW w:w="580" w:type="pct"/>
            <w:vAlign w:val="center"/>
          </w:tcPr>
          <w:p w14:paraId="0D770C61">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制定实施</w:t>
            </w:r>
          </w:p>
        </w:tc>
        <w:tc>
          <w:tcPr>
            <w:tcW w:w="664" w:type="pct"/>
            <w:vAlign w:val="center"/>
          </w:tcPr>
          <w:p w14:paraId="3FF83D71">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制定实施</w:t>
            </w:r>
          </w:p>
        </w:tc>
        <w:tc>
          <w:tcPr>
            <w:tcW w:w="668" w:type="pct"/>
            <w:vAlign w:val="center"/>
          </w:tcPr>
          <w:p w14:paraId="3751D001">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制定实施</w:t>
            </w:r>
          </w:p>
        </w:tc>
      </w:tr>
      <w:tr w14:paraId="186E5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83" w:hRule="atLeast"/>
          <w:jc w:val="center"/>
        </w:trPr>
        <w:tc>
          <w:tcPr>
            <w:tcW w:w="173" w:type="pct"/>
            <w:vMerge w:val="continue"/>
            <w:vAlign w:val="center"/>
          </w:tcPr>
          <w:p w14:paraId="0DE4F33C">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仿宋" w:cs="Times New Roman"/>
                <w:color w:val="auto"/>
                <w:sz w:val="21"/>
                <w:szCs w:val="21"/>
              </w:rPr>
            </w:pPr>
          </w:p>
        </w:tc>
        <w:tc>
          <w:tcPr>
            <w:tcW w:w="426" w:type="pct"/>
            <w:vMerge w:val="continue"/>
            <w:vAlign w:val="center"/>
          </w:tcPr>
          <w:p w14:paraId="4A62CB9A">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仿宋" w:cs="Times New Roman"/>
                <w:color w:val="auto"/>
                <w:sz w:val="21"/>
                <w:szCs w:val="21"/>
              </w:rPr>
            </w:pPr>
          </w:p>
        </w:tc>
        <w:tc>
          <w:tcPr>
            <w:tcW w:w="210" w:type="pct"/>
            <w:vAlign w:val="center"/>
          </w:tcPr>
          <w:p w14:paraId="32B4C10C">
            <w:pPr>
              <w:pStyle w:val="160"/>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2</w:t>
            </w:r>
          </w:p>
        </w:tc>
        <w:tc>
          <w:tcPr>
            <w:tcW w:w="1177" w:type="pct"/>
            <w:vAlign w:val="center"/>
          </w:tcPr>
          <w:p w14:paraId="00182EDB">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党委政府对生态文明建设的安排部署责任落实以及生态文明制度的落实情况</w:t>
            </w:r>
          </w:p>
        </w:tc>
        <w:tc>
          <w:tcPr>
            <w:tcW w:w="334" w:type="pct"/>
            <w:vAlign w:val="center"/>
          </w:tcPr>
          <w:p w14:paraId="2726ACA4">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w:t>
            </w:r>
          </w:p>
        </w:tc>
        <w:tc>
          <w:tcPr>
            <w:tcW w:w="764" w:type="pct"/>
            <w:vAlign w:val="center"/>
          </w:tcPr>
          <w:p w14:paraId="7340E79F">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有效开展</w:t>
            </w:r>
          </w:p>
        </w:tc>
        <w:tc>
          <w:tcPr>
            <w:tcW w:w="580" w:type="pct"/>
            <w:vAlign w:val="center"/>
          </w:tcPr>
          <w:p w14:paraId="59EC1735">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有效开展</w:t>
            </w:r>
          </w:p>
        </w:tc>
        <w:tc>
          <w:tcPr>
            <w:tcW w:w="664" w:type="pct"/>
            <w:vAlign w:val="center"/>
          </w:tcPr>
          <w:p w14:paraId="33708C92">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有效开展</w:t>
            </w:r>
          </w:p>
        </w:tc>
        <w:tc>
          <w:tcPr>
            <w:tcW w:w="668" w:type="pct"/>
            <w:vAlign w:val="center"/>
          </w:tcPr>
          <w:p w14:paraId="34517AF4">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有效开展</w:t>
            </w:r>
          </w:p>
        </w:tc>
      </w:tr>
      <w:tr w14:paraId="76EA2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97" w:hRule="atLeast"/>
          <w:jc w:val="center"/>
        </w:trPr>
        <w:tc>
          <w:tcPr>
            <w:tcW w:w="173" w:type="pct"/>
            <w:vMerge w:val="continue"/>
            <w:vAlign w:val="center"/>
          </w:tcPr>
          <w:p w14:paraId="421C9E18">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仿宋" w:cs="Times New Roman"/>
                <w:color w:val="FF0000"/>
                <w:sz w:val="21"/>
                <w:szCs w:val="21"/>
              </w:rPr>
            </w:pPr>
          </w:p>
        </w:tc>
        <w:tc>
          <w:tcPr>
            <w:tcW w:w="426" w:type="pct"/>
            <w:vMerge w:val="continue"/>
            <w:vAlign w:val="center"/>
          </w:tcPr>
          <w:p w14:paraId="18C07D88">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仿宋" w:cs="Times New Roman"/>
                <w:color w:val="FF0000"/>
                <w:sz w:val="21"/>
                <w:szCs w:val="21"/>
              </w:rPr>
            </w:pPr>
          </w:p>
        </w:tc>
        <w:tc>
          <w:tcPr>
            <w:tcW w:w="210" w:type="pct"/>
            <w:vAlign w:val="center"/>
          </w:tcPr>
          <w:p w14:paraId="5F6DDCD7">
            <w:pPr>
              <w:pStyle w:val="160"/>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3</w:t>
            </w:r>
          </w:p>
        </w:tc>
        <w:tc>
          <w:tcPr>
            <w:tcW w:w="1177" w:type="pct"/>
            <w:vAlign w:val="center"/>
          </w:tcPr>
          <w:p w14:paraId="4D1A802B">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生态文明建设工作占党政实绩考核的比例</w:t>
            </w:r>
          </w:p>
        </w:tc>
        <w:tc>
          <w:tcPr>
            <w:tcW w:w="334" w:type="pct"/>
            <w:vAlign w:val="center"/>
          </w:tcPr>
          <w:p w14:paraId="200315C4">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w:t>
            </w:r>
          </w:p>
        </w:tc>
        <w:tc>
          <w:tcPr>
            <w:tcW w:w="764" w:type="pct"/>
            <w:vAlign w:val="center"/>
          </w:tcPr>
          <w:p w14:paraId="24CA1736">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lang w:val="en-US" w:eastAsia="zh-CN"/>
              </w:rPr>
            </w:pPr>
            <w:r>
              <w:rPr>
                <w:rFonts w:hint="eastAsia" w:ascii="Times New Roman" w:hAnsi="Times New Roman" w:eastAsia="仿宋" w:cs="Times New Roman"/>
                <w:color w:val="auto"/>
                <w:sz w:val="21"/>
                <w:szCs w:val="21"/>
                <w:lang w:val="en-US" w:eastAsia="zh-CN"/>
              </w:rPr>
              <w:t>21.4</w:t>
            </w:r>
          </w:p>
        </w:tc>
        <w:tc>
          <w:tcPr>
            <w:tcW w:w="580" w:type="pct"/>
            <w:vAlign w:val="center"/>
          </w:tcPr>
          <w:p w14:paraId="457C8873">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仿宋" w:cs="Times New Roman"/>
                <w:color w:val="auto"/>
                <w:sz w:val="21"/>
                <w:szCs w:val="21"/>
                <w:lang w:val="en-US" w:eastAsia="zh-CN"/>
              </w:rPr>
            </w:pPr>
            <w:r>
              <w:rPr>
                <w:rFonts w:hint="default" w:ascii="Times New Roman" w:hAnsi="Times New Roman" w:eastAsia="仿宋" w:cs="Times New Roman"/>
                <w:color w:val="auto"/>
                <w:sz w:val="21"/>
                <w:szCs w:val="21"/>
              </w:rPr>
              <w:t>≥2</w:t>
            </w:r>
            <w:r>
              <w:rPr>
                <w:rFonts w:hint="eastAsia" w:ascii="Times New Roman" w:hAnsi="Times New Roman" w:eastAsia="仿宋" w:cs="Times New Roman"/>
                <w:color w:val="auto"/>
                <w:sz w:val="21"/>
                <w:szCs w:val="21"/>
                <w:lang w:val="en-US" w:eastAsia="zh-CN"/>
              </w:rPr>
              <w:t>2</w:t>
            </w:r>
          </w:p>
        </w:tc>
        <w:tc>
          <w:tcPr>
            <w:tcW w:w="664" w:type="pct"/>
            <w:vAlign w:val="center"/>
          </w:tcPr>
          <w:p w14:paraId="267C0753">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lang w:val="en-US" w:eastAsia="zh-CN"/>
              </w:rPr>
            </w:pPr>
            <w:r>
              <w:rPr>
                <w:rFonts w:hint="default" w:ascii="Times New Roman" w:hAnsi="Times New Roman" w:eastAsia="仿宋" w:cs="Times New Roman"/>
                <w:color w:val="auto"/>
                <w:sz w:val="21"/>
                <w:szCs w:val="21"/>
              </w:rPr>
              <w:t>≥</w:t>
            </w:r>
            <w:r>
              <w:rPr>
                <w:rFonts w:hint="default" w:ascii="Times New Roman" w:hAnsi="Times New Roman" w:eastAsia="仿宋" w:cs="Times New Roman"/>
                <w:color w:val="auto"/>
                <w:sz w:val="21"/>
                <w:szCs w:val="21"/>
                <w:lang w:val="en-US" w:eastAsia="zh-CN"/>
              </w:rPr>
              <w:t>23</w:t>
            </w:r>
          </w:p>
        </w:tc>
        <w:tc>
          <w:tcPr>
            <w:tcW w:w="668" w:type="pct"/>
            <w:vAlign w:val="center"/>
          </w:tcPr>
          <w:p w14:paraId="63402DBD">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lang w:val="en-US"/>
              </w:rPr>
            </w:pPr>
            <w:r>
              <w:rPr>
                <w:rFonts w:hint="default" w:ascii="Times New Roman" w:hAnsi="Times New Roman" w:eastAsia="仿宋" w:cs="Times New Roman"/>
                <w:color w:val="auto"/>
                <w:sz w:val="21"/>
                <w:szCs w:val="21"/>
              </w:rPr>
              <w:t>≥</w:t>
            </w:r>
            <w:r>
              <w:rPr>
                <w:rFonts w:hint="default" w:ascii="Times New Roman" w:hAnsi="Times New Roman" w:eastAsia="仿宋" w:cs="Times New Roman"/>
                <w:color w:val="auto"/>
                <w:sz w:val="21"/>
                <w:szCs w:val="21"/>
                <w:lang w:val="en-US" w:eastAsia="zh-CN"/>
              </w:rPr>
              <w:t>2</w:t>
            </w:r>
            <w:r>
              <w:rPr>
                <w:rFonts w:hint="eastAsia" w:ascii="Times New Roman" w:hAnsi="Times New Roman" w:eastAsia="仿宋" w:cs="Times New Roman"/>
                <w:color w:val="auto"/>
                <w:sz w:val="21"/>
                <w:szCs w:val="21"/>
                <w:lang w:val="en-US" w:eastAsia="zh-CN"/>
              </w:rPr>
              <w:t>4</w:t>
            </w:r>
          </w:p>
        </w:tc>
      </w:tr>
      <w:tr w14:paraId="284BD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25" w:hRule="atLeast"/>
          <w:jc w:val="center"/>
        </w:trPr>
        <w:tc>
          <w:tcPr>
            <w:tcW w:w="173" w:type="pct"/>
            <w:vMerge w:val="continue"/>
            <w:vAlign w:val="center"/>
          </w:tcPr>
          <w:p w14:paraId="126D8B6D">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仿宋" w:cs="Times New Roman"/>
                <w:color w:val="FF0000"/>
                <w:sz w:val="21"/>
                <w:szCs w:val="21"/>
              </w:rPr>
            </w:pPr>
          </w:p>
        </w:tc>
        <w:tc>
          <w:tcPr>
            <w:tcW w:w="426" w:type="pct"/>
            <w:vMerge w:val="continue"/>
            <w:vAlign w:val="center"/>
          </w:tcPr>
          <w:p w14:paraId="65A34078">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仿宋" w:cs="Times New Roman"/>
                <w:color w:val="FF0000"/>
                <w:sz w:val="21"/>
                <w:szCs w:val="21"/>
              </w:rPr>
            </w:pPr>
          </w:p>
        </w:tc>
        <w:tc>
          <w:tcPr>
            <w:tcW w:w="210" w:type="pct"/>
            <w:vAlign w:val="center"/>
          </w:tcPr>
          <w:p w14:paraId="2264B920">
            <w:pPr>
              <w:pStyle w:val="160"/>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4</w:t>
            </w:r>
          </w:p>
        </w:tc>
        <w:tc>
          <w:tcPr>
            <w:tcW w:w="1177" w:type="pct"/>
            <w:vAlign w:val="center"/>
          </w:tcPr>
          <w:p w14:paraId="4F13DC1D">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河（湖）长制</w:t>
            </w:r>
          </w:p>
        </w:tc>
        <w:tc>
          <w:tcPr>
            <w:tcW w:w="334" w:type="pct"/>
            <w:vAlign w:val="center"/>
          </w:tcPr>
          <w:p w14:paraId="0890B8E3">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w:t>
            </w:r>
          </w:p>
        </w:tc>
        <w:tc>
          <w:tcPr>
            <w:tcW w:w="764" w:type="pct"/>
            <w:vAlign w:val="center"/>
          </w:tcPr>
          <w:p w14:paraId="3FB36AF1">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全面实施</w:t>
            </w:r>
          </w:p>
        </w:tc>
        <w:tc>
          <w:tcPr>
            <w:tcW w:w="580" w:type="pct"/>
            <w:vAlign w:val="center"/>
          </w:tcPr>
          <w:p w14:paraId="59F631B5">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全面实施</w:t>
            </w:r>
          </w:p>
        </w:tc>
        <w:tc>
          <w:tcPr>
            <w:tcW w:w="664" w:type="pct"/>
            <w:vAlign w:val="center"/>
          </w:tcPr>
          <w:p w14:paraId="4BA2CFCD">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全面实施</w:t>
            </w:r>
          </w:p>
        </w:tc>
        <w:tc>
          <w:tcPr>
            <w:tcW w:w="668" w:type="pct"/>
            <w:vAlign w:val="center"/>
          </w:tcPr>
          <w:p w14:paraId="5A389396">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全面实施</w:t>
            </w:r>
          </w:p>
        </w:tc>
      </w:tr>
      <w:tr w14:paraId="67668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25" w:hRule="atLeast"/>
          <w:jc w:val="center"/>
        </w:trPr>
        <w:tc>
          <w:tcPr>
            <w:tcW w:w="173" w:type="pct"/>
            <w:vMerge w:val="continue"/>
            <w:vAlign w:val="center"/>
          </w:tcPr>
          <w:p w14:paraId="17B2CB46">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仿宋" w:cs="Times New Roman"/>
                <w:color w:val="FF0000"/>
                <w:sz w:val="21"/>
                <w:szCs w:val="21"/>
              </w:rPr>
            </w:pPr>
          </w:p>
        </w:tc>
        <w:tc>
          <w:tcPr>
            <w:tcW w:w="426" w:type="pct"/>
            <w:vMerge w:val="continue"/>
            <w:vAlign w:val="center"/>
          </w:tcPr>
          <w:p w14:paraId="47736DBA">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仿宋" w:cs="Times New Roman"/>
                <w:color w:val="FF0000"/>
                <w:sz w:val="21"/>
                <w:szCs w:val="21"/>
              </w:rPr>
            </w:pPr>
          </w:p>
        </w:tc>
        <w:tc>
          <w:tcPr>
            <w:tcW w:w="210" w:type="pct"/>
            <w:vAlign w:val="center"/>
          </w:tcPr>
          <w:p w14:paraId="3EE08F4D">
            <w:pPr>
              <w:pStyle w:val="160"/>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5</w:t>
            </w:r>
          </w:p>
        </w:tc>
        <w:tc>
          <w:tcPr>
            <w:tcW w:w="1177" w:type="pct"/>
            <w:vAlign w:val="center"/>
          </w:tcPr>
          <w:p w14:paraId="36EEA02F">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林长制</w:t>
            </w:r>
          </w:p>
        </w:tc>
        <w:tc>
          <w:tcPr>
            <w:tcW w:w="334" w:type="pct"/>
            <w:vAlign w:val="center"/>
          </w:tcPr>
          <w:p w14:paraId="6C4BDAFF">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w:t>
            </w:r>
          </w:p>
        </w:tc>
        <w:tc>
          <w:tcPr>
            <w:tcW w:w="764" w:type="pct"/>
            <w:vAlign w:val="center"/>
          </w:tcPr>
          <w:p w14:paraId="6403510C">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实施</w:t>
            </w:r>
          </w:p>
        </w:tc>
        <w:tc>
          <w:tcPr>
            <w:tcW w:w="580" w:type="pct"/>
            <w:vAlign w:val="center"/>
          </w:tcPr>
          <w:p w14:paraId="60D1DA59">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全面实施</w:t>
            </w:r>
          </w:p>
        </w:tc>
        <w:tc>
          <w:tcPr>
            <w:tcW w:w="664" w:type="pct"/>
            <w:vAlign w:val="center"/>
          </w:tcPr>
          <w:p w14:paraId="22815AFA">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全面实施</w:t>
            </w:r>
          </w:p>
        </w:tc>
        <w:tc>
          <w:tcPr>
            <w:tcW w:w="668" w:type="pct"/>
            <w:vAlign w:val="center"/>
          </w:tcPr>
          <w:p w14:paraId="62824BA0">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全面实施</w:t>
            </w:r>
          </w:p>
        </w:tc>
      </w:tr>
      <w:tr w14:paraId="167F6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25" w:hRule="atLeast"/>
          <w:jc w:val="center"/>
        </w:trPr>
        <w:tc>
          <w:tcPr>
            <w:tcW w:w="173" w:type="pct"/>
            <w:vMerge w:val="continue"/>
            <w:vAlign w:val="center"/>
          </w:tcPr>
          <w:p w14:paraId="26D86431">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仿宋" w:cs="Times New Roman"/>
                <w:color w:val="FF0000"/>
                <w:sz w:val="21"/>
                <w:szCs w:val="21"/>
              </w:rPr>
            </w:pPr>
          </w:p>
        </w:tc>
        <w:tc>
          <w:tcPr>
            <w:tcW w:w="426" w:type="pct"/>
            <w:vMerge w:val="continue"/>
            <w:vAlign w:val="center"/>
          </w:tcPr>
          <w:p w14:paraId="074E8C26">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仿宋" w:cs="Times New Roman"/>
                <w:color w:val="FF0000"/>
                <w:sz w:val="21"/>
                <w:szCs w:val="21"/>
              </w:rPr>
            </w:pPr>
          </w:p>
        </w:tc>
        <w:tc>
          <w:tcPr>
            <w:tcW w:w="210" w:type="pct"/>
            <w:vAlign w:val="center"/>
          </w:tcPr>
          <w:p w14:paraId="262D3D6C">
            <w:pPr>
              <w:pStyle w:val="160"/>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6</w:t>
            </w:r>
          </w:p>
        </w:tc>
        <w:tc>
          <w:tcPr>
            <w:tcW w:w="1177" w:type="pct"/>
            <w:vAlign w:val="center"/>
          </w:tcPr>
          <w:p w14:paraId="03AFB3FB">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生态环境信息公开率</w:t>
            </w:r>
          </w:p>
        </w:tc>
        <w:tc>
          <w:tcPr>
            <w:tcW w:w="334" w:type="pct"/>
            <w:vAlign w:val="center"/>
          </w:tcPr>
          <w:p w14:paraId="53B04C64">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w:t>
            </w:r>
          </w:p>
        </w:tc>
        <w:tc>
          <w:tcPr>
            <w:tcW w:w="764" w:type="pct"/>
            <w:vAlign w:val="center"/>
          </w:tcPr>
          <w:p w14:paraId="14E3078C">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100</w:t>
            </w:r>
          </w:p>
        </w:tc>
        <w:tc>
          <w:tcPr>
            <w:tcW w:w="580" w:type="pct"/>
            <w:vAlign w:val="center"/>
          </w:tcPr>
          <w:p w14:paraId="193FA788">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100</w:t>
            </w:r>
          </w:p>
        </w:tc>
        <w:tc>
          <w:tcPr>
            <w:tcW w:w="664" w:type="pct"/>
            <w:vAlign w:val="center"/>
          </w:tcPr>
          <w:p w14:paraId="2C838669">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100</w:t>
            </w:r>
          </w:p>
        </w:tc>
        <w:tc>
          <w:tcPr>
            <w:tcW w:w="668" w:type="pct"/>
            <w:vAlign w:val="center"/>
          </w:tcPr>
          <w:p w14:paraId="36A2DF12">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100</w:t>
            </w:r>
          </w:p>
        </w:tc>
      </w:tr>
      <w:tr w14:paraId="2E649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25" w:hRule="atLeast"/>
          <w:jc w:val="center"/>
        </w:trPr>
        <w:tc>
          <w:tcPr>
            <w:tcW w:w="173" w:type="pct"/>
            <w:vMerge w:val="continue"/>
            <w:vAlign w:val="center"/>
          </w:tcPr>
          <w:p w14:paraId="63D55719">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仿宋" w:cs="Times New Roman"/>
                <w:color w:val="FF0000"/>
                <w:sz w:val="21"/>
                <w:szCs w:val="21"/>
              </w:rPr>
            </w:pPr>
          </w:p>
        </w:tc>
        <w:tc>
          <w:tcPr>
            <w:tcW w:w="426" w:type="pct"/>
            <w:vMerge w:val="continue"/>
            <w:vAlign w:val="center"/>
          </w:tcPr>
          <w:p w14:paraId="1FBE0D87">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仿宋" w:cs="Times New Roman"/>
                <w:color w:val="FF0000"/>
                <w:sz w:val="21"/>
                <w:szCs w:val="21"/>
              </w:rPr>
            </w:pPr>
          </w:p>
        </w:tc>
        <w:tc>
          <w:tcPr>
            <w:tcW w:w="210" w:type="pct"/>
            <w:vAlign w:val="center"/>
          </w:tcPr>
          <w:p w14:paraId="0DA50E50">
            <w:pPr>
              <w:pStyle w:val="160"/>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7</w:t>
            </w:r>
          </w:p>
        </w:tc>
        <w:tc>
          <w:tcPr>
            <w:tcW w:w="1177" w:type="pct"/>
            <w:vAlign w:val="center"/>
          </w:tcPr>
          <w:p w14:paraId="4181836B">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依法开展规划环境影响评价</w:t>
            </w:r>
          </w:p>
        </w:tc>
        <w:tc>
          <w:tcPr>
            <w:tcW w:w="334" w:type="pct"/>
            <w:vAlign w:val="center"/>
          </w:tcPr>
          <w:p w14:paraId="4E82CA2A">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w:t>
            </w:r>
          </w:p>
        </w:tc>
        <w:tc>
          <w:tcPr>
            <w:tcW w:w="764" w:type="pct"/>
            <w:vAlign w:val="center"/>
          </w:tcPr>
          <w:p w14:paraId="026A34F4">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开展</w:t>
            </w:r>
          </w:p>
        </w:tc>
        <w:tc>
          <w:tcPr>
            <w:tcW w:w="580" w:type="pct"/>
            <w:vAlign w:val="center"/>
          </w:tcPr>
          <w:p w14:paraId="2B21FD46">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开展</w:t>
            </w:r>
          </w:p>
        </w:tc>
        <w:tc>
          <w:tcPr>
            <w:tcW w:w="664" w:type="pct"/>
            <w:vAlign w:val="center"/>
          </w:tcPr>
          <w:p w14:paraId="08537B43">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开展</w:t>
            </w:r>
          </w:p>
        </w:tc>
        <w:tc>
          <w:tcPr>
            <w:tcW w:w="668" w:type="pct"/>
            <w:vAlign w:val="center"/>
          </w:tcPr>
          <w:p w14:paraId="190612E8">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开展</w:t>
            </w:r>
          </w:p>
        </w:tc>
      </w:tr>
      <w:tr w14:paraId="6D48D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832" w:hRule="atLeast"/>
          <w:jc w:val="center"/>
        </w:trPr>
        <w:tc>
          <w:tcPr>
            <w:tcW w:w="173" w:type="pct"/>
            <w:vMerge w:val="restart"/>
            <w:vAlign w:val="center"/>
          </w:tcPr>
          <w:p w14:paraId="091C70A5">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生态安全</w:t>
            </w:r>
          </w:p>
        </w:tc>
        <w:tc>
          <w:tcPr>
            <w:tcW w:w="426" w:type="pct"/>
            <w:vMerge w:val="restart"/>
            <w:shd w:val="clear" w:color="auto" w:fill="auto"/>
            <w:vAlign w:val="center"/>
          </w:tcPr>
          <w:p w14:paraId="386A9D3C">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（二）</w:t>
            </w:r>
          </w:p>
          <w:p w14:paraId="31774199">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生态环境质量改善</w:t>
            </w:r>
          </w:p>
        </w:tc>
        <w:tc>
          <w:tcPr>
            <w:tcW w:w="210" w:type="pct"/>
            <w:shd w:val="clear" w:color="auto" w:fill="auto"/>
            <w:vAlign w:val="center"/>
          </w:tcPr>
          <w:p w14:paraId="34B830BD">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8</w:t>
            </w:r>
          </w:p>
        </w:tc>
        <w:tc>
          <w:tcPr>
            <w:tcW w:w="1177" w:type="pct"/>
            <w:shd w:val="clear" w:color="auto" w:fill="auto"/>
            <w:vAlign w:val="center"/>
          </w:tcPr>
          <w:p w14:paraId="6698F403">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环境空气质量</w:t>
            </w:r>
          </w:p>
          <w:p w14:paraId="794DD6A9">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优良天数比例</w:t>
            </w:r>
          </w:p>
          <w:p w14:paraId="5335C8C3">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PM</w:t>
            </w:r>
            <w:r>
              <w:rPr>
                <w:rFonts w:hint="default" w:ascii="Times New Roman" w:hAnsi="Times New Roman" w:eastAsia="仿宋" w:cs="Times New Roman"/>
                <w:color w:val="auto"/>
                <w:sz w:val="21"/>
                <w:szCs w:val="21"/>
                <w:vertAlign w:val="subscript"/>
              </w:rPr>
              <w:t>2.5</w:t>
            </w:r>
            <w:r>
              <w:rPr>
                <w:rFonts w:hint="default" w:ascii="Times New Roman" w:hAnsi="Times New Roman" w:eastAsia="仿宋" w:cs="Times New Roman"/>
                <w:color w:val="auto"/>
                <w:sz w:val="21"/>
                <w:szCs w:val="21"/>
              </w:rPr>
              <w:t>浓度下降幅度/细颗粒物（PM</w:t>
            </w:r>
            <w:r>
              <w:rPr>
                <w:rFonts w:hint="default" w:ascii="Times New Roman" w:hAnsi="Times New Roman" w:eastAsia="仿宋" w:cs="Times New Roman"/>
                <w:color w:val="auto"/>
                <w:sz w:val="21"/>
                <w:szCs w:val="21"/>
                <w:vertAlign w:val="subscript"/>
              </w:rPr>
              <w:t>2.5</w:t>
            </w:r>
            <w:r>
              <w:rPr>
                <w:rFonts w:hint="default" w:ascii="Times New Roman" w:hAnsi="Times New Roman" w:eastAsia="仿宋" w:cs="Times New Roman"/>
                <w:color w:val="auto"/>
                <w:sz w:val="21"/>
                <w:szCs w:val="21"/>
              </w:rPr>
              <w:t>）浓度</w:t>
            </w:r>
          </w:p>
        </w:tc>
        <w:tc>
          <w:tcPr>
            <w:tcW w:w="334" w:type="pct"/>
            <w:shd w:val="clear" w:color="auto" w:fill="auto"/>
            <w:vAlign w:val="center"/>
          </w:tcPr>
          <w:p w14:paraId="666F5020">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p>
          <w:p w14:paraId="7A577A12">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w:t>
            </w:r>
          </w:p>
          <w:p w14:paraId="030C5DE8">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微克/立方米</w:t>
            </w:r>
          </w:p>
          <w:p w14:paraId="231571FC">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p>
        </w:tc>
        <w:tc>
          <w:tcPr>
            <w:tcW w:w="764" w:type="pct"/>
            <w:vAlign w:val="center"/>
          </w:tcPr>
          <w:p w14:paraId="22218085">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仿宋" w:cs="Times New Roman"/>
                <w:color w:val="auto"/>
                <w:sz w:val="21"/>
                <w:szCs w:val="21"/>
                <w:lang w:eastAsia="zh-CN"/>
              </w:rPr>
            </w:pPr>
            <w:r>
              <w:rPr>
                <w:rFonts w:ascii="Times New Roman" w:hAnsi="Times New Roman" w:eastAsia="仿宋" w:cs="Times New Roman"/>
                <w:color w:val="auto"/>
                <w:sz w:val="21"/>
                <w:szCs w:val="21"/>
              </w:rPr>
              <w:t>优良天数比例99.72%，PM</w:t>
            </w:r>
            <w:r>
              <w:rPr>
                <w:rFonts w:ascii="Times New Roman" w:hAnsi="Times New Roman" w:eastAsia="仿宋" w:cs="Times New Roman"/>
                <w:color w:val="auto"/>
                <w:sz w:val="21"/>
                <w:szCs w:val="21"/>
                <w:vertAlign w:val="subscript"/>
              </w:rPr>
              <w:t>2.5</w:t>
            </w:r>
            <w:r>
              <w:rPr>
                <w:rFonts w:ascii="Times New Roman" w:hAnsi="Times New Roman" w:eastAsia="仿宋" w:cs="Times New Roman"/>
                <w:color w:val="auto"/>
                <w:sz w:val="21"/>
                <w:szCs w:val="21"/>
              </w:rPr>
              <w:t>浓度18ug/m</w:t>
            </w:r>
            <w:r>
              <w:rPr>
                <w:rFonts w:ascii="Times New Roman" w:hAnsi="Times New Roman" w:eastAsia="仿宋" w:cs="Times New Roman"/>
                <w:color w:val="auto"/>
                <w:sz w:val="21"/>
                <w:szCs w:val="21"/>
                <w:vertAlign w:val="superscript"/>
              </w:rPr>
              <w:t>3</w:t>
            </w:r>
            <w:r>
              <w:rPr>
                <w:rFonts w:ascii="Times New Roman" w:hAnsi="Times New Roman" w:eastAsia="仿宋" w:cs="Times New Roman"/>
                <w:color w:val="auto"/>
                <w:sz w:val="21"/>
                <w:szCs w:val="21"/>
              </w:rPr>
              <w:t>，完成考核要求</w:t>
            </w:r>
            <w:r>
              <w:rPr>
                <w:rFonts w:hint="eastAsia" w:ascii="Times New Roman" w:hAnsi="Times New Roman" w:eastAsia="仿宋" w:cs="Times New Roman"/>
                <w:color w:val="auto"/>
                <w:sz w:val="21"/>
                <w:szCs w:val="21"/>
                <w:lang w:eastAsia="zh-CN"/>
              </w:rPr>
              <w:t>。</w:t>
            </w:r>
          </w:p>
        </w:tc>
        <w:tc>
          <w:tcPr>
            <w:tcW w:w="580" w:type="pct"/>
            <w:vAlign w:val="center"/>
          </w:tcPr>
          <w:p w14:paraId="550D5906">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完成上级规定的考核任务；保持稳定或持续改善</w:t>
            </w:r>
          </w:p>
        </w:tc>
        <w:tc>
          <w:tcPr>
            <w:tcW w:w="664" w:type="pct"/>
            <w:vAlign w:val="center"/>
          </w:tcPr>
          <w:p w14:paraId="3624B20C">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完成上级规定的考核任务；保持稳定或持续改善</w:t>
            </w:r>
          </w:p>
        </w:tc>
        <w:tc>
          <w:tcPr>
            <w:tcW w:w="668" w:type="pct"/>
            <w:vAlign w:val="center"/>
          </w:tcPr>
          <w:p w14:paraId="31D2FA1C">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lang w:val="en-US" w:eastAsia="zh-CN"/>
              </w:rPr>
            </w:pPr>
            <w:r>
              <w:rPr>
                <w:rFonts w:hint="default" w:ascii="Times New Roman" w:hAnsi="Times New Roman" w:eastAsia="仿宋" w:cs="Times New Roman"/>
                <w:color w:val="auto"/>
                <w:sz w:val="21"/>
                <w:szCs w:val="21"/>
              </w:rPr>
              <w:t>完成上级规定的考核任务；保持稳定或持续改善</w:t>
            </w:r>
          </w:p>
        </w:tc>
      </w:tr>
      <w:tr w14:paraId="00AE7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521" w:hRule="atLeast"/>
          <w:jc w:val="center"/>
        </w:trPr>
        <w:tc>
          <w:tcPr>
            <w:tcW w:w="173" w:type="pct"/>
            <w:vMerge w:val="continue"/>
            <w:vAlign w:val="center"/>
          </w:tcPr>
          <w:p w14:paraId="5A1EE395">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仿宋" w:cs="Times New Roman"/>
                <w:color w:val="FF0000"/>
                <w:sz w:val="21"/>
                <w:szCs w:val="21"/>
              </w:rPr>
            </w:pPr>
          </w:p>
        </w:tc>
        <w:tc>
          <w:tcPr>
            <w:tcW w:w="426" w:type="pct"/>
            <w:vMerge w:val="continue"/>
            <w:shd w:val="clear" w:color="auto" w:fill="auto"/>
            <w:vAlign w:val="center"/>
          </w:tcPr>
          <w:p w14:paraId="213B6D03">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仿宋" w:cs="Times New Roman"/>
                <w:color w:val="FF0000"/>
                <w:sz w:val="21"/>
                <w:szCs w:val="21"/>
              </w:rPr>
            </w:pPr>
          </w:p>
        </w:tc>
        <w:tc>
          <w:tcPr>
            <w:tcW w:w="210" w:type="pct"/>
            <w:shd w:val="clear" w:color="auto" w:fill="auto"/>
            <w:vAlign w:val="center"/>
          </w:tcPr>
          <w:p w14:paraId="7DA94883">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9</w:t>
            </w:r>
          </w:p>
        </w:tc>
        <w:tc>
          <w:tcPr>
            <w:tcW w:w="1177" w:type="pct"/>
            <w:shd w:val="clear" w:color="auto" w:fill="auto"/>
            <w:vAlign w:val="center"/>
          </w:tcPr>
          <w:p w14:paraId="382A1763">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水环境质量</w:t>
            </w:r>
          </w:p>
          <w:p w14:paraId="3A2A9AEA">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水质达到或优于Ⅲ类比例</w:t>
            </w:r>
          </w:p>
          <w:p w14:paraId="57DEE536">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劣V类水体比例</w:t>
            </w:r>
          </w:p>
          <w:p w14:paraId="44443AF1">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城市黑臭水体消除比例</w:t>
            </w:r>
          </w:p>
        </w:tc>
        <w:tc>
          <w:tcPr>
            <w:tcW w:w="334" w:type="pct"/>
            <w:shd w:val="clear" w:color="auto" w:fill="auto"/>
            <w:vAlign w:val="center"/>
          </w:tcPr>
          <w:p w14:paraId="3E218C41">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w:t>
            </w:r>
          </w:p>
        </w:tc>
        <w:tc>
          <w:tcPr>
            <w:tcW w:w="764" w:type="pct"/>
            <w:vAlign w:val="center"/>
          </w:tcPr>
          <w:p w14:paraId="7ADB8B67">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imes New Roman" w:hAnsi="Times New Roman" w:eastAsia="仿宋" w:cs="Times New Roman"/>
                <w:color w:val="auto"/>
                <w:sz w:val="21"/>
                <w:szCs w:val="21"/>
                <w:lang w:eastAsia="zh-CN"/>
              </w:rPr>
            </w:pPr>
            <w:r>
              <w:rPr>
                <w:rFonts w:hint="default" w:ascii="Times New Roman" w:hAnsi="Times New Roman" w:eastAsia="仿宋" w:cs="Times New Roman"/>
                <w:color w:val="auto"/>
                <w:sz w:val="21"/>
                <w:szCs w:val="21"/>
              </w:rPr>
              <w:t>水质达到或优于Ⅲ类比例</w:t>
            </w:r>
            <w:r>
              <w:rPr>
                <w:rFonts w:hint="default" w:ascii="Times New Roman" w:hAnsi="Times New Roman" w:eastAsia="仿宋" w:cs="Times New Roman"/>
                <w:color w:val="auto"/>
                <w:sz w:val="21"/>
                <w:szCs w:val="21"/>
                <w:lang w:val="en-US" w:eastAsia="zh-CN"/>
              </w:rPr>
              <w:t>100%，无</w:t>
            </w:r>
            <w:r>
              <w:rPr>
                <w:rFonts w:hint="default" w:ascii="Times New Roman" w:hAnsi="Times New Roman" w:eastAsia="仿宋" w:cs="Times New Roman"/>
                <w:color w:val="auto"/>
                <w:sz w:val="21"/>
                <w:szCs w:val="21"/>
              </w:rPr>
              <w:t>劣V类水体</w:t>
            </w:r>
            <w:r>
              <w:rPr>
                <w:rFonts w:hint="default" w:ascii="Times New Roman" w:hAnsi="Times New Roman" w:eastAsia="仿宋" w:cs="Times New Roman"/>
                <w:color w:val="auto"/>
                <w:sz w:val="21"/>
                <w:szCs w:val="21"/>
                <w:lang w:eastAsia="zh-CN"/>
              </w:rPr>
              <w:t>，无</w:t>
            </w:r>
            <w:r>
              <w:rPr>
                <w:rFonts w:hint="default" w:ascii="Times New Roman" w:hAnsi="Times New Roman" w:eastAsia="仿宋" w:cs="Times New Roman"/>
                <w:color w:val="auto"/>
                <w:sz w:val="21"/>
                <w:szCs w:val="21"/>
              </w:rPr>
              <w:t>黑臭水体</w:t>
            </w:r>
            <w:r>
              <w:rPr>
                <w:rFonts w:hint="eastAsia" w:ascii="Times New Roman" w:hAnsi="Times New Roman" w:eastAsia="仿宋" w:cs="Times New Roman"/>
                <w:color w:val="auto"/>
                <w:sz w:val="21"/>
                <w:szCs w:val="21"/>
                <w:lang w:eastAsia="zh-CN"/>
              </w:rPr>
              <w:t>。</w:t>
            </w:r>
          </w:p>
        </w:tc>
        <w:tc>
          <w:tcPr>
            <w:tcW w:w="580" w:type="pct"/>
            <w:vAlign w:val="center"/>
          </w:tcPr>
          <w:p w14:paraId="40D5BB2C">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完成上级规定的考核任务；保持稳定或持续改善</w:t>
            </w:r>
          </w:p>
        </w:tc>
        <w:tc>
          <w:tcPr>
            <w:tcW w:w="664" w:type="pct"/>
            <w:vAlign w:val="center"/>
          </w:tcPr>
          <w:p w14:paraId="10DFF6A3">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完成上级规定的考核任务；保持稳定或持续改善</w:t>
            </w:r>
          </w:p>
        </w:tc>
        <w:tc>
          <w:tcPr>
            <w:tcW w:w="668" w:type="pct"/>
            <w:vAlign w:val="center"/>
          </w:tcPr>
          <w:p w14:paraId="5227CB32">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完成上级规定的考核任务；保持稳定或持续改善</w:t>
            </w:r>
          </w:p>
        </w:tc>
      </w:tr>
      <w:tr w14:paraId="760F1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25" w:hRule="atLeast"/>
          <w:jc w:val="center"/>
        </w:trPr>
        <w:tc>
          <w:tcPr>
            <w:tcW w:w="173" w:type="pct"/>
            <w:vMerge w:val="continue"/>
            <w:vAlign w:val="center"/>
          </w:tcPr>
          <w:p w14:paraId="63F1DF27">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仿宋" w:cs="Times New Roman"/>
                <w:color w:val="FF0000"/>
                <w:sz w:val="21"/>
                <w:szCs w:val="21"/>
              </w:rPr>
            </w:pPr>
          </w:p>
        </w:tc>
        <w:tc>
          <w:tcPr>
            <w:tcW w:w="426" w:type="pct"/>
            <w:vMerge w:val="continue"/>
            <w:shd w:val="clear" w:color="auto" w:fill="auto"/>
            <w:vAlign w:val="center"/>
          </w:tcPr>
          <w:p w14:paraId="68A8E3D6">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仿宋" w:cs="Times New Roman"/>
                <w:color w:val="FF0000"/>
                <w:sz w:val="21"/>
                <w:szCs w:val="21"/>
              </w:rPr>
            </w:pPr>
          </w:p>
        </w:tc>
        <w:tc>
          <w:tcPr>
            <w:tcW w:w="210" w:type="pct"/>
            <w:shd w:val="clear" w:color="auto" w:fill="auto"/>
            <w:vAlign w:val="center"/>
          </w:tcPr>
          <w:p w14:paraId="2AEBF202">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10</w:t>
            </w:r>
          </w:p>
        </w:tc>
        <w:tc>
          <w:tcPr>
            <w:tcW w:w="1177" w:type="pct"/>
            <w:shd w:val="clear" w:color="auto" w:fill="auto"/>
            <w:vAlign w:val="center"/>
          </w:tcPr>
          <w:p w14:paraId="7F9FF3F5">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城市声环境质量</w:t>
            </w:r>
          </w:p>
        </w:tc>
        <w:tc>
          <w:tcPr>
            <w:tcW w:w="334" w:type="pct"/>
            <w:shd w:val="clear" w:color="auto" w:fill="auto"/>
            <w:vAlign w:val="center"/>
          </w:tcPr>
          <w:p w14:paraId="70493E1A">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w:t>
            </w:r>
          </w:p>
        </w:tc>
        <w:tc>
          <w:tcPr>
            <w:tcW w:w="764" w:type="pct"/>
            <w:vAlign w:val="center"/>
          </w:tcPr>
          <w:p w14:paraId="40514FC5">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lang w:val="en-US" w:eastAsia="zh-CN"/>
              </w:rPr>
            </w:pPr>
            <w:r>
              <w:rPr>
                <w:rFonts w:hint="default" w:ascii="Times New Roman" w:hAnsi="Times New Roman" w:eastAsia="仿宋" w:cs="Times New Roman"/>
                <w:color w:val="auto"/>
                <w:sz w:val="21"/>
                <w:szCs w:val="21"/>
                <w:lang w:val="en-US" w:eastAsia="zh-CN"/>
              </w:rPr>
              <w:t>100</w:t>
            </w:r>
          </w:p>
        </w:tc>
        <w:tc>
          <w:tcPr>
            <w:tcW w:w="580" w:type="pct"/>
            <w:vAlign w:val="center"/>
          </w:tcPr>
          <w:p w14:paraId="545AA534">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lang w:val="en-US" w:eastAsia="zh-CN"/>
              </w:rPr>
            </w:pPr>
            <w:r>
              <w:rPr>
                <w:rFonts w:hint="default" w:ascii="Times New Roman" w:hAnsi="Times New Roman" w:eastAsia="仿宋" w:cs="Times New Roman"/>
                <w:color w:val="auto"/>
                <w:sz w:val="21"/>
                <w:szCs w:val="21"/>
                <w:lang w:val="en-US" w:eastAsia="zh-CN"/>
              </w:rPr>
              <w:t>100</w:t>
            </w:r>
          </w:p>
        </w:tc>
        <w:tc>
          <w:tcPr>
            <w:tcW w:w="664" w:type="pct"/>
            <w:vAlign w:val="center"/>
          </w:tcPr>
          <w:p w14:paraId="51802027">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lang w:val="en-US" w:eastAsia="zh-CN"/>
              </w:rPr>
            </w:pPr>
            <w:r>
              <w:rPr>
                <w:rFonts w:hint="default" w:ascii="Times New Roman" w:hAnsi="Times New Roman" w:eastAsia="仿宋" w:cs="Times New Roman"/>
                <w:color w:val="auto"/>
                <w:sz w:val="21"/>
                <w:szCs w:val="21"/>
                <w:lang w:val="en-US" w:eastAsia="zh-CN"/>
              </w:rPr>
              <w:t>100</w:t>
            </w:r>
          </w:p>
        </w:tc>
        <w:tc>
          <w:tcPr>
            <w:tcW w:w="668" w:type="pct"/>
            <w:vAlign w:val="center"/>
          </w:tcPr>
          <w:p w14:paraId="34F8C738">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lang w:val="en-US" w:eastAsia="zh-CN"/>
              </w:rPr>
            </w:pPr>
            <w:r>
              <w:rPr>
                <w:rFonts w:hint="default" w:ascii="Times New Roman" w:hAnsi="Times New Roman" w:eastAsia="仿宋" w:cs="Times New Roman"/>
                <w:color w:val="auto"/>
                <w:sz w:val="21"/>
                <w:szCs w:val="21"/>
                <w:lang w:val="en-US" w:eastAsia="zh-CN"/>
              </w:rPr>
              <w:t>100</w:t>
            </w:r>
          </w:p>
        </w:tc>
      </w:tr>
      <w:tr w14:paraId="0A973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90" w:hRule="atLeast"/>
          <w:jc w:val="center"/>
        </w:trPr>
        <w:tc>
          <w:tcPr>
            <w:tcW w:w="173" w:type="pct"/>
            <w:vMerge w:val="continue"/>
            <w:vAlign w:val="center"/>
          </w:tcPr>
          <w:p w14:paraId="54E7F517">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仿宋" w:cs="Times New Roman"/>
                <w:color w:val="FF0000"/>
                <w:sz w:val="21"/>
                <w:szCs w:val="21"/>
              </w:rPr>
            </w:pPr>
          </w:p>
        </w:tc>
        <w:tc>
          <w:tcPr>
            <w:tcW w:w="426" w:type="pct"/>
            <w:vMerge w:val="restart"/>
            <w:shd w:val="clear" w:color="auto" w:fill="auto"/>
            <w:vAlign w:val="center"/>
          </w:tcPr>
          <w:p w14:paraId="4C716181">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（三）</w:t>
            </w:r>
          </w:p>
          <w:p w14:paraId="7809F8B8">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生态系统保护</w:t>
            </w:r>
          </w:p>
        </w:tc>
        <w:tc>
          <w:tcPr>
            <w:tcW w:w="210" w:type="pct"/>
            <w:shd w:val="clear" w:color="auto" w:fill="auto"/>
            <w:vAlign w:val="center"/>
          </w:tcPr>
          <w:p w14:paraId="2563F05B">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11</w:t>
            </w:r>
          </w:p>
        </w:tc>
        <w:tc>
          <w:tcPr>
            <w:tcW w:w="1177" w:type="pct"/>
            <w:shd w:val="clear" w:color="auto" w:fill="auto"/>
            <w:vAlign w:val="center"/>
          </w:tcPr>
          <w:p w14:paraId="10C5C1A8">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生态环境状况指数</w:t>
            </w:r>
          </w:p>
          <w:p w14:paraId="3D7B9DDD">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（湿润地区）</w:t>
            </w:r>
          </w:p>
        </w:tc>
        <w:tc>
          <w:tcPr>
            <w:tcW w:w="334" w:type="pct"/>
            <w:shd w:val="clear" w:color="auto" w:fill="auto"/>
            <w:vAlign w:val="center"/>
          </w:tcPr>
          <w:p w14:paraId="4B905042">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w:t>
            </w:r>
          </w:p>
        </w:tc>
        <w:tc>
          <w:tcPr>
            <w:tcW w:w="764" w:type="pct"/>
            <w:vAlign w:val="center"/>
          </w:tcPr>
          <w:p w14:paraId="54341160">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lang w:val="en-US" w:eastAsia="zh-CN"/>
              </w:rPr>
            </w:pPr>
            <w:r>
              <w:rPr>
                <w:rFonts w:hint="default" w:ascii="Times New Roman" w:hAnsi="Times New Roman" w:eastAsia="仿宋" w:cs="Times New Roman"/>
                <w:color w:val="auto"/>
                <w:sz w:val="21"/>
                <w:szCs w:val="21"/>
                <w:lang w:val="en-US" w:eastAsia="zh-CN"/>
              </w:rPr>
              <w:t>79.1</w:t>
            </w:r>
          </w:p>
        </w:tc>
        <w:tc>
          <w:tcPr>
            <w:tcW w:w="580" w:type="pct"/>
            <w:vAlign w:val="center"/>
          </w:tcPr>
          <w:p w14:paraId="4540BCCC">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保持稳定或</w:t>
            </w:r>
            <w:r>
              <w:rPr>
                <w:rFonts w:hint="eastAsia" w:ascii="Times New Roman" w:hAnsi="Times New Roman" w:eastAsia="仿宋" w:cs="Times New Roman"/>
                <w:color w:val="auto"/>
                <w:sz w:val="21"/>
                <w:szCs w:val="21"/>
                <w:lang w:val="en-US" w:eastAsia="zh-CN"/>
              </w:rPr>
              <w:t>持续</w:t>
            </w:r>
            <w:r>
              <w:rPr>
                <w:rFonts w:hint="default" w:ascii="Times New Roman" w:hAnsi="Times New Roman" w:eastAsia="仿宋" w:cs="Times New Roman"/>
                <w:color w:val="auto"/>
                <w:sz w:val="21"/>
                <w:szCs w:val="21"/>
              </w:rPr>
              <w:t>变好</w:t>
            </w:r>
          </w:p>
        </w:tc>
        <w:tc>
          <w:tcPr>
            <w:tcW w:w="664" w:type="pct"/>
            <w:vAlign w:val="center"/>
          </w:tcPr>
          <w:p w14:paraId="18830890">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保持稳定或</w:t>
            </w:r>
            <w:r>
              <w:rPr>
                <w:rFonts w:hint="eastAsia" w:ascii="Times New Roman" w:hAnsi="Times New Roman" w:eastAsia="仿宋" w:cs="Times New Roman"/>
                <w:color w:val="auto"/>
                <w:sz w:val="21"/>
                <w:szCs w:val="21"/>
                <w:lang w:val="en-US" w:eastAsia="zh-CN"/>
              </w:rPr>
              <w:t>持续</w:t>
            </w:r>
            <w:r>
              <w:rPr>
                <w:rFonts w:hint="default" w:ascii="Times New Roman" w:hAnsi="Times New Roman" w:eastAsia="仿宋" w:cs="Times New Roman"/>
                <w:color w:val="auto"/>
                <w:sz w:val="21"/>
                <w:szCs w:val="21"/>
              </w:rPr>
              <w:t>变好</w:t>
            </w:r>
          </w:p>
        </w:tc>
        <w:tc>
          <w:tcPr>
            <w:tcW w:w="668" w:type="pct"/>
            <w:vAlign w:val="center"/>
          </w:tcPr>
          <w:p w14:paraId="56D7B565">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lang w:val="en-US" w:eastAsia="zh-CN"/>
              </w:rPr>
            </w:pPr>
            <w:r>
              <w:rPr>
                <w:rFonts w:hint="default" w:ascii="Times New Roman" w:hAnsi="Times New Roman" w:eastAsia="仿宋" w:cs="Times New Roman"/>
                <w:color w:val="auto"/>
                <w:sz w:val="21"/>
                <w:szCs w:val="21"/>
              </w:rPr>
              <w:t>保持稳定或</w:t>
            </w:r>
            <w:r>
              <w:rPr>
                <w:rFonts w:hint="eastAsia" w:ascii="Times New Roman" w:hAnsi="Times New Roman" w:eastAsia="仿宋" w:cs="Times New Roman"/>
                <w:color w:val="auto"/>
                <w:sz w:val="21"/>
                <w:szCs w:val="21"/>
                <w:lang w:val="en-US" w:eastAsia="zh-CN"/>
              </w:rPr>
              <w:t>持续</w:t>
            </w:r>
            <w:r>
              <w:rPr>
                <w:rFonts w:hint="default" w:ascii="Times New Roman" w:hAnsi="Times New Roman" w:eastAsia="仿宋" w:cs="Times New Roman"/>
                <w:color w:val="auto"/>
                <w:sz w:val="21"/>
                <w:szCs w:val="21"/>
              </w:rPr>
              <w:t>变好</w:t>
            </w:r>
          </w:p>
        </w:tc>
      </w:tr>
      <w:tr w14:paraId="78FE2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0" w:hRule="atLeast"/>
          <w:jc w:val="center"/>
        </w:trPr>
        <w:tc>
          <w:tcPr>
            <w:tcW w:w="173" w:type="pct"/>
            <w:vMerge w:val="continue"/>
            <w:vAlign w:val="center"/>
          </w:tcPr>
          <w:p w14:paraId="75C0E51D">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仿宋" w:cs="Times New Roman"/>
                <w:color w:val="FF0000"/>
                <w:sz w:val="21"/>
                <w:szCs w:val="21"/>
              </w:rPr>
            </w:pPr>
          </w:p>
        </w:tc>
        <w:tc>
          <w:tcPr>
            <w:tcW w:w="426" w:type="pct"/>
            <w:vMerge w:val="continue"/>
            <w:shd w:val="clear" w:color="auto" w:fill="auto"/>
            <w:vAlign w:val="center"/>
          </w:tcPr>
          <w:p w14:paraId="513AA675">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p>
        </w:tc>
        <w:tc>
          <w:tcPr>
            <w:tcW w:w="210" w:type="pct"/>
            <w:vMerge w:val="restart"/>
            <w:shd w:val="clear" w:color="auto" w:fill="auto"/>
            <w:vAlign w:val="center"/>
          </w:tcPr>
          <w:p w14:paraId="383A9EBC">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12</w:t>
            </w:r>
          </w:p>
        </w:tc>
        <w:tc>
          <w:tcPr>
            <w:tcW w:w="1177" w:type="pct"/>
            <w:shd w:val="clear" w:color="auto" w:fill="auto"/>
            <w:vAlign w:val="center"/>
          </w:tcPr>
          <w:p w14:paraId="2D31B866">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林草覆盖率</w:t>
            </w:r>
          </w:p>
          <w:p w14:paraId="281D6838">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（山区）</w:t>
            </w:r>
          </w:p>
        </w:tc>
        <w:tc>
          <w:tcPr>
            <w:tcW w:w="334" w:type="pct"/>
            <w:vMerge w:val="restart"/>
            <w:shd w:val="clear" w:color="auto" w:fill="auto"/>
            <w:vAlign w:val="center"/>
          </w:tcPr>
          <w:p w14:paraId="0991B180">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w:t>
            </w:r>
          </w:p>
        </w:tc>
        <w:tc>
          <w:tcPr>
            <w:tcW w:w="764" w:type="pct"/>
            <w:vAlign w:val="center"/>
          </w:tcPr>
          <w:p w14:paraId="4B3804A6">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lang w:val="en-US" w:eastAsia="zh-CN"/>
              </w:rPr>
              <w:t>73.71</w:t>
            </w:r>
          </w:p>
        </w:tc>
        <w:tc>
          <w:tcPr>
            <w:tcW w:w="580" w:type="pct"/>
            <w:vAlign w:val="center"/>
          </w:tcPr>
          <w:p w14:paraId="5E1D725C">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lang w:val="en-US"/>
              </w:rPr>
            </w:pPr>
            <w:r>
              <w:rPr>
                <w:rFonts w:hint="default" w:ascii="Times New Roman" w:hAnsi="Times New Roman" w:eastAsia="仿宋" w:cs="Times New Roman"/>
                <w:color w:val="auto"/>
                <w:sz w:val="21"/>
                <w:szCs w:val="21"/>
              </w:rPr>
              <w:t>保持稳定或</w:t>
            </w:r>
            <w:r>
              <w:rPr>
                <w:rFonts w:hint="eastAsia" w:ascii="Times New Roman" w:hAnsi="Times New Roman" w:eastAsia="仿宋" w:cs="Times New Roman"/>
                <w:color w:val="auto"/>
                <w:sz w:val="21"/>
                <w:szCs w:val="21"/>
                <w:lang w:val="en-US" w:eastAsia="zh-CN"/>
              </w:rPr>
              <w:t>逐年提高</w:t>
            </w:r>
          </w:p>
        </w:tc>
        <w:tc>
          <w:tcPr>
            <w:tcW w:w="664" w:type="pct"/>
            <w:vAlign w:val="center"/>
          </w:tcPr>
          <w:p w14:paraId="11CDE578">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保持稳定或</w:t>
            </w:r>
            <w:r>
              <w:rPr>
                <w:rFonts w:hint="eastAsia" w:ascii="Times New Roman" w:hAnsi="Times New Roman" w:eastAsia="仿宋" w:cs="Times New Roman"/>
                <w:color w:val="auto"/>
                <w:sz w:val="21"/>
                <w:szCs w:val="21"/>
                <w:lang w:val="en-US" w:eastAsia="zh-CN"/>
              </w:rPr>
              <w:t>逐年提高</w:t>
            </w:r>
          </w:p>
        </w:tc>
        <w:tc>
          <w:tcPr>
            <w:tcW w:w="668" w:type="pct"/>
            <w:vAlign w:val="center"/>
          </w:tcPr>
          <w:p w14:paraId="79CF4580">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lang w:val="en-US" w:eastAsia="zh-CN"/>
              </w:rPr>
            </w:pPr>
            <w:r>
              <w:rPr>
                <w:rFonts w:hint="default" w:ascii="Times New Roman" w:hAnsi="Times New Roman" w:eastAsia="仿宋" w:cs="Times New Roman"/>
                <w:color w:val="auto"/>
                <w:sz w:val="21"/>
                <w:szCs w:val="21"/>
              </w:rPr>
              <w:t>保持稳定或</w:t>
            </w:r>
            <w:r>
              <w:rPr>
                <w:rFonts w:hint="eastAsia" w:ascii="Times New Roman" w:hAnsi="Times New Roman" w:eastAsia="仿宋" w:cs="Times New Roman"/>
                <w:color w:val="auto"/>
                <w:sz w:val="21"/>
                <w:szCs w:val="21"/>
                <w:lang w:val="en-US" w:eastAsia="zh-CN"/>
              </w:rPr>
              <w:t>逐年提高</w:t>
            </w:r>
          </w:p>
        </w:tc>
      </w:tr>
      <w:tr w14:paraId="63B17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06" w:hRule="atLeast"/>
          <w:jc w:val="center"/>
        </w:trPr>
        <w:tc>
          <w:tcPr>
            <w:tcW w:w="173" w:type="pct"/>
            <w:vMerge w:val="continue"/>
            <w:vAlign w:val="center"/>
          </w:tcPr>
          <w:p w14:paraId="63A1225F">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仿宋" w:cs="Times New Roman"/>
                <w:color w:val="FF0000"/>
                <w:sz w:val="21"/>
                <w:szCs w:val="21"/>
              </w:rPr>
            </w:pPr>
          </w:p>
        </w:tc>
        <w:tc>
          <w:tcPr>
            <w:tcW w:w="426" w:type="pct"/>
            <w:vMerge w:val="continue"/>
            <w:shd w:val="clear" w:color="auto" w:fill="auto"/>
            <w:vAlign w:val="center"/>
          </w:tcPr>
          <w:p w14:paraId="3CDB46FC">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p>
        </w:tc>
        <w:tc>
          <w:tcPr>
            <w:tcW w:w="210" w:type="pct"/>
            <w:vMerge w:val="continue"/>
            <w:shd w:val="clear" w:color="auto" w:fill="auto"/>
            <w:vAlign w:val="center"/>
          </w:tcPr>
          <w:p w14:paraId="10A3813C">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p>
        </w:tc>
        <w:tc>
          <w:tcPr>
            <w:tcW w:w="1177" w:type="pct"/>
            <w:shd w:val="clear" w:color="auto" w:fill="auto"/>
            <w:vAlign w:val="center"/>
          </w:tcPr>
          <w:p w14:paraId="33204C6C">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森林覆盖率</w:t>
            </w:r>
          </w:p>
        </w:tc>
        <w:tc>
          <w:tcPr>
            <w:tcW w:w="334" w:type="pct"/>
            <w:vMerge w:val="continue"/>
            <w:shd w:val="clear" w:color="auto" w:fill="auto"/>
            <w:vAlign w:val="center"/>
          </w:tcPr>
          <w:p w14:paraId="5CAE2C11">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p>
        </w:tc>
        <w:tc>
          <w:tcPr>
            <w:tcW w:w="764" w:type="pct"/>
            <w:vAlign w:val="center"/>
          </w:tcPr>
          <w:p w14:paraId="5A454B1C">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lang w:val="en-US" w:eastAsia="zh-CN"/>
              </w:rPr>
            </w:pPr>
            <w:r>
              <w:rPr>
                <w:rFonts w:hint="default" w:ascii="Times New Roman" w:hAnsi="Times New Roman" w:eastAsia="仿宋" w:cs="Times New Roman"/>
                <w:color w:val="auto"/>
                <w:sz w:val="21"/>
                <w:szCs w:val="21"/>
              </w:rPr>
              <w:t>73.66</w:t>
            </w:r>
          </w:p>
        </w:tc>
        <w:tc>
          <w:tcPr>
            <w:tcW w:w="580" w:type="pct"/>
            <w:vAlign w:val="center"/>
          </w:tcPr>
          <w:p w14:paraId="1D92A5A7">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保持稳定或</w:t>
            </w:r>
            <w:r>
              <w:rPr>
                <w:rFonts w:hint="eastAsia" w:ascii="Times New Roman" w:hAnsi="Times New Roman" w:eastAsia="仿宋" w:cs="Times New Roman"/>
                <w:color w:val="auto"/>
                <w:sz w:val="21"/>
                <w:szCs w:val="21"/>
                <w:lang w:val="en-US" w:eastAsia="zh-CN"/>
              </w:rPr>
              <w:t>逐年提高</w:t>
            </w:r>
          </w:p>
        </w:tc>
        <w:tc>
          <w:tcPr>
            <w:tcW w:w="664" w:type="pct"/>
            <w:vAlign w:val="center"/>
          </w:tcPr>
          <w:p w14:paraId="0442CC91">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保持稳定或</w:t>
            </w:r>
            <w:r>
              <w:rPr>
                <w:rFonts w:hint="eastAsia" w:ascii="Times New Roman" w:hAnsi="Times New Roman" w:eastAsia="仿宋" w:cs="Times New Roman"/>
                <w:color w:val="auto"/>
                <w:sz w:val="21"/>
                <w:szCs w:val="21"/>
                <w:lang w:val="en-US" w:eastAsia="zh-CN"/>
              </w:rPr>
              <w:t>逐年提高</w:t>
            </w:r>
          </w:p>
        </w:tc>
        <w:tc>
          <w:tcPr>
            <w:tcW w:w="668" w:type="pct"/>
            <w:vAlign w:val="center"/>
          </w:tcPr>
          <w:p w14:paraId="206A0192">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保持稳定或</w:t>
            </w:r>
            <w:r>
              <w:rPr>
                <w:rFonts w:hint="eastAsia" w:ascii="Times New Roman" w:hAnsi="Times New Roman" w:eastAsia="仿宋" w:cs="Times New Roman"/>
                <w:color w:val="auto"/>
                <w:sz w:val="21"/>
                <w:szCs w:val="21"/>
                <w:lang w:val="en-US" w:eastAsia="zh-CN"/>
              </w:rPr>
              <w:t>逐年提高</w:t>
            </w:r>
          </w:p>
        </w:tc>
      </w:tr>
      <w:tr w14:paraId="1467B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1" w:hRule="atLeast"/>
          <w:jc w:val="center"/>
        </w:trPr>
        <w:tc>
          <w:tcPr>
            <w:tcW w:w="173" w:type="pct"/>
            <w:vMerge w:val="continue"/>
            <w:vAlign w:val="center"/>
          </w:tcPr>
          <w:p w14:paraId="04A8540B">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FF0000"/>
                <w:sz w:val="21"/>
                <w:szCs w:val="21"/>
              </w:rPr>
            </w:pPr>
          </w:p>
        </w:tc>
        <w:tc>
          <w:tcPr>
            <w:tcW w:w="426" w:type="pct"/>
            <w:vMerge w:val="continue"/>
            <w:shd w:val="clear" w:color="auto" w:fill="auto"/>
            <w:vAlign w:val="center"/>
          </w:tcPr>
          <w:p w14:paraId="43BD74D2">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p>
        </w:tc>
        <w:tc>
          <w:tcPr>
            <w:tcW w:w="210" w:type="pct"/>
            <w:shd w:val="clear" w:color="auto" w:fill="auto"/>
            <w:vAlign w:val="center"/>
          </w:tcPr>
          <w:p w14:paraId="769FA006">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13</w:t>
            </w:r>
          </w:p>
        </w:tc>
        <w:tc>
          <w:tcPr>
            <w:tcW w:w="1177" w:type="pct"/>
            <w:shd w:val="clear" w:color="auto" w:fill="auto"/>
            <w:vAlign w:val="center"/>
          </w:tcPr>
          <w:p w14:paraId="4AE7DBB6">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生物多样性保护</w:t>
            </w:r>
          </w:p>
          <w:p w14:paraId="7CF4620A">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国家重点保护野生动植物保护率</w:t>
            </w:r>
          </w:p>
          <w:p w14:paraId="71DB51E9">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外来物种入侵</w:t>
            </w:r>
          </w:p>
          <w:p w14:paraId="33AA6B32">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特有性或指示性水生物种保持率</w:t>
            </w:r>
          </w:p>
        </w:tc>
        <w:tc>
          <w:tcPr>
            <w:tcW w:w="334" w:type="pct"/>
            <w:shd w:val="clear" w:color="auto" w:fill="auto"/>
            <w:vAlign w:val="center"/>
          </w:tcPr>
          <w:p w14:paraId="6E5ADAEE">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p>
          <w:p w14:paraId="1350A3FE">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w:t>
            </w:r>
          </w:p>
          <w:p w14:paraId="5F3C2389">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w:t>
            </w:r>
          </w:p>
          <w:p w14:paraId="470F754F">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w:t>
            </w:r>
          </w:p>
        </w:tc>
        <w:tc>
          <w:tcPr>
            <w:tcW w:w="764" w:type="pct"/>
            <w:vAlign w:val="center"/>
          </w:tcPr>
          <w:p w14:paraId="50CD7407">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eastAsia" w:ascii="Times New Roman" w:hAnsi="Times New Roman" w:eastAsia="仿宋" w:cs="Times New Roman"/>
                <w:color w:val="auto"/>
                <w:sz w:val="21"/>
                <w:szCs w:val="21"/>
                <w:lang w:val="en-US" w:eastAsia="zh-CN"/>
              </w:rPr>
              <w:t>95</w:t>
            </w:r>
            <w:r>
              <w:rPr>
                <w:rFonts w:hint="default" w:ascii="Times New Roman" w:hAnsi="Times New Roman" w:eastAsia="仿宋" w:cs="Times New Roman"/>
                <w:color w:val="auto"/>
                <w:sz w:val="21"/>
                <w:szCs w:val="21"/>
              </w:rPr>
              <w:t>不明显</w:t>
            </w:r>
          </w:p>
          <w:p w14:paraId="43F3B17C">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不降低</w:t>
            </w:r>
          </w:p>
        </w:tc>
        <w:tc>
          <w:tcPr>
            <w:tcW w:w="580" w:type="pct"/>
            <w:vAlign w:val="center"/>
          </w:tcPr>
          <w:p w14:paraId="5D43A85F">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lang w:val="en-US" w:eastAsia="zh-CN"/>
              </w:rPr>
            </w:pPr>
            <w:r>
              <w:rPr>
                <w:rFonts w:hint="eastAsia" w:ascii="Times New Roman" w:hAnsi="Times New Roman" w:eastAsia="仿宋" w:cs="Times New Roman"/>
                <w:color w:val="auto"/>
                <w:sz w:val="21"/>
                <w:szCs w:val="21"/>
                <w:lang w:val="en-US" w:eastAsia="zh-CN"/>
              </w:rPr>
              <w:t>＞95</w:t>
            </w:r>
          </w:p>
          <w:p w14:paraId="09CDFA1B">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不明显</w:t>
            </w:r>
          </w:p>
          <w:p w14:paraId="4810AAA3">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不降低</w:t>
            </w:r>
          </w:p>
        </w:tc>
        <w:tc>
          <w:tcPr>
            <w:tcW w:w="664" w:type="pct"/>
            <w:vAlign w:val="center"/>
          </w:tcPr>
          <w:p w14:paraId="6F611B8E">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lang w:val="en-US" w:eastAsia="zh-CN"/>
              </w:rPr>
            </w:pPr>
            <w:r>
              <w:rPr>
                <w:rFonts w:hint="eastAsia" w:ascii="Times New Roman" w:hAnsi="Times New Roman" w:eastAsia="仿宋" w:cs="Times New Roman"/>
                <w:color w:val="auto"/>
                <w:sz w:val="21"/>
                <w:szCs w:val="21"/>
                <w:lang w:val="en-US" w:eastAsia="zh-CN"/>
              </w:rPr>
              <w:t>＞95</w:t>
            </w:r>
          </w:p>
          <w:p w14:paraId="2D6B96EF">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不明显</w:t>
            </w:r>
          </w:p>
          <w:p w14:paraId="7CE425EC">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不降低</w:t>
            </w:r>
          </w:p>
        </w:tc>
        <w:tc>
          <w:tcPr>
            <w:tcW w:w="668" w:type="pct"/>
            <w:vAlign w:val="center"/>
          </w:tcPr>
          <w:p w14:paraId="7F54B568">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lang w:val="en-US" w:eastAsia="zh-CN"/>
              </w:rPr>
            </w:pPr>
            <w:r>
              <w:rPr>
                <w:rFonts w:hint="eastAsia" w:ascii="Times New Roman" w:hAnsi="Times New Roman" w:eastAsia="仿宋" w:cs="Times New Roman"/>
                <w:color w:val="auto"/>
                <w:sz w:val="21"/>
                <w:szCs w:val="21"/>
                <w:lang w:val="en-US" w:eastAsia="zh-CN"/>
              </w:rPr>
              <w:t>＞95</w:t>
            </w:r>
          </w:p>
          <w:p w14:paraId="613397C7">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不明显</w:t>
            </w:r>
          </w:p>
          <w:p w14:paraId="3EC0E510">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不降低</w:t>
            </w:r>
          </w:p>
        </w:tc>
      </w:tr>
      <w:tr w14:paraId="6123D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25" w:hRule="atLeast"/>
          <w:jc w:val="center"/>
        </w:trPr>
        <w:tc>
          <w:tcPr>
            <w:tcW w:w="173" w:type="pct"/>
            <w:vMerge w:val="restart"/>
            <w:vAlign w:val="center"/>
          </w:tcPr>
          <w:p w14:paraId="3A629CE0">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生态安全</w:t>
            </w:r>
          </w:p>
        </w:tc>
        <w:tc>
          <w:tcPr>
            <w:tcW w:w="426" w:type="pct"/>
            <w:vMerge w:val="restart"/>
            <w:shd w:val="clear" w:color="auto" w:fill="auto"/>
            <w:vAlign w:val="center"/>
          </w:tcPr>
          <w:p w14:paraId="01FF87CD">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（四）</w:t>
            </w:r>
          </w:p>
          <w:p w14:paraId="6FEA94FF">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生态环境风险防范</w:t>
            </w:r>
          </w:p>
        </w:tc>
        <w:tc>
          <w:tcPr>
            <w:tcW w:w="210" w:type="pct"/>
            <w:shd w:val="clear" w:color="auto" w:fill="auto"/>
            <w:vAlign w:val="center"/>
          </w:tcPr>
          <w:p w14:paraId="066C2027">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14</w:t>
            </w:r>
          </w:p>
        </w:tc>
        <w:tc>
          <w:tcPr>
            <w:tcW w:w="1177" w:type="pct"/>
            <w:shd w:val="clear" w:color="auto" w:fill="auto"/>
            <w:vAlign w:val="center"/>
          </w:tcPr>
          <w:p w14:paraId="0E5A7815">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危险废物利用处置率</w:t>
            </w:r>
          </w:p>
        </w:tc>
        <w:tc>
          <w:tcPr>
            <w:tcW w:w="334" w:type="pct"/>
            <w:shd w:val="clear" w:color="auto" w:fill="auto"/>
            <w:vAlign w:val="center"/>
          </w:tcPr>
          <w:p w14:paraId="55CD47E0">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w:t>
            </w:r>
          </w:p>
        </w:tc>
        <w:tc>
          <w:tcPr>
            <w:tcW w:w="764" w:type="pct"/>
            <w:vAlign w:val="center"/>
          </w:tcPr>
          <w:p w14:paraId="257C1A07">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100</w:t>
            </w:r>
          </w:p>
        </w:tc>
        <w:tc>
          <w:tcPr>
            <w:tcW w:w="580" w:type="pct"/>
            <w:vAlign w:val="center"/>
          </w:tcPr>
          <w:p w14:paraId="74DC2264">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100</w:t>
            </w:r>
          </w:p>
        </w:tc>
        <w:tc>
          <w:tcPr>
            <w:tcW w:w="664" w:type="pct"/>
            <w:vAlign w:val="center"/>
          </w:tcPr>
          <w:p w14:paraId="47DF84A7">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lang w:val="en-US" w:eastAsia="zh-CN"/>
              </w:rPr>
              <w:t>100</w:t>
            </w:r>
          </w:p>
        </w:tc>
        <w:tc>
          <w:tcPr>
            <w:tcW w:w="668" w:type="pct"/>
            <w:vAlign w:val="center"/>
          </w:tcPr>
          <w:p w14:paraId="4A605C92">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lang w:val="en-US" w:eastAsia="zh-CN"/>
              </w:rPr>
            </w:pPr>
            <w:r>
              <w:rPr>
                <w:rFonts w:hint="default" w:ascii="Times New Roman" w:hAnsi="Times New Roman" w:eastAsia="仿宋" w:cs="Times New Roman"/>
                <w:color w:val="auto"/>
                <w:sz w:val="21"/>
                <w:szCs w:val="21"/>
                <w:lang w:val="en-US" w:eastAsia="zh-CN"/>
              </w:rPr>
              <w:t>100</w:t>
            </w:r>
          </w:p>
        </w:tc>
      </w:tr>
      <w:tr w14:paraId="156DD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25" w:hRule="atLeast"/>
          <w:jc w:val="center"/>
        </w:trPr>
        <w:tc>
          <w:tcPr>
            <w:tcW w:w="173" w:type="pct"/>
            <w:vMerge w:val="continue"/>
            <w:vAlign w:val="center"/>
          </w:tcPr>
          <w:p w14:paraId="6B22ECDB">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仿宋" w:cs="Times New Roman"/>
                <w:color w:val="FF0000"/>
                <w:sz w:val="21"/>
                <w:szCs w:val="21"/>
              </w:rPr>
            </w:pPr>
          </w:p>
        </w:tc>
        <w:tc>
          <w:tcPr>
            <w:tcW w:w="426" w:type="pct"/>
            <w:vMerge w:val="continue"/>
            <w:shd w:val="clear" w:color="auto" w:fill="auto"/>
            <w:vAlign w:val="center"/>
          </w:tcPr>
          <w:p w14:paraId="78173935">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仿宋" w:cs="Times New Roman"/>
                <w:color w:val="FF0000"/>
                <w:sz w:val="21"/>
                <w:szCs w:val="21"/>
              </w:rPr>
            </w:pPr>
          </w:p>
        </w:tc>
        <w:tc>
          <w:tcPr>
            <w:tcW w:w="210" w:type="pct"/>
            <w:shd w:val="clear" w:color="auto" w:fill="auto"/>
            <w:vAlign w:val="center"/>
          </w:tcPr>
          <w:p w14:paraId="5FFED379">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15</w:t>
            </w:r>
          </w:p>
        </w:tc>
        <w:tc>
          <w:tcPr>
            <w:tcW w:w="1177" w:type="pct"/>
            <w:shd w:val="clear" w:color="auto" w:fill="auto"/>
            <w:vAlign w:val="center"/>
          </w:tcPr>
          <w:p w14:paraId="50A02859">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建设用地土壤污染风险管控和修复名录制度</w:t>
            </w:r>
          </w:p>
        </w:tc>
        <w:tc>
          <w:tcPr>
            <w:tcW w:w="334" w:type="pct"/>
            <w:shd w:val="clear" w:color="auto" w:fill="auto"/>
            <w:vAlign w:val="center"/>
          </w:tcPr>
          <w:p w14:paraId="7890F96D">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w:t>
            </w:r>
          </w:p>
        </w:tc>
        <w:tc>
          <w:tcPr>
            <w:tcW w:w="764" w:type="pct"/>
            <w:vAlign w:val="center"/>
          </w:tcPr>
          <w:p w14:paraId="2F5F0073">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建立</w:t>
            </w:r>
          </w:p>
        </w:tc>
        <w:tc>
          <w:tcPr>
            <w:tcW w:w="580" w:type="pct"/>
            <w:vAlign w:val="center"/>
          </w:tcPr>
          <w:p w14:paraId="6BE94BC1">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实施</w:t>
            </w:r>
          </w:p>
        </w:tc>
        <w:tc>
          <w:tcPr>
            <w:tcW w:w="664" w:type="pct"/>
            <w:vAlign w:val="center"/>
          </w:tcPr>
          <w:p w14:paraId="7AC69D6A">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实施</w:t>
            </w:r>
          </w:p>
        </w:tc>
        <w:tc>
          <w:tcPr>
            <w:tcW w:w="668" w:type="pct"/>
            <w:vAlign w:val="center"/>
          </w:tcPr>
          <w:p w14:paraId="342F55B4">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实施</w:t>
            </w:r>
          </w:p>
        </w:tc>
      </w:tr>
      <w:tr w14:paraId="63605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25" w:hRule="atLeast"/>
          <w:jc w:val="center"/>
        </w:trPr>
        <w:tc>
          <w:tcPr>
            <w:tcW w:w="173" w:type="pct"/>
            <w:vMerge w:val="continue"/>
            <w:vAlign w:val="center"/>
          </w:tcPr>
          <w:p w14:paraId="5B957696">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仿宋" w:cs="Times New Roman"/>
                <w:color w:val="FF0000"/>
                <w:sz w:val="21"/>
                <w:szCs w:val="21"/>
              </w:rPr>
            </w:pPr>
          </w:p>
        </w:tc>
        <w:tc>
          <w:tcPr>
            <w:tcW w:w="426" w:type="pct"/>
            <w:vMerge w:val="continue"/>
            <w:shd w:val="clear" w:color="auto" w:fill="auto"/>
            <w:vAlign w:val="center"/>
          </w:tcPr>
          <w:p w14:paraId="07912945">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仿宋" w:cs="Times New Roman"/>
                <w:color w:val="FF0000"/>
                <w:sz w:val="21"/>
                <w:szCs w:val="21"/>
              </w:rPr>
            </w:pPr>
          </w:p>
        </w:tc>
        <w:tc>
          <w:tcPr>
            <w:tcW w:w="210" w:type="pct"/>
            <w:shd w:val="clear" w:color="auto" w:fill="auto"/>
            <w:vAlign w:val="center"/>
          </w:tcPr>
          <w:p w14:paraId="6447903A">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16</w:t>
            </w:r>
          </w:p>
        </w:tc>
        <w:tc>
          <w:tcPr>
            <w:tcW w:w="1177" w:type="pct"/>
            <w:shd w:val="clear" w:color="auto" w:fill="auto"/>
            <w:vAlign w:val="center"/>
          </w:tcPr>
          <w:p w14:paraId="2026F3E7">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突发生态环境事件应急管理机制</w:t>
            </w:r>
          </w:p>
        </w:tc>
        <w:tc>
          <w:tcPr>
            <w:tcW w:w="334" w:type="pct"/>
            <w:shd w:val="clear" w:color="auto" w:fill="auto"/>
            <w:vAlign w:val="center"/>
          </w:tcPr>
          <w:p w14:paraId="604C3010">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w:t>
            </w:r>
          </w:p>
        </w:tc>
        <w:tc>
          <w:tcPr>
            <w:tcW w:w="764" w:type="pct"/>
            <w:vAlign w:val="center"/>
          </w:tcPr>
          <w:p w14:paraId="63AD7AE1">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建立</w:t>
            </w:r>
          </w:p>
        </w:tc>
        <w:tc>
          <w:tcPr>
            <w:tcW w:w="580" w:type="pct"/>
            <w:vAlign w:val="center"/>
          </w:tcPr>
          <w:p w14:paraId="5CC7C0EE">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建立</w:t>
            </w:r>
          </w:p>
        </w:tc>
        <w:tc>
          <w:tcPr>
            <w:tcW w:w="664" w:type="pct"/>
            <w:vAlign w:val="center"/>
          </w:tcPr>
          <w:p w14:paraId="3AE1AFE5">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建立</w:t>
            </w:r>
          </w:p>
        </w:tc>
        <w:tc>
          <w:tcPr>
            <w:tcW w:w="668" w:type="pct"/>
            <w:vAlign w:val="center"/>
          </w:tcPr>
          <w:p w14:paraId="65D99F13">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建立</w:t>
            </w:r>
          </w:p>
        </w:tc>
      </w:tr>
      <w:tr w14:paraId="03D8D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86" w:hRule="atLeast"/>
          <w:jc w:val="center"/>
        </w:trPr>
        <w:tc>
          <w:tcPr>
            <w:tcW w:w="173" w:type="pct"/>
            <w:vMerge w:val="continue"/>
            <w:vAlign w:val="center"/>
          </w:tcPr>
          <w:p w14:paraId="3ABA5629">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仿宋" w:cs="Times New Roman"/>
                <w:color w:val="FF0000"/>
                <w:sz w:val="21"/>
                <w:szCs w:val="21"/>
              </w:rPr>
            </w:pPr>
          </w:p>
        </w:tc>
        <w:tc>
          <w:tcPr>
            <w:tcW w:w="426" w:type="pct"/>
            <w:vMerge w:val="continue"/>
            <w:shd w:val="clear" w:color="auto" w:fill="auto"/>
            <w:vAlign w:val="center"/>
          </w:tcPr>
          <w:p w14:paraId="6F647F22">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仿宋" w:cs="Times New Roman"/>
                <w:color w:val="FF0000"/>
                <w:sz w:val="21"/>
                <w:szCs w:val="21"/>
              </w:rPr>
            </w:pPr>
          </w:p>
        </w:tc>
        <w:tc>
          <w:tcPr>
            <w:tcW w:w="210" w:type="pct"/>
            <w:shd w:val="clear" w:color="auto" w:fill="auto"/>
            <w:vAlign w:val="center"/>
          </w:tcPr>
          <w:p w14:paraId="7A285E32">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17</w:t>
            </w:r>
          </w:p>
        </w:tc>
        <w:tc>
          <w:tcPr>
            <w:tcW w:w="1177" w:type="pct"/>
            <w:shd w:val="clear" w:color="auto" w:fill="auto"/>
            <w:vAlign w:val="center"/>
          </w:tcPr>
          <w:p w14:paraId="64DD481C">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受污染耕地安全利用率</w:t>
            </w:r>
          </w:p>
        </w:tc>
        <w:tc>
          <w:tcPr>
            <w:tcW w:w="334" w:type="pct"/>
            <w:shd w:val="clear" w:color="auto" w:fill="auto"/>
            <w:vAlign w:val="center"/>
          </w:tcPr>
          <w:p w14:paraId="2F00E84A">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w:t>
            </w:r>
          </w:p>
        </w:tc>
        <w:tc>
          <w:tcPr>
            <w:tcW w:w="764" w:type="pct"/>
            <w:vAlign w:val="center"/>
          </w:tcPr>
          <w:p w14:paraId="0E3724D6">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完成上级规定的考核任务</w:t>
            </w:r>
          </w:p>
        </w:tc>
        <w:tc>
          <w:tcPr>
            <w:tcW w:w="580" w:type="pct"/>
            <w:vAlign w:val="center"/>
          </w:tcPr>
          <w:p w14:paraId="3613ED11">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完成上级规定的考核任务</w:t>
            </w:r>
          </w:p>
        </w:tc>
        <w:tc>
          <w:tcPr>
            <w:tcW w:w="664" w:type="pct"/>
            <w:vAlign w:val="center"/>
          </w:tcPr>
          <w:p w14:paraId="7424864A">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完成上级规定的考核任务</w:t>
            </w:r>
          </w:p>
        </w:tc>
        <w:tc>
          <w:tcPr>
            <w:tcW w:w="668" w:type="pct"/>
            <w:vAlign w:val="center"/>
          </w:tcPr>
          <w:p w14:paraId="1A1C1B0C">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完成上级规定的考核任务</w:t>
            </w:r>
          </w:p>
        </w:tc>
      </w:tr>
      <w:tr w14:paraId="3B01F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25" w:hRule="atLeast"/>
          <w:jc w:val="center"/>
        </w:trPr>
        <w:tc>
          <w:tcPr>
            <w:tcW w:w="173" w:type="pct"/>
            <w:vMerge w:val="continue"/>
            <w:vAlign w:val="center"/>
          </w:tcPr>
          <w:p w14:paraId="78A70059">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仿宋" w:cs="Times New Roman"/>
                <w:color w:val="FF0000"/>
                <w:sz w:val="21"/>
                <w:szCs w:val="21"/>
              </w:rPr>
            </w:pPr>
          </w:p>
        </w:tc>
        <w:tc>
          <w:tcPr>
            <w:tcW w:w="426" w:type="pct"/>
            <w:vMerge w:val="continue"/>
            <w:shd w:val="clear" w:color="auto" w:fill="auto"/>
            <w:vAlign w:val="center"/>
          </w:tcPr>
          <w:p w14:paraId="5F79F0B9">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仿宋" w:cs="Times New Roman"/>
                <w:color w:val="FF0000"/>
                <w:sz w:val="21"/>
                <w:szCs w:val="21"/>
              </w:rPr>
            </w:pPr>
          </w:p>
        </w:tc>
        <w:tc>
          <w:tcPr>
            <w:tcW w:w="210" w:type="pct"/>
            <w:shd w:val="clear" w:color="auto" w:fill="auto"/>
            <w:vAlign w:val="center"/>
          </w:tcPr>
          <w:p w14:paraId="5E0D97E9">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18</w:t>
            </w:r>
          </w:p>
        </w:tc>
        <w:tc>
          <w:tcPr>
            <w:tcW w:w="1177" w:type="pct"/>
            <w:shd w:val="clear" w:color="auto" w:fill="auto"/>
            <w:vAlign w:val="center"/>
          </w:tcPr>
          <w:p w14:paraId="6DA5F41C">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重点建设用地安全利用</w:t>
            </w:r>
          </w:p>
        </w:tc>
        <w:tc>
          <w:tcPr>
            <w:tcW w:w="334" w:type="pct"/>
            <w:shd w:val="clear" w:color="auto" w:fill="auto"/>
            <w:vAlign w:val="center"/>
          </w:tcPr>
          <w:p w14:paraId="580DD656">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w:t>
            </w:r>
          </w:p>
        </w:tc>
        <w:tc>
          <w:tcPr>
            <w:tcW w:w="764" w:type="pct"/>
            <w:vAlign w:val="center"/>
          </w:tcPr>
          <w:p w14:paraId="669D76C8">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w:t>
            </w:r>
          </w:p>
        </w:tc>
        <w:tc>
          <w:tcPr>
            <w:tcW w:w="580" w:type="pct"/>
            <w:vAlign w:val="center"/>
          </w:tcPr>
          <w:p w14:paraId="461C742F">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有效保障</w:t>
            </w:r>
          </w:p>
        </w:tc>
        <w:tc>
          <w:tcPr>
            <w:tcW w:w="664" w:type="pct"/>
            <w:vAlign w:val="center"/>
          </w:tcPr>
          <w:p w14:paraId="65E926BA">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有效保障</w:t>
            </w:r>
          </w:p>
        </w:tc>
        <w:tc>
          <w:tcPr>
            <w:tcW w:w="668" w:type="pct"/>
            <w:vAlign w:val="center"/>
          </w:tcPr>
          <w:p w14:paraId="1191BC15">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有效保障</w:t>
            </w:r>
          </w:p>
        </w:tc>
      </w:tr>
      <w:tr w14:paraId="11AFF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38" w:hRule="atLeast"/>
          <w:jc w:val="center"/>
        </w:trPr>
        <w:tc>
          <w:tcPr>
            <w:tcW w:w="173" w:type="pct"/>
            <w:vMerge w:val="restart"/>
            <w:vAlign w:val="center"/>
          </w:tcPr>
          <w:p w14:paraId="67374B0A">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生态空间</w:t>
            </w:r>
          </w:p>
        </w:tc>
        <w:tc>
          <w:tcPr>
            <w:tcW w:w="426" w:type="pct"/>
            <w:vMerge w:val="restart"/>
            <w:shd w:val="clear" w:color="auto" w:fill="auto"/>
            <w:vAlign w:val="center"/>
          </w:tcPr>
          <w:p w14:paraId="0FA6EBB7">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（五）</w:t>
            </w:r>
          </w:p>
          <w:p w14:paraId="19854C5E">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空间格局优化</w:t>
            </w:r>
          </w:p>
        </w:tc>
        <w:tc>
          <w:tcPr>
            <w:tcW w:w="210" w:type="pct"/>
            <w:vMerge w:val="restart"/>
            <w:shd w:val="clear" w:color="auto" w:fill="auto"/>
            <w:vAlign w:val="center"/>
          </w:tcPr>
          <w:p w14:paraId="25B9F35B">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19</w:t>
            </w:r>
          </w:p>
        </w:tc>
        <w:tc>
          <w:tcPr>
            <w:tcW w:w="1177" w:type="pct"/>
            <w:shd w:val="clear" w:color="auto" w:fill="auto"/>
            <w:vAlign w:val="center"/>
          </w:tcPr>
          <w:p w14:paraId="2A41BA3A">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自然生态空间</w:t>
            </w:r>
          </w:p>
          <w:p w14:paraId="44DBAA02">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生态保护红线</w:t>
            </w:r>
          </w:p>
          <w:p w14:paraId="5CADA953">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p>
        </w:tc>
        <w:tc>
          <w:tcPr>
            <w:tcW w:w="334" w:type="pct"/>
            <w:vMerge w:val="restart"/>
            <w:shd w:val="clear" w:color="auto" w:fill="auto"/>
            <w:vAlign w:val="center"/>
          </w:tcPr>
          <w:p w14:paraId="2F863650">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w:t>
            </w:r>
          </w:p>
        </w:tc>
        <w:tc>
          <w:tcPr>
            <w:tcW w:w="764" w:type="pct"/>
            <w:shd w:val="clear" w:color="auto" w:fill="auto"/>
            <w:vAlign w:val="center"/>
          </w:tcPr>
          <w:p w14:paraId="2CCE22F6">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lang w:val="en-US" w:eastAsia="zh-CN"/>
              </w:rPr>
              <w:t>面积为1203.31平方千米，占国土面积的28.21%，面积不减少，性质不改变，功能不降低</w:t>
            </w:r>
          </w:p>
        </w:tc>
        <w:tc>
          <w:tcPr>
            <w:tcW w:w="580" w:type="pct"/>
            <w:shd w:val="clear" w:color="auto" w:fill="auto"/>
            <w:vAlign w:val="center"/>
          </w:tcPr>
          <w:p w14:paraId="02069B5F">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生态保护红线</w:t>
            </w:r>
          </w:p>
          <w:p w14:paraId="46F8C9AC">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lang w:val="zh-CN"/>
              </w:rPr>
              <w:t>性质不改变，功能</w:t>
            </w:r>
            <w:r>
              <w:rPr>
                <w:rFonts w:hint="default" w:ascii="Times New Roman" w:hAnsi="Times New Roman" w:eastAsia="仿宋" w:cs="Times New Roman"/>
                <w:color w:val="auto"/>
                <w:sz w:val="21"/>
                <w:szCs w:val="21"/>
              </w:rPr>
              <w:t>不降低</w:t>
            </w:r>
          </w:p>
        </w:tc>
        <w:tc>
          <w:tcPr>
            <w:tcW w:w="664" w:type="pct"/>
            <w:shd w:val="clear" w:color="auto" w:fill="auto"/>
            <w:vAlign w:val="center"/>
          </w:tcPr>
          <w:p w14:paraId="1F41B916">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生态保护红线</w:t>
            </w:r>
          </w:p>
          <w:p w14:paraId="5945C2EA">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lang w:val="zh-CN"/>
              </w:rPr>
              <w:t>性质不改变，功能</w:t>
            </w:r>
            <w:r>
              <w:rPr>
                <w:rFonts w:hint="default" w:ascii="Times New Roman" w:hAnsi="Times New Roman" w:eastAsia="仿宋" w:cs="Times New Roman"/>
                <w:color w:val="auto"/>
                <w:sz w:val="21"/>
                <w:szCs w:val="21"/>
              </w:rPr>
              <w:t>不降低</w:t>
            </w:r>
          </w:p>
        </w:tc>
        <w:tc>
          <w:tcPr>
            <w:tcW w:w="668" w:type="pct"/>
            <w:shd w:val="clear" w:color="auto" w:fill="auto"/>
            <w:vAlign w:val="center"/>
          </w:tcPr>
          <w:p w14:paraId="4D2878EC">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生态保护红线</w:t>
            </w:r>
          </w:p>
          <w:p w14:paraId="4C286938">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lang w:val="en-US" w:eastAsia="zh-CN"/>
              </w:rPr>
            </w:pPr>
            <w:r>
              <w:rPr>
                <w:rFonts w:hint="default" w:ascii="Times New Roman" w:hAnsi="Times New Roman" w:eastAsia="仿宋" w:cs="Times New Roman"/>
                <w:color w:val="auto"/>
                <w:sz w:val="21"/>
                <w:szCs w:val="21"/>
                <w:lang w:val="zh-CN"/>
              </w:rPr>
              <w:t>性质不改变，功能</w:t>
            </w:r>
            <w:r>
              <w:rPr>
                <w:rFonts w:hint="default" w:ascii="Times New Roman" w:hAnsi="Times New Roman" w:eastAsia="仿宋" w:cs="Times New Roman"/>
                <w:color w:val="auto"/>
                <w:sz w:val="21"/>
                <w:szCs w:val="21"/>
              </w:rPr>
              <w:t>不降低</w:t>
            </w:r>
          </w:p>
        </w:tc>
      </w:tr>
      <w:tr w14:paraId="50681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25" w:hRule="atLeast"/>
          <w:jc w:val="center"/>
        </w:trPr>
        <w:tc>
          <w:tcPr>
            <w:tcW w:w="173" w:type="pct"/>
            <w:vMerge w:val="continue"/>
            <w:vAlign w:val="center"/>
          </w:tcPr>
          <w:p w14:paraId="1DFE6BC4">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p>
        </w:tc>
        <w:tc>
          <w:tcPr>
            <w:tcW w:w="426" w:type="pct"/>
            <w:vMerge w:val="continue"/>
            <w:shd w:val="clear" w:color="auto" w:fill="auto"/>
            <w:vAlign w:val="center"/>
          </w:tcPr>
          <w:p w14:paraId="59CC4340">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p>
        </w:tc>
        <w:tc>
          <w:tcPr>
            <w:tcW w:w="210" w:type="pct"/>
            <w:vMerge w:val="continue"/>
            <w:shd w:val="clear" w:color="auto" w:fill="auto"/>
            <w:vAlign w:val="center"/>
          </w:tcPr>
          <w:p w14:paraId="165C160E">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p>
        </w:tc>
        <w:tc>
          <w:tcPr>
            <w:tcW w:w="1177" w:type="pct"/>
            <w:shd w:val="clear" w:color="auto" w:fill="auto"/>
            <w:vAlign w:val="center"/>
          </w:tcPr>
          <w:p w14:paraId="2D808A3F">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自然保护地</w:t>
            </w:r>
          </w:p>
        </w:tc>
        <w:tc>
          <w:tcPr>
            <w:tcW w:w="334" w:type="pct"/>
            <w:vMerge w:val="continue"/>
            <w:shd w:val="clear" w:color="auto" w:fill="auto"/>
            <w:vAlign w:val="center"/>
          </w:tcPr>
          <w:p w14:paraId="5C8257A8">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p>
        </w:tc>
        <w:tc>
          <w:tcPr>
            <w:tcW w:w="764" w:type="pct"/>
            <w:vAlign w:val="center"/>
          </w:tcPr>
          <w:p w14:paraId="3B80E3AF">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lang w:val="zh-CN"/>
              </w:rPr>
            </w:pPr>
            <w:r>
              <w:rPr>
                <w:rFonts w:hint="default" w:ascii="Times New Roman" w:hAnsi="Times New Roman" w:eastAsia="仿宋" w:cs="Times New Roman"/>
                <w:color w:val="auto"/>
                <w:sz w:val="21"/>
                <w:szCs w:val="21"/>
                <w:lang w:val="en-US" w:eastAsia="zh-CN"/>
              </w:rPr>
              <w:t>5个，数量与面积不减少</w:t>
            </w:r>
          </w:p>
        </w:tc>
        <w:tc>
          <w:tcPr>
            <w:tcW w:w="580" w:type="pct"/>
            <w:vAlign w:val="center"/>
          </w:tcPr>
          <w:p w14:paraId="3EDA419C">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lang w:val="zh-CN"/>
              </w:rPr>
            </w:pPr>
            <w:r>
              <w:rPr>
                <w:rFonts w:hint="default" w:ascii="Times New Roman" w:hAnsi="Times New Roman" w:eastAsia="仿宋" w:cs="Times New Roman"/>
                <w:color w:val="auto"/>
                <w:sz w:val="21"/>
                <w:szCs w:val="21"/>
              </w:rPr>
              <w:t>自然保护地数量与面积不减少</w:t>
            </w:r>
          </w:p>
        </w:tc>
        <w:tc>
          <w:tcPr>
            <w:tcW w:w="664" w:type="pct"/>
            <w:vAlign w:val="center"/>
          </w:tcPr>
          <w:p w14:paraId="008392AD">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lang w:val="zh-CN"/>
              </w:rPr>
            </w:pPr>
            <w:r>
              <w:rPr>
                <w:rFonts w:hint="default" w:ascii="Times New Roman" w:hAnsi="Times New Roman" w:eastAsia="仿宋" w:cs="Times New Roman"/>
                <w:color w:val="auto"/>
                <w:sz w:val="21"/>
                <w:szCs w:val="21"/>
              </w:rPr>
              <w:t>自然保护地数量与面积不减少</w:t>
            </w:r>
          </w:p>
        </w:tc>
        <w:tc>
          <w:tcPr>
            <w:tcW w:w="668" w:type="pct"/>
            <w:vAlign w:val="center"/>
          </w:tcPr>
          <w:p w14:paraId="12723950">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lang w:val="en-US" w:eastAsia="zh-CN"/>
              </w:rPr>
            </w:pPr>
            <w:r>
              <w:rPr>
                <w:rFonts w:hint="default" w:ascii="Times New Roman" w:hAnsi="Times New Roman" w:eastAsia="仿宋" w:cs="Times New Roman"/>
                <w:color w:val="auto"/>
                <w:sz w:val="21"/>
                <w:szCs w:val="21"/>
              </w:rPr>
              <w:t>自然保护地数量与面积不减少</w:t>
            </w:r>
          </w:p>
        </w:tc>
      </w:tr>
      <w:tr w14:paraId="220E5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25" w:hRule="atLeast"/>
          <w:jc w:val="center"/>
        </w:trPr>
        <w:tc>
          <w:tcPr>
            <w:tcW w:w="173" w:type="pct"/>
            <w:vMerge w:val="continue"/>
            <w:vAlign w:val="center"/>
          </w:tcPr>
          <w:p w14:paraId="15049316">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p>
        </w:tc>
        <w:tc>
          <w:tcPr>
            <w:tcW w:w="426" w:type="pct"/>
            <w:vMerge w:val="continue"/>
            <w:shd w:val="clear" w:color="auto" w:fill="auto"/>
            <w:vAlign w:val="center"/>
          </w:tcPr>
          <w:p w14:paraId="595294B3">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p>
        </w:tc>
        <w:tc>
          <w:tcPr>
            <w:tcW w:w="210" w:type="pct"/>
            <w:vMerge w:val="continue"/>
            <w:shd w:val="clear" w:color="auto" w:fill="auto"/>
            <w:vAlign w:val="center"/>
          </w:tcPr>
          <w:p w14:paraId="7B6EC3FA">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p>
        </w:tc>
        <w:tc>
          <w:tcPr>
            <w:tcW w:w="1177" w:type="pct"/>
            <w:shd w:val="clear" w:color="auto" w:fill="auto"/>
            <w:vAlign w:val="center"/>
          </w:tcPr>
          <w:p w14:paraId="59E52F84">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永久基本农田保护红线</w:t>
            </w:r>
          </w:p>
        </w:tc>
        <w:tc>
          <w:tcPr>
            <w:tcW w:w="334" w:type="pct"/>
            <w:vMerge w:val="continue"/>
            <w:shd w:val="clear" w:color="auto" w:fill="auto"/>
            <w:vAlign w:val="center"/>
          </w:tcPr>
          <w:p w14:paraId="035386E1">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p>
        </w:tc>
        <w:tc>
          <w:tcPr>
            <w:tcW w:w="764" w:type="pct"/>
            <w:vAlign w:val="center"/>
          </w:tcPr>
          <w:p w14:paraId="5E8D47FE">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lang w:val="zh-CN"/>
              </w:rPr>
            </w:pPr>
            <w:r>
              <w:rPr>
                <w:rFonts w:hint="default" w:ascii="Times New Roman" w:hAnsi="Times New Roman" w:eastAsia="仿宋" w:cs="Times New Roman"/>
                <w:color w:val="auto"/>
                <w:sz w:val="21"/>
                <w:szCs w:val="21"/>
                <w:lang w:val="en-US" w:eastAsia="zh-CN"/>
              </w:rPr>
              <w:t>面积为58.4982万亩，面积不减少，质量不降低，布局更优化</w:t>
            </w:r>
          </w:p>
        </w:tc>
        <w:tc>
          <w:tcPr>
            <w:tcW w:w="580" w:type="pct"/>
            <w:vAlign w:val="center"/>
          </w:tcPr>
          <w:p w14:paraId="791BB0D2">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lang w:val="zh-CN"/>
              </w:rPr>
            </w:pPr>
            <w:r>
              <w:rPr>
                <w:rFonts w:hint="default" w:ascii="Times New Roman" w:hAnsi="Times New Roman" w:eastAsia="仿宋" w:cs="Times New Roman"/>
                <w:color w:val="auto"/>
                <w:sz w:val="21"/>
                <w:szCs w:val="21"/>
              </w:rPr>
              <w:t>面积不减少，质量不降低，布局更优化</w:t>
            </w:r>
          </w:p>
        </w:tc>
        <w:tc>
          <w:tcPr>
            <w:tcW w:w="664" w:type="pct"/>
            <w:vAlign w:val="center"/>
          </w:tcPr>
          <w:p w14:paraId="57AF983C">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lang w:val="zh-CN"/>
              </w:rPr>
            </w:pPr>
            <w:r>
              <w:rPr>
                <w:rFonts w:hint="default" w:ascii="Times New Roman" w:hAnsi="Times New Roman" w:eastAsia="仿宋" w:cs="Times New Roman"/>
                <w:color w:val="auto"/>
                <w:sz w:val="21"/>
                <w:szCs w:val="21"/>
              </w:rPr>
              <w:t>面积不减少，质量不降低，布局更优化</w:t>
            </w:r>
          </w:p>
        </w:tc>
        <w:tc>
          <w:tcPr>
            <w:tcW w:w="668" w:type="pct"/>
            <w:vAlign w:val="center"/>
          </w:tcPr>
          <w:p w14:paraId="39BB9911">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lang w:val="en-US" w:eastAsia="zh-CN"/>
              </w:rPr>
            </w:pPr>
            <w:r>
              <w:rPr>
                <w:rFonts w:hint="default" w:ascii="Times New Roman" w:hAnsi="Times New Roman" w:eastAsia="仿宋" w:cs="Times New Roman"/>
                <w:color w:val="auto"/>
                <w:sz w:val="21"/>
                <w:szCs w:val="21"/>
              </w:rPr>
              <w:t>面积不减少，质量不降低，布局更优化</w:t>
            </w:r>
          </w:p>
        </w:tc>
      </w:tr>
      <w:tr w14:paraId="0E136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859" w:hRule="atLeast"/>
          <w:jc w:val="center"/>
        </w:trPr>
        <w:tc>
          <w:tcPr>
            <w:tcW w:w="173" w:type="pct"/>
            <w:vMerge w:val="continue"/>
            <w:vAlign w:val="center"/>
          </w:tcPr>
          <w:p w14:paraId="0C43B833">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p>
        </w:tc>
        <w:tc>
          <w:tcPr>
            <w:tcW w:w="426" w:type="pct"/>
            <w:vMerge w:val="continue"/>
            <w:shd w:val="clear" w:color="auto" w:fill="auto"/>
            <w:vAlign w:val="center"/>
          </w:tcPr>
          <w:p w14:paraId="03517372">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p>
        </w:tc>
        <w:tc>
          <w:tcPr>
            <w:tcW w:w="210" w:type="pct"/>
            <w:shd w:val="clear" w:color="auto" w:fill="auto"/>
            <w:vAlign w:val="center"/>
          </w:tcPr>
          <w:p w14:paraId="19CE607D">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20</w:t>
            </w:r>
          </w:p>
        </w:tc>
        <w:tc>
          <w:tcPr>
            <w:tcW w:w="1177" w:type="pct"/>
            <w:shd w:val="clear" w:color="auto" w:fill="auto"/>
            <w:vAlign w:val="center"/>
          </w:tcPr>
          <w:p w14:paraId="0D5921EE">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河湖岸线保护率</w:t>
            </w:r>
          </w:p>
        </w:tc>
        <w:tc>
          <w:tcPr>
            <w:tcW w:w="334" w:type="pct"/>
            <w:shd w:val="clear" w:color="auto" w:fill="auto"/>
            <w:vAlign w:val="center"/>
          </w:tcPr>
          <w:p w14:paraId="725BAB98">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w:t>
            </w:r>
          </w:p>
        </w:tc>
        <w:tc>
          <w:tcPr>
            <w:tcW w:w="764" w:type="pct"/>
            <w:vAlign w:val="center"/>
          </w:tcPr>
          <w:p w14:paraId="777BD8B7">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lang w:val="zh-CN"/>
              </w:rPr>
            </w:pPr>
            <w:r>
              <w:rPr>
                <w:rFonts w:hint="default" w:ascii="Times New Roman" w:hAnsi="Times New Roman" w:eastAsia="仿宋" w:cs="Times New Roman"/>
                <w:color w:val="auto"/>
                <w:sz w:val="21"/>
                <w:szCs w:val="21"/>
              </w:rPr>
              <w:t>完成上级管控目标</w:t>
            </w:r>
          </w:p>
        </w:tc>
        <w:tc>
          <w:tcPr>
            <w:tcW w:w="580" w:type="pct"/>
            <w:vAlign w:val="center"/>
          </w:tcPr>
          <w:p w14:paraId="347D2B1F">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lang w:val="zh-CN"/>
              </w:rPr>
            </w:pPr>
            <w:r>
              <w:rPr>
                <w:rFonts w:hint="default" w:ascii="Times New Roman" w:hAnsi="Times New Roman" w:eastAsia="仿宋" w:cs="Times New Roman"/>
                <w:color w:val="auto"/>
                <w:sz w:val="21"/>
                <w:szCs w:val="21"/>
              </w:rPr>
              <w:t>完成上级管控目标</w:t>
            </w:r>
          </w:p>
        </w:tc>
        <w:tc>
          <w:tcPr>
            <w:tcW w:w="664" w:type="pct"/>
            <w:vAlign w:val="center"/>
          </w:tcPr>
          <w:p w14:paraId="4D127CF8">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lang w:val="zh-CN"/>
              </w:rPr>
            </w:pPr>
            <w:r>
              <w:rPr>
                <w:rFonts w:hint="default" w:ascii="Times New Roman" w:hAnsi="Times New Roman" w:eastAsia="仿宋" w:cs="Times New Roman"/>
                <w:color w:val="auto"/>
                <w:sz w:val="21"/>
                <w:szCs w:val="21"/>
              </w:rPr>
              <w:t>完成上级管控目标</w:t>
            </w:r>
          </w:p>
        </w:tc>
        <w:tc>
          <w:tcPr>
            <w:tcW w:w="668" w:type="pct"/>
            <w:vAlign w:val="center"/>
          </w:tcPr>
          <w:p w14:paraId="49265C70">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完成上级管控目标</w:t>
            </w:r>
          </w:p>
        </w:tc>
      </w:tr>
      <w:tr w14:paraId="067C6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0" w:hRule="atLeast"/>
          <w:jc w:val="center"/>
        </w:trPr>
        <w:tc>
          <w:tcPr>
            <w:tcW w:w="173" w:type="pct"/>
            <w:vMerge w:val="restart"/>
            <w:vAlign w:val="center"/>
          </w:tcPr>
          <w:p w14:paraId="47368744">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生态经济</w:t>
            </w:r>
          </w:p>
        </w:tc>
        <w:tc>
          <w:tcPr>
            <w:tcW w:w="426" w:type="pct"/>
            <w:vMerge w:val="restart"/>
            <w:shd w:val="clear" w:color="auto" w:fill="auto"/>
            <w:vAlign w:val="center"/>
          </w:tcPr>
          <w:p w14:paraId="0ED974F5">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（六）</w:t>
            </w:r>
          </w:p>
          <w:p w14:paraId="389EF1D8">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资源节约与利用</w:t>
            </w:r>
          </w:p>
        </w:tc>
        <w:tc>
          <w:tcPr>
            <w:tcW w:w="210" w:type="pct"/>
            <w:shd w:val="clear" w:color="auto" w:fill="auto"/>
            <w:vAlign w:val="center"/>
          </w:tcPr>
          <w:p w14:paraId="24DDB025">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21</w:t>
            </w:r>
          </w:p>
        </w:tc>
        <w:tc>
          <w:tcPr>
            <w:tcW w:w="1177" w:type="pct"/>
            <w:shd w:val="clear" w:color="auto" w:fill="auto"/>
            <w:vAlign w:val="center"/>
          </w:tcPr>
          <w:p w14:paraId="0189BE3D">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单位地区生产总值能耗</w:t>
            </w:r>
          </w:p>
        </w:tc>
        <w:tc>
          <w:tcPr>
            <w:tcW w:w="334" w:type="pct"/>
            <w:shd w:val="clear" w:color="auto" w:fill="auto"/>
            <w:vAlign w:val="center"/>
          </w:tcPr>
          <w:p w14:paraId="4552F882">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pacing w:val="-10"/>
                <w:sz w:val="21"/>
                <w:szCs w:val="21"/>
              </w:rPr>
            </w:pPr>
            <w:r>
              <w:rPr>
                <w:rFonts w:hint="default" w:ascii="Times New Roman" w:hAnsi="Times New Roman" w:eastAsia="仿宋" w:cs="Times New Roman"/>
                <w:color w:val="auto"/>
                <w:spacing w:val="-10"/>
                <w:sz w:val="21"/>
                <w:szCs w:val="21"/>
              </w:rPr>
              <w:t>-</w:t>
            </w:r>
          </w:p>
        </w:tc>
        <w:tc>
          <w:tcPr>
            <w:tcW w:w="764" w:type="pct"/>
            <w:vAlign w:val="center"/>
          </w:tcPr>
          <w:p w14:paraId="75D28EB8">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pacing w:val="-10"/>
                <w:sz w:val="21"/>
                <w:szCs w:val="21"/>
                <w:lang w:val="en-US" w:eastAsia="zh-CN"/>
              </w:rPr>
            </w:pPr>
            <w:r>
              <w:rPr>
                <w:rFonts w:hint="eastAsia" w:ascii="Times New Roman" w:hAnsi="Times New Roman" w:eastAsia="仿宋" w:cs="Times New Roman"/>
                <w:color w:val="auto"/>
                <w:spacing w:val="-10"/>
                <w:sz w:val="21"/>
                <w:szCs w:val="21"/>
                <w:lang w:val="en-US" w:eastAsia="zh-CN"/>
              </w:rPr>
              <w:t>上升3.4</w:t>
            </w:r>
            <w:r>
              <w:rPr>
                <w:rFonts w:hint="default" w:ascii="Times New Roman" w:hAnsi="Times New Roman" w:eastAsia="仿宋" w:cs="Times New Roman"/>
                <w:color w:val="auto"/>
                <w:spacing w:val="-10"/>
                <w:sz w:val="21"/>
                <w:szCs w:val="21"/>
              </w:rPr>
              <w:t>%（对比2020年单位GDP能耗），</w:t>
            </w:r>
            <w:r>
              <w:rPr>
                <w:rFonts w:hint="eastAsia" w:ascii="Times New Roman" w:hAnsi="Times New Roman" w:eastAsia="仿宋" w:cs="Times New Roman"/>
                <w:color w:val="auto"/>
                <w:spacing w:val="-10"/>
                <w:sz w:val="21"/>
                <w:szCs w:val="21"/>
                <w:lang w:val="en-US" w:eastAsia="zh-CN"/>
              </w:rPr>
              <w:t>未</w:t>
            </w:r>
            <w:r>
              <w:rPr>
                <w:rFonts w:hint="default" w:ascii="Times New Roman" w:hAnsi="Times New Roman" w:eastAsia="仿宋" w:cs="Times New Roman"/>
                <w:color w:val="auto"/>
                <w:spacing w:val="-10"/>
                <w:sz w:val="21"/>
                <w:szCs w:val="21"/>
              </w:rPr>
              <w:t>完成（1.133）</w:t>
            </w:r>
            <w:r>
              <w:rPr>
                <w:rFonts w:hint="eastAsia" w:ascii="Times New Roman" w:hAnsi="Times New Roman" w:eastAsia="仿宋" w:cs="Times New Roman"/>
                <w:color w:val="auto"/>
                <w:spacing w:val="-10"/>
                <w:sz w:val="21"/>
                <w:szCs w:val="21"/>
                <w:lang w:val="en-US" w:eastAsia="zh-CN"/>
              </w:rPr>
              <w:t>上级下达任务。</w:t>
            </w:r>
          </w:p>
        </w:tc>
        <w:tc>
          <w:tcPr>
            <w:tcW w:w="580" w:type="pct"/>
            <w:vAlign w:val="center"/>
          </w:tcPr>
          <w:p w14:paraId="00890521">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pacing w:val="-10"/>
                <w:sz w:val="21"/>
                <w:szCs w:val="21"/>
              </w:rPr>
              <w:t>完成上级规定的目标任务；保持稳定或持续改善</w:t>
            </w:r>
          </w:p>
        </w:tc>
        <w:tc>
          <w:tcPr>
            <w:tcW w:w="664" w:type="pct"/>
            <w:vAlign w:val="center"/>
          </w:tcPr>
          <w:p w14:paraId="1C0A15A7">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pacing w:val="-10"/>
                <w:sz w:val="21"/>
                <w:szCs w:val="21"/>
              </w:rPr>
              <w:t>完成上级规定的目标任务；保持稳定或持续改善</w:t>
            </w:r>
          </w:p>
        </w:tc>
        <w:tc>
          <w:tcPr>
            <w:tcW w:w="668" w:type="pct"/>
            <w:vAlign w:val="center"/>
          </w:tcPr>
          <w:p w14:paraId="1E5678CC">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pacing w:val="-10"/>
                <w:sz w:val="21"/>
                <w:szCs w:val="21"/>
              </w:rPr>
            </w:pPr>
            <w:r>
              <w:rPr>
                <w:rFonts w:hint="default" w:ascii="Times New Roman" w:hAnsi="Times New Roman" w:eastAsia="仿宋" w:cs="Times New Roman"/>
                <w:color w:val="auto"/>
                <w:spacing w:val="-10"/>
                <w:sz w:val="21"/>
                <w:szCs w:val="21"/>
              </w:rPr>
              <w:t>完成上级规定的目标任务；保持稳定或持续改善</w:t>
            </w:r>
          </w:p>
        </w:tc>
      </w:tr>
      <w:tr w14:paraId="6BC7A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55" w:hRule="atLeast"/>
          <w:jc w:val="center"/>
        </w:trPr>
        <w:tc>
          <w:tcPr>
            <w:tcW w:w="173" w:type="pct"/>
            <w:vMerge w:val="continue"/>
            <w:vAlign w:val="center"/>
          </w:tcPr>
          <w:p w14:paraId="67E506E2">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p>
        </w:tc>
        <w:tc>
          <w:tcPr>
            <w:tcW w:w="426" w:type="pct"/>
            <w:vMerge w:val="continue"/>
            <w:shd w:val="clear" w:color="auto" w:fill="auto"/>
            <w:vAlign w:val="center"/>
          </w:tcPr>
          <w:p w14:paraId="54BA1F7E">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p>
        </w:tc>
        <w:tc>
          <w:tcPr>
            <w:tcW w:w="210" w:type="pct"/>
            <w:shd w:val="clear" w:color="auto" w:fill="auto"/>
            <w:vAlign w:val="center"/>
          </w:tcPr>
          <w:p w14:paraId="1EC90F83">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22</w:t>
            </w:r>
          </w:p>
        </w:tc>
        <w:tc>
          <w:tcPr>
            <w:tcW w:w="1177" w:type="pct"/>
            <w:shd w:val="clear" w:color="auto" w:fill="auto"/>
            <w:vAlign w:val="center"/>
          </w:tcPr>
          <w:p w14:paraId="5190EA62">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单位地区生产总值用水量</w:t>
            </w:r>
          </w:p>
        </w:tc>
        <w:tc>
          <w:tcPr>
            <w:tcW w:w="334" w:type="pct"/>
            <w:shd w:val="clear" w:color="auto" w:fill="auto"/>
            <w:vAlign w:val="center"/>
          </w:tcPr>
          <w:p w14:paraId="01C52A86">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pacing w:val="-10"/>
                <w:sz w:val="21"/>
                <w:szCs w:val="21"/>
              </w:rPr>
              <w:t>m</w:t>
            </w:r>
            <w:r>
              <w:rPr>
                <w:rFonts w:hint="default" w:ascii="Times New Roman" w:hAnsi="Times New Roman" w:eastAsia="仿宋" w:cs="Times New Roman"/>
                <w:color w:val="auto"/>
                <w:spacing w:val="-10"/>
                <w:sz w:val="21"/>
                <w:szCs w:val="21"/>
                <w:vertAlign w:val="superscript"/>
              </w:rPr>
              <w:t>3</w:t>
            </w:r>
            <w:r>
              <w:rPr>
                <w:rFonts w:hint="default" w:ascii="Times New Roman" w:hAnsi="Times New Roman" w:eastAsia="仿宋" w:cs="Times New Roman"/>
                <w:color w:val="auto"/>
                <w:spacing w:val="-10"/>
                <w:sz w:val="21"/>
                <w:szCs w:val="21"/>
              </w:rPr>
              <w:t>/万元</w:t>
            </w:r>
          </w:p>
        </w:tc>
        <w:tc>
          <w:tcPr>
            <w:tcW w:w="764" w:type="pct"/>
            <w:vAlign w:val="center"/>
          </w:tcPr>
          <w:p w14:paraId="7E83CC54">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FF0000"/>
                <w:spacing w:val="-10"/>
                <w:sz w:val="21"/>
                <w:szCs w:val="21"/>
              </w:rPr>
            </w:pPr>
            <w:r>
              <w:rPr>
                <w:rFonts w:hint="default" w:ascii="Times New Roman" w:hAnsi="Times New Roman" w:eastAsia="仿宋" w:cs="Times New Roman"/>
                <w:color w:val="auto"/>
                <w:spacing w:val="-10"/>
                <w:sz w:val="21"/>
                <w:szCs w:val="21"/>
                <w:lang w:val="zh-CN"/>
              </w:rPr>
              <w:t>78.0，对比2020年下降9.8%。完成上级规定的目标任务</w:t>
            </w:r>
            <w:r>
              <w:rPr>
                <w:rFonts w:hint="eastAsia" w:ascii="Times New Roman" w:hAnsi="Times New Roman" w:eastAsia="仿宋" w:cs="Times New Roman"/>
                <w:color w:val="auto"/>
                <w:spacing w:val="-10"/>
                <w:sz w:val="21"/>
                <w:szCs w:val="21"/>
                <w:lang w:val="zh-CN"/>
              </w:rPr>
              <w:t>；</w:t>
            </w:r>
            <w:r>
              <w:rPr>
                <w:rFonts w:hint="default" w:ascii="Times New Roman" w:hAnsi="Times New Roman" w:eastAsia="仿宋" w:cs="Times New Roman"/>
                <w:color w:val="auto"/>
                <w:spacing w:val="-10"/>
                <w:sz w:val="21"/>
                <w:szCs w:val="21"/>
                <w:lang w:val="zh-CN"/>
              </w:rPr>
              <w:t>完成上级规定的目标任务</w:t>
            </w:r>
            <w:r>
              <w:rPr>
                <w:rFonts w:hint="eastAsia" w:ascii="Times New Roman" w:hAnsi="Times New Roman" w:eastAsia="仿宋" w:cs="Times New Roman"/>
                <w:color w:val="auto"/>
                <w:spacing w:val="-10"/>
                <w:sz w:val="21"/>
                <w:szCs w:val="21"/>
                <w:lang w:val="zh-CN"/>
              </w:rPr>
              <w:t>。</w:t>
            </w:r>
          </w:p>
        </w:tc>
        <w:tc>
          <w:tcPr>
            <w:tcW w:w="580" w:type="pct"/>
            <w:vAlign w:val="center"/>
          </w:tcPr>
          <w:p w14:paraId="27566E8F">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pacing w:val="-10"/>
                <w:sz w:val="21"/>
                <w:szCs w:val="21"/>
              </w:rPr>
              <w:t>完成上级规定的目标任务</w:t>
            </w:r>
          </w:p>
        </w:tc>
        <w:tc>
          <w:tcPr>
            <w:tcW w:w="664" w:type="pct"/>
            <w:vAlign w:val="center"/>
          </w:tcPr>
          <w:p w14:paraId="4B026D71">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pacing w:val="-10"/>
                <w:sz w:val="21"/>
                <w:szCs w:val="21"/>
              </w:rPr>
              <w:t>完成上级规定的目标任务</w:t>
            </w:r>
          </w:p>
        </w:tc>
        <w:tc>
          <w:tcPr>
            <w:tcW w:w="668" w:type="pct"/>
            <w:vAlign w:val="center"/>
          </w:tcPr>
          <w:p w14:paraId="2132C076">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pacing w:val="-10"/>
                <w:sz w:val="21"/>
                <w:szCs w:val="21"/>
              </w:rPr>
            </w:pPr>
            <w:r>
              <w:rPr>
                <w:rFonts w:hint="default" w:ascii="Times New Roman" w:hAnsi="Times New Roman" w:eastAsia="仿宋" w:cs="Times New Roman"/>
                <w:color w:val="auto"/>
                <w:spacing w:val="-10"/>
                <w:sz w:val="21"/>
                <w:szCs w:val="21"/>
              </w:rPr>
              <w:t>完成上级规定的目标任务</w:t>
            </w:r>
          </w:p>
        </w:tc>
      </w:tr>
      <w:tr w14:paraId="6C1D5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25" w:hRule="atLeast"/>
          <w:jc w:val="center"/>
        </w:trPr>
        <w:tc>
          <w:tcPr>
            <w:tcW w:w="173" w:type="pct"/>
            <w:vMerge w:val="continue"/>
            <w:vAlign w:val="center"/>
          </w:tcPr>
          <w:p w14:paraId="0DBA8C54">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p>
        </w:tc>
        <w:tc>
          <w:tcPr>
            <w:tcW w:w="426" w:type="pct"/>
            <w:vMerge w:val="continue"/>
            <w:shd w:val="clear" w:color="auto" w:fill="auto"/>
            <w:vAlign w:val="center"/>
          </w:tcPr>
          <w:p w14:paraId="14FD6860">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p>
        </w:tc>
        <w:tc>
          <w:tcPr>
            <w:tcW w:w="210" w:type="pct"/>
            <w:shd w:val="clear" w:color="auto" w:fill="auto"/>
            <w:vAlign w:val="center"/>
          </w:tcPr>
          <w:p w14:paraId="55BB4C15">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23</w:t>
            </w:r>
          </w:p>
        </w:tc>
        <w:tc>
          <w:tcPr>
            <w:tcW w:w="1177" w:type="pct"/>
            <w:shd w:val="clear" w:color="auto" w:fill="auto"/>
            <w:vAlign w:val="center"/>
          </w:tcPr>
          <w:p w14:paraId="2AA1C7AE">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单位国内生产总值建设用地使用面积下降率</w:t>
            </w:r>
          </w:p>
        </w:tc>
        <w:tc>
          <w:tcPr>
            <w:tcW w:w="334" w:type="pct"/>
            <w:shd w:val="clear" w:color="auto" w:fill="auto"/>
            <w:vAlign w:val="center"/>
          </w:tcPr>
          <w:p w14:paraId="58EF6764">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w:t>
            </w:r>
          </w:p>
        </w:tc>
        <w:tc>
          <w:tcPr>
            <w:tcW w:w="764" w:type="pct"/>
            <w:vAlign w:val="center"/>
          </w:tcPr>
          <w:p w14:paraId="0A3A165A">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pacing w:val="-10"/>
                <w:sz w:val="21"/>
                <w:szCs w:val="21"/>
                <w:lang w:val="en-US" w:eastAsia="zh-CN"/>
              </w:rPr>
            </w:pPr>
            <w:r>
              <w:rPr>
                <w:rFonts w:hint="eastAsia" w:ascii="Times New Roman" w:hAnsi="Times New Roman" w:eastAsia="仿宋" w:cs="Times New Roman"/>
                <w:color w:val="auto"/>
                <w:spacing w:val="-10"/>
                <w:sz w:val="21"/>
                <w:szCs w:val="21"/>
                <w:lang w:val="en-US" w:eastAsia="zh-CN"/>
              </w:rPr>
              <w:t>36.8</w:t>
            </w:r>
          </w:p>
        </w:tc>
        <w:tc>
          <w:tcPr>
            <w:tcW w:w="580" w:type="pct"/>
            <w:vAlign w:val="center"/>
          </w:tcPr>
          <w:p w14:paraId="25F22A98">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仿宋" w:cs="Times New Roman"/>
                <w:color w:val="auto"/>
                <w:spacing w:val="-10"/>
                <w:sz w:val="21"/>
                <w:szCs w:val="21"/>
                <w:highlight w:val="yellow"/>
                <w:lang w:eastAsia="zh-CN"/>
              </w:rPr>
            </w:pPr>
            <w:r>
              <w:rPr>
                <w:rFonts w:hint="default" w:ascii="Times New Roman" w:hAnsi="Times New Roman" w:eastAsia="仿宋" w:cs="Times New Roman"/>
                <w:color w:val="auto"/>
                <w:spacing w:val="-10"/>
                <w:sz w:val="21"/>
                <w:szCs w:val="21"/>
                <w:highlight w:val="yellow"/>
              </w:rPr>
              <w:t>≥4</w:t>
            </w:r>
            <w:r>
              <w:rPr>
                <w:rFonts w:hint="eastAsia" w:ascii="Times New Roman" w:hAnsi="Times New Roman" w:eastAsia="仿宋" w:cs="Times New Roman"/>
                <w:color w:val="auto"/>
                <w:spacing w:val="-10"/>
                <w:sz w:val="21"/>
                <w:szCs w:val="21"/>
                <w:highlight w:val="yellow"/>
                <w:lang w:eastAsia="zh-CN"/>
              </w:rPr>
              <w:t>.</w:t>
            </w:r>
            <w:r>
              <w:rPr>
                <w:rFonts w:hint="eastAsia" w:ascii="Times New Roman" w:hAnsi="Times New Roman" w:eastAsia="仿宋" w:cs="Times New Roman"/>
                <w:color w:val="auto"/>
                <w:spacing w:val="-10"/>
                <w:sz w:val="21"/>
                <w:szCs w:val="21"/>
                <w:highlight w:val="yellow"/>
                <w:lang w:val="en-US" w:eastAsia="zh-CN"/>
              </w:rPr>
              <w:t>5</w:t>
            </w:r>
          </w:p>
        </w:tc>
        <w:tc>
          <w:tcPr>
            <w:tcW w:w="664" w:type="pct"/>
            <w:vAlign w:val="center"/>
          </w:tcPr>
          <w:p w14:paraId="28EB1F6B">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pacing w:val="-10"/>
                <w:sz w:val="21"/>
                <w:szCs w:val="21"/>
                <w:highlight w:val="yellow"/>
              </w:rPr>
            </w:pPr>
            <w:r>
              <w:rPr>
                <w:rFonts w:hint="default" w:ascii="Times New Roman" w:hAnsi="Times New Roman" w:eastAsia="仿宋" w:cs="Times New Roman"/>
                <w:color w:val="auto"/>
                <w:spacing w:val="-10"/>
                <w:sz w:val="21"/>
                <w:szCs w:val="21"/>
                <w:highlight w:val="yellow"/>
              </w:rPr>
              <w:t>≥4.</w:t>
            </w:r>
            <w:r>
              <w:rPr>
                <w:rFonts w:hint="eastAsia" w:ascii="Times New Roman" w:hAnsi="Times New Roman" w:eastAsia="仿宋" w:cs="Times New Roman"/>
                <w:color w:val="auto"/>
                <w:spacing w:val="-10"/>
                <w:sz w:val="21"/>
                <w:szCs w:val="21"/>
                <w:highlight w:val="yellow"/>
                <w:lang w:val="en-US" w:eastAsia="zh-CN"/>
              </w:rPr>
              <w:t>5</w:t>
            </w:r>
          </w:p>
        </w:tc>
        <w:tc>
          <w:tcPr>
            <w:tcW w:w="668" w:type="pct"/>
            <w:vAlign w:val="center"/>
          </w:tcPr>
          <w:p w14:paraId="2144FCAF">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pacing w:val="-10"/>
                <w:sz w:val="21"/>
                <w:szCs w:val="21"/>
                <w:highlight w:val="yellow"/>
              </w:rPr>
            </w:pPr>
            <w:r>
              <w:rPr>
                <w:rFonts w:hint="default" w:ascii="Times New Roman" w:hAnsi="Times New Roman" w:eastAsia="仿宋" w:cs="Times New Roman"/>
                <w:color w:val="auto"/>
                <w:spacing w:val="-10"/>
                <w:sz w:val="21"/>
                <w:szCs w:val="21"/>
                <w:highlight w:val="yellow"/>
              </w:rPr>
              <w:t>≥4.</w:t>
            </w:r>
            <w:r>
              <w:rPr>
                <w:rFonts w:hint="eastAsia" w:ascii="Times New Roman" w:hAnsi="Times New Roman" w:eastAsia="仿宋" w:cs="Times New Roman"/>
                <w:color w:val="auto"/>
                <w:spacing w:val="-10"/>
                <w:sz w:val="21"/>
                <w:szCs w:val="21"/>
                <w:highlight w:val="yellow"/>
                <w:lang w:val="en-US" w:eastAsia="zh-CN"/>
              </w:rPr>
              <w:t>5</w:t>
            </w:r>
          </w:p>
        </w:tc>
      </w:tr>
      <w:tr w14:paraId="0C84B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25" w:hRule="atLeast"/>
          <w:jc w:val="center"/>
        </w:trPr>
        <w:tc>
          <w:tcPr>
            <w:tcW w:w="173" w:type="pct"/>
            <w:vMerge w:val="continue"/>
            <w:vAlign w:val="center"/>
          </w:tcPr>
          <w:p w14:paraId="4EA2A882">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仿宋" w:cs="Times New Roman"/>
                <w:color w:val="FF0000"/>
                <w:sz w:val="21"/>
                <w:szCs w:val="21"/>
              </w:rPr>
            </w:pPr>
          </w:p>
        </w:tc>
        <w:tc>
          <w:tcPr>
            <w:tcW w:w="426" w:type="pct"/>
            <w:vMerge w:val="continue"/>
            <w:shd w:val="clear" w:color="auto" w:fill="auto"/>
            <w:vAlign w:val="center"/>
          </w:tcPr>
          <w:p w14:paraId="1E587B0C">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仿宋" w:cs="Times New Roman"/>
                <w:color w:val="FF0000"/>
                <w:sz w:val="21"/>
                <w:szCs w:val="21"/>
              </w:rPr>
            </w:pPr>
          </w:p>
        </w:tc>
        <w:tc>
          <w:tcPr>
            <w:tcW w:w="210" w:type="pct"/>
            <w:shd w:val="clear" w:color="auto" w:fill="auto"/>
            <w:vAlign w:val="center"/>
          </w:tcPr>
          <w:p w14:paraId="7A7DF2D0">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24</w:t>
            </w:r>
          </w:p>
        </w:tc>
        <w:tc>
          <w:tcPr>
            <w:tcW w:w="1177" w:type="pct"/>
            <w:shd w:val="clear" w:color="auto" w:fill="auto"/>
            <w:vAlign w:val="center"/>
          </w:tcPr>
          <w:p w14:paraId="3DC7A8F2">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三大粮食作物化肥农药利用率</w:t>
            </w:r>
          </w:p>
          <w:p w14:paraId="4F809CBB">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化肥利用率</w:t>
            </w:r>
          </w:p>
          <w:p w14:paraId="178C36B0">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农药利用率</w:t>
            </w:r>
          </w:p>
        </w:tc>
        <w:tc>
          <w:tcPr>
            <w:tcW w:w="334" w:type="pct"/>
            <w:shd w:val="clear" w:color="auto" w:fill="auto"/>
            <w:vAlign w:val="center"/>
          </w:tcPr>
          <w:p w14:paraId="35A2E532">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w:t>
            </w:r>
          </w:p>
        </w:tc>
        <w:tc>
          <w:tcPr>
            <w:tcW w:w="764" w:type="pct"/>
            <w:vAlign w:val="center"/>
          </w:tcPr>
          <w:p w14:paraId="2063ED14">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lang w:val="en-US" w:eastAsia="zh-CN"/>
              </w:rPr>
            </w:pPr>
            <w:r>
              <w:rPr>
                <w:rFonts w:hint="default" w:ascii="Times New Roman" w:hAnsi="Times New Roman" w:eastAsia="仿宋" w:cs="Times New Roman"/>
                <w:color w:val="auto"/>
                <w:sz w:val="21"/>
                <w:szCs w:val="21"/>
                <w:lang w:val="en-US" w:eastAsia="zh-CN"/>
              </w:rPr>
              <w:t>44.0</w:t>
            </w:r>
          </w:p>
          <w:p w14:paraId="56A0A69D">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43.6</w:t>
            </w:r>
          </w:p>
        </w:tc>
        <w:tc>
          <w:tcPr>
            <w:tcW w:w="580" w:type="pct"/>
            <w:vAlign w:val="center"/>
          </w:tcPr>
          <w:p w14:paraId="4F2131D2">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仿宋" w:cs="Times New Roman"/>
                <w:color w:val="auto"/>
                <w:spacing w:val="-10"/>
                <w:sz w:val="21"/>
                <w:szCs w:val="21"/>
                <w:lang w:eastAsia="zh-CN"/>
              </w:rPr>
            </w:pPr>
            <w:r>
              <w:rPr>
                <w:rFonts w:hint="default" w:ascii="Times New Roman" w:hAnsi="Times New Roman" w:eastAsia="仿宋" w:cs="Times New Roman"/>
                <w:color w:val="auto"/>
                <w:spacing w:val="-10"/>
                <w:sz w:val="21"/>
                <w:szCs w:val="21"/>
              </w:rPr>
              <w:t>4</w:t>
            </w:r>
            <w:r>
              <w:rPr>
                <w:rFonts w:hint="eastAsia" w:ascii="Times New Roman" w:hAnsi="Times New Roman" w:eastAsia="仿宋" w:cs="Times New Roman"/>
                <w:color w:val="auto"/>
                <w:spacing w:val="-10"/>
                <w:sz w:val="21"/>
                <w:szCs w:val="21"/>
                <w:lang w:val="en-US" w:eastAsia="zh-CN"/>
              </w:rPr>
              <w:t>5</w:t>
            </w:r>
          </w:p>
          <w:p w14:paraId="0BACCFB6">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pacing w:val="-10"/>
                <w:sz w:val="21"/>
                <w:szCs w:val="21"/>
                <w:lang w:val="en-US" w:eastAsia="zh-CN"/>
              </w:rPr>
            </w:pPr>
            <w:r>
              <w:rPr>
                <w:rFonts w:hint="eastAsia" w:ascii="Times New Roman" w:hAnsi="Times New Roman" w:eastAsia="仿宋" w:cs="Times New Roman"/>
                <w:color w:val="auto"/>
                <w:spacing w:val="-10"/>
                <w:sz w:val="21"/>
                <w:szCs w:val="21"/>
                <w:lang w:val="en-US" w:eastAsia="zh-CN"/>
              </w:rPr>
              <w:t>44</w:t>
            </w:r>
          </w:p>
        </w:tc>
        <w:tc>
          <w:tcPr>
            <w:tcW w:w="664" w:type="pct"/>
            <w:vAlign w:val="center"/>
          </w:tcPr>
          <w:p w14:paraId="0EE98E4E">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仿宋" w:cs="Times New Roman"/>
                <w:color w:val="auto"/>
                <w:spacing w:val="-10"/>
                <w:sz w:val="21"/>
                <w:szCs w:val="21"/>
                <w:lang w:val="en-US" w:eastAsia="zh-CN"/>
              </w:rPr>
            </w:pPr>
            <w:r>
              <w:rPr>
                <w:rFonts w:hint="eastAsia" w:ascii="Times New Roman" w:hAnsi="Times New Roman" w:eastAsia="仿宋" w:cs="Times New Roman"/>
                <w:color w:val="auto"/>
                <w:spacing w:val="-10"/>
                <w:sz w:val="21"/>
                <w:szCs w:val="21"/>
                <w:lang w:val="en-US" w:eastAsia="zh-CN"/>
              </w:rPr>
              <w:t>46</w:t>
            </w:r>
          </w:p>
          <w:p w14:paraId="5059EB4E">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pacing w:val="-10"/>
                <w:sz w:val="21"/>
                <w:szCs w:val="21"/>
                <w:lang w:val="en-US" w:eastAsia="zh-CN"/>
              </w:rPr>
            </w:pPr>
            <w:r>
              <w:rPr>
                <w:rFonts w:hint="eastAsia" w:ascii="Times New Roman" w:hAnsi="Times New Roman" w:eastAsia="仿宋" w:cs="Times New Roman"/>
                <w:color w:val="auto"/>
                <w:spacing w:val="-10"/>
                <w:sz w:val="21"/>
                <w:szCs w:val="21"/>
                <w:lang w:val="en-US" w:eastAsia="zh-CN"/>
              </w:rPr>
              <w:t>45</w:t>
            </w:r>
          </w:p>
        </w:tc>
        <w:tc>
          <w:tcPr>
            <w:tcW w:w="668" w:type="pct"/>
            <w:vAlign w:val="center"/>
          </w:tcPr>
          <w:p w14:paraId="718F780D">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仿宋" w:cs="Times New Roman"/>
                <w:color w:val="auto"/>
                <w:spacing w:val="-10"/>
                <w:sz w:val="21"/>
                <w:szCs w:val="21"/>
                <w:lang w:val="en-US" w:eastAsia="zh-CN"/>
              </w:rPr>
            </w:pPr>
            <w:r>
              <w:rPr>
                <w:rFonts w:hint="eastAsia" w:ascii="Times New Roman" w:hAnsi="Times New Roman" w:eastAsia="仿宋" w:cs="Times New Roman"/>
                <w:color w:val="auto"/>
                <w:spacing w:val="-10"/>
                <w:sz w:val="21"/>
                <w:szCs w:val="21"/>
                <w:lang w:val="en-US" w:eastAsia="zh-CN"/>
              </w:rPr>
              <w:t>46</w:t>
            </w:r>
          </w:p>
          <w:p w14:paraId="0FDA05B0">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pacing w:val="-10"/>
                <w:sz w:val="21"/>
                <w:szCs w:val="21"/>
                <w:lang w:val="en-US" w:eastAsia="zh-CN"/>
              </w:rPr>
            </w:pPr>
            <w:r>
              <w:rPr>
                <w:rFonts w:hint="eastAsia" w:ascii="Times New Roman" w:hAnsi="Times New Roman" w:eastAsia="仿宋" w:cs="Times New Roman"/>
                <w:color w:val="auto"/>
                <w:spacing w:val="-10"/>
                <w:sz w:val="21"/>
                <w:szCs w:val="21"/>
                <w:lang w:val="en-US" w:eastAsia="zh-CN"/>
              </w:rPr>
              <w:t>45</w:t>
            </w:r>
          </w:p>
        </w:tc>
      </w:tr>
      <w:tr w14:paraId="012A3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25" w:hRule="atLeast"/>
          <w:jc w:val="center"/>
        </w:trPr>
        <w:tc>
          <w:tcPr>
            <w:tcW w:w="173" w:type="pct"/>
            <w:vMerge w:val="continue"/>
            <w:vAlign w:val="center"/>
          </w:tcPr>
          <w:p w14:paraId="1498842A">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仿宋" w:cs="Times New Roman"/>
                <w:color w:val="FF0000"/>
                <w:sz w:val="21"/>
                <w:szCs w:val="21"/>
              </w:rPr>
            </w:pPr>
          </w:p>
        </w:tc>
        <w:tc>
          <w:tcPr>
            <w:tcW w:w="426" w:type="pct"/>
            <w:vMerge w:val="continue"/>
            <w:shd w:val="clear" w:color="auto" w:fill="auto"/>
            <w:vAlign w:val="center"/>
          </w:tcPr>
          <w:p w14:paraId="155CD2E3">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仿宋" w:cs="Times New Roman"/>
                <w:color w:val="FF0000"/>
                <w:sz w:val="21"/>
                <w:szCs w:val="21"/>
              </w:rPr>
            </w:pPr>
          </w:p>
        </w:tc>
        <w:tc>
          <w:tcPr>
            <w:tcW w:w="210" w:type="pct"/>
            <w:shd w:val="clear" w:color="auto" w:fill="auto"/>
            <w:vAlign w:val="center"/>
          </w:tcPr>
          <w:p w14:paraId="5DD3727A">
            <w:pPr>
              <w:pStyle w:val="160"/>
              <w:keepNext w:val="0"/>
              <w:keepLines w:val="0"/>
              <w:pageBreakBefore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25</w:t>
            </w:r>
          </w:p>
        </w:tc>
        <w:tc>
          <w:tcPr>
            <w:tcW w:w="1177" w:type="pct"/>
            <w:shd w:val="clear" w:color="auto" w:fill="auto"/>
            <w:vAlign w:val="center"/>
          </w:tcPr>
          <w:p w14:paraId="4B9C34E8">
            <w:pPr>
              <w:keepNext w:val="0"/>
              <w:keepLines w:val="0"/>
              <w:pageBreakBefore w:val="0"/>
              <w:kinsoku/>
              <w:wordWrap/>
              <w:overflowPunct/>
              <w:topLinePunct w:val="0"/>
              <w:autoSpaceDE/>
              <w:autoSpaceDN/>
              <w:bidi w:val="0"/>
              <w:adjustRightInd/>
              <w:snapToGrid/>
              <w:spacing w:line="240" w:lineRule="auto"/>
              <w:jc w:val="left"/>
              <w:textAlignment w:val="auto"/>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农业废弃物综合利用率</w:t>
            </w:r>
          </w:p>
          <w:p w14:paraId="5D3CF95B">
            <w:pPr>
              <w:keepNext w:val="0"/>
              <w:keepLines w:val="0"/>
              <w:pageBreakBefore w:val="0"/>
              <w:kinsoku/>
              <w:wordWrap/>
              <w:overflowPunct/>
              <w:topLinePunct w:val="0"/>
              <w:autoSpaceDE/>
              <w:autoSpaceDN/>
              <w:bidi w:val="0"/>
              <w:adjustRightInd/>
              <w:snapToGrid/>
              <w:spacing w:line="240" w:lineRule="auto"/>
              <w:ind w:firstLine="210" w:firstLineChars="100"/>
              <w:jc w:val="left"/>
              <w:textAlignment w:val="auto"/>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秸秆综合利用率</w:t>
            </w:r>
          </w:p>
          <w:p w14:paraId="14D4C400">
            <w:pPr>
              <w:keepNext w:val="0"/>
              <w:keepLines w:val="0"/>
              <w:pageBreakBefore w:val="0"/>
              <w:kinsoku/>
              <w:wordWrap/>
              <w:overflowPunct/>
              <w:topLinePunct w:val="0"/>
              <w:autoSpaceDE/>
              <w:autoSpaceDN/>
              <w:bidi w:val="0"/>
              <w:adjustRightInd/>
              <w:snapToGrid/>
              <w:spacing w:line="240" w:lineRule="auto"/>
              <w:ind w:firstLine="210" w:firstLineChars="100"/>
              <w:jc w:val="left"/>
              <w:textAlignment w:val="auto"/>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畜禽粪污综合利用率</w:t>
            </w:r>
          </w:p>
          <w:p w14:paraId="48869D11">
            <w:pPr>
              <w:keepNext w:val="0"/>
              <w:keepLines w:val="0"/>
              <w:pageBreakBefore w:val="0"/>
              <w:kinsoku/>
              <w:wordWrap/>
              <w:overflowPunct/>
              <w:topLinePunct w:val="0"/>
              <w:autoSpaceDE/>
              <w:autoSpaceDN/>
              <w:bidi w:val="0"/>
              <w:adjustRightInd/>
              <w:snapToGrid/>
              <w:spacing w:line="240" w:lineRule="auto"/>
              <w:ind w:firstLine="210" w:firstLineChars="100"/>
              <w:jc w:val="left"/>
              <w:textAlignment w:val="auto"/>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农膜回收利用率</w:t>
            </w:r>
          </w:p>
        </w:tc>
        <w:tc>
          <w:tcPr>
            <w:tcW w:w="334" w:type="pct"/>
            <w:shd w:val="clear" w:color="auto" w:fill="auto"/>
            <w:vAlign w:val="center"/>
          </w:tcPr>
          <w:p w14:paraId="4B06CBC8">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w:t>
            </w:r>
          </w:p>
        </w:tc>
        <w:tc>
          <w:tcPr>
            <w:tcW w:w="764" w:type="pct"/>
            <w:vAlign w:val="center"/>
          </w:tcPr>
          <w:p w14:paraId="69804D60">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93.77</w:t>
            </w:r>
          </w:p>
          <w:p w14:paraId="6FD46D22">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91.1</w:t>
            </w:r>
          </w:p>
          <w:p w14:paraId="158A70F9">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84.44</w:t>
            </w:r>
          </w:p>
        </w:tc>
        <w:tc>
          <w:tcPr>
            <w:tcW w:w="580" w:type="pct"/>
            <w:vAlign w:val="center"/>
          </w:tcPr>
          <w:p w14:paraId="2B5C4E8B">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≥95</w:t>
            </w:r>
          </w:p>
          <w:p w14:paraId="61E6BC57">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≥93</w:t>
            </w:r>
          </w:p>
          <w:p w14:paraId="4119CA2A">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≥86</w:t>
            </w:r>
          </w:p>
        </w:tc>
        <w:tc>
          <w:tcPr>
            <w:tcW w:w="664" w:type="pct"/>
            <w:vAlign w:val="center"/>
          </w:tcPr>
          <w:p w14:paraId="0BC2C416">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≥97</w:t>
            </w:r>
          </w:p>
          <w:p w14:paraId="7761238F">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≥95</w:t>
            </w:r>
          </w:p>
          <w:p w14:paraId="05CD087F">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≥90</w:t>
            </w:r>
          </w:p>
        </w:tc>
        <w:tc>
          <w:tcPr>
            <w:tcW w:w="668" w:type="pct"/>
            <w:vAlign w:val="center"/>
          </w:tcPr>
          <w:p w14:paraId="1DC0FD62">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≥97</w:t>
            </w:r>
          </w:p>
          <w:p w14:paraId="1AB29639">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≥95</w:t>
            </w:r>
          </w:p>
          <w:p w14:paraId="417B3771">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≥90</w:t>
            </w:r>
          </w:p>
        </w:tc>
      </w:tr>
      <w:tr w14:paraId="06589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25" w:hRule="atLeast"/>
          <w:jc w:val="center"/>
        </w:trPr>
        <w:tc>
          <w:tcPr>
            <w:tcW w:w="173" w:type="pct"/>
            <w:vMerge w:val="continue"/>
            <w:vAlign w:val="center"/>
          </w:tcPr>
          <w:p w14:paraId="524D2EBF">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eastAsia="仿宋" w:cs="Times New Roman"/>
                <w:color w:val="FF0000"/>
                <w:sz w:val="21"/>
                <w:szCs w:val="21"/>
              </w:rPr>
            </w:pPr>
          </w:p>
        </w:tc>
        <w:tc>
          <w:tcPr>
            <w:tcW w:w="426" w:type="pct"/>
            <w:shd w:val="clear" w:color="auto" w:fill="auto"/>
            <w:vAlign w:val="center"/>
          </w:tcPr>
          <w:p w14:paraId="28C155D8">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（七）</w:t>
            </w:r>
          </w:p>
          <w:p w14:paraId="6C3037BE">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产业循环发展</w:t>
            </w:r>
          </w:p>
        </w:tc>
        <w:tc>
          <w:tcPr>
            <w:tcW w:w="210" w:type="pct"/>
            <w:shd w:val="clear" w:color="auto" w:fill="auto"/>
            <w:vAlign w:val="center"/>
          </w:tcPr>
          <w:p w14:paraId="10546F9B">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26</w:t>
            </w:r>
          </w:p>
        </w:tc>
        <w:tc>
          <w:tcPr>
            <w:tcW w:w="1177" w:type="pct"/>
            <w:shd w:val="clear" w:color="auto" w:fill="auto"/>
            <w:vAlign w:val="center"/>
          </w:tcPr>
          <w:p w14:paraId="4A10B2FC">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一般工业固体废物综合利用率提高幅度</w:t>
            </w:r>
          </w:p>
          <w:p w14:paraId="3B2D014C">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综合利用率</w:t>
            </w:r>
            <w:r>
              <w:rPr>
                <w:rFonts w:hint="eastAsia" w:ascii="Times New Roman" w:hAnsi="Times New Roman" w:eastAsia="仿宋" w:cs="Times New Roman"/>
                <w:color w:val="auto"/>
                <w:sz w:val="21"/>
                <w:szCs w:val="21"/>
                <w:lang w:eastAsia="zh-CN"/>
              </w:rPr>
              <w:t>〉</w:t>
            </w:r>
            <w:r>
              <w:rPr>
                <w:rFonts w:hint="default" w:ascii="Times New Roman" w:hAnsi="Times New Roman" w:eastAsia="仿宋" w:cs="Times New Roman"/>
                <w:color w:val="auto"/>
                <w:sz w:val="21"/>
                <w:szCs w:val="21"/>
              </w:rPr>
              <w:t>60%的地区</w:t>
            </w:r>
          </w:p>
        </w:tc>
        <w:tc>
          <w:tcPr>
            <w:tcW w:w="334" w:type="pct"/>
            <w:shd w:val="clear" w:color="auto" w:fill="auto"/>
            <w:vAlign w:val="center"/>
          </w:tcPr>
          <w:p w14:paraId="7904316F">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w:t>
            </w:r>
          </w:p>
        </w:tc>
        <w:tc>
          <w:tcPr>
            <w:tcW w:w="764" w:type="pct"/>
            <w:vAlign w:val="center"/>
          </w:tcPr>
          <w:p w14:paraId="45296FAA">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lang w:val="en-US" w:eastAsia="zh-CN"/>
              </w:rPr>
            </w:pPr>
            <w:r>
              <w:rPr>
                <w:rFonts w:hint="default" w:ascii="Times New Roman" w:hAnsi="Times New Roman" w:eastAsia="仿宋" w:cs="Times New Roman"/>
                <w:color w:val="auto"/>
                <w:sz w:val="21"/>
                <w:szCs w:val="21"/>
              </w:rPr>
              <w:t>74.28</w:t>
            </w:r>
          </w:p>
        </w:tc>
        <w:tc>
          <w:tcPr>
            <w:tcW w:w="580" w:type="pct"/>
            <w:vAlign w:val="center"/>
          </w:tcPr>
          <w:p w14:paraId="3D5ECA8B">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保持稳定或持续改善</w:t>
            </w:r>
          </w:p>
        </w:tc>
        <w:tc>
          <w:tcPr>
            <w:tcW w:w="664" w:type="pct"/>
            <w:vAlign w:val="center"/>
          </w:tcPr>
          <w:p w14:paraId="1F1EC127">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保持稳定或持续改善</w:t>
            </w:r>
          </w:p>
        </w:tc>
        <w:tc>
          <w:tcPr>
            <w:tcW w:w="668" w:type="pct"/>
            <w:vAlign w:val="center"/>
          </w:tcPr>
          <w:p w14:paraId="75BE22F3">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保持稳定或持续改善</w:t>
            </w:r>
          </w:p>
        </w:tc>
      </w:tr>
      <w:tr w14:paraId="5DE78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89" w:hRule="atLeast"/>
          <w:jc w:val="center"/>
        </w:trPr>
        <w:tc>
          <w:tcPr>
            <w:tcW w:w="173" w:type="pct"/>
            <w:vMerge w:val="restart"/>
            <w:vAlign w:val="center"/>
          </w:tcPr>
          <w:p w14:paraId="688D07A9">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生态生活</w:t>
            </w:r>
          </w:p>
        </w:tc>
        <w:tc>
          <w:tcPr>
            <w:tcW w:w="426" w:type="pct"/>
            <w:vMerge w:val="restart"/>
            <w:shd w:val="clear" w:color="auto" w:fill="auto"/>
            <w:vAlign w:val="center"/>
          </w:tcPr>
          <w:p w14:paraId="04B755B1">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（八）</w:t>
            </w:r>
          </w:p>
          <w:p w14:paraId="3E0B26C5">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人居环境改善</w:t>
            </w:r>
          </w:p>
        </w:tc>
        <w:tc>
          <w:tcPr>
            <w:tcW w:w="210" w:type="pct"/>
            <w:shd w:val="clear" w:color="auto" w:fill="auto"/>
            <w:vAlign w:val="center"/>
          </w:tcPr>
          <w:p w14:paraId="6828B101">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27</w:t>
            </w:r>
          </w:p>
        </w:tc>
        <w:tc>
          <w:tcPr>
            <w:tcW w:w="1177" w:type="pct"/>
            <w:shd w:val="clear" w:color="auto" w:fill="auto"/>
            <w:vAlign w:val="center"/>
          </w:tcPr>
          <w:p w14:paraId="00034684">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集中式饮用水水源地水质优良比例</w:t>
            </w:r>
          </w:p>
        </w:tc>
        <w:tc>
          <w:tcPr>
            <w:tcW w:w="334" w:type="pct"/>
            <w:shd w:val="clear" w:color="auto" w:fill="auto"/>
            <w:vAlign w:val="center"/>
          </w:tcPr>
          <w:p w14:paraId="0A92A148">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w:t>
            </w:r>
          </w:p>
        </w:tc>
        <w:tc>
          <w:tcPr>
            <w:tcW w:w="764" w:type="pct"/>
            <w:vAlign w:val="center"/>
          </w:tcPr>
          <w:p w14:paraId="632804CA">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100</w:t>
            </w:r>
          </w:p>
        </w:tc>
        <w:tc>
          <w:tcPr>
            <w:tcW w:w="580" w:type="pct"/>
            <w:vAlign w:val="center"/>
          </w:tcPr>
          <w:p w14:paraId="2C7E66A0">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100</w:t>
            </w:r>
          </w:p>
        </w:tc>
        <w:tc>
          <w:tcPr>
            <w:tcW w:w="664" w:type="pct"/>
            <w:vAlign w:val="center"/>
          </w:tcPr>
          <w:p w14:paraId="01BC39F7">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100</w:t>
            </w:r>
          </w:p>
        </w:tc>
        <w:tc>
          <w:tcPr>
            <w:tcW w:w="668" w:type="pct"/>
            <w:vAlign w:val="center"/>
          </w:tcPr>
          <w:p w14:paraId="4714DE68">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100</w:t>
            </w:r>
          </w:p>
        </w:tc>
      </w:tr>
      <w:tr w14:paraId="6EAA8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25" w:hRule="atLeast"/>
          <w:jc w:val="center"/>
        </w:trPr>
        <w:tc>
          <w:tcPr>
            <w:tcW w:w="173" w:type="pct"/>
            <w:vMerge w:val="continue"/>
            <w:vAlign w:val="center"/>
          </w:tcPr>
          <w:p w14:paraId="68B41103">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p>
        </w:tc>
        <w:tc>
          <w:tcPr>
            <w:tcW w:w="426" w:type="pct"/>
            <w:vMerge w:val="continue"/>
            <w:shd w:val="clear" w:color="auto" w:fill="auto"/>
            <w:vAlign w:val="center"/>
          </w:tcPr>
          <w:p w14:paraId="66392D36">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p>
        </w:tc>
        <w:tc>
          <w:tcPr>
            <w:tcW w:w="210" w:type="pct"/>
            <w:shd w:val="clear" w:color="auto" w:fill="auto"/>
            <w:vAlign w:val="center"/>
          </w:tcPr>
          <w:p w14:paraId="0F4FECDC">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28</w:t>
            </w:r>
          </w:p>
        </w:tc>
        <w:tc>
          <w:tcPr>
            <w:tcW w:w="1177" w:type="pct"/>
            <w:shd w:val="clear" w:color="auto" w:fill="auto"/>
            <w:vAlign w:val="center"/>
          </w:tcPr>
          <w:p w14:paraId="3A0BC23E">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村镇/农村饮用水水质合格率</w:t>
            </w:r>
          </w:p>
        </w:tc>
        <w:tc>
          <w:tcPr>
            <w:tcW w:w="334" w:type="pct"/>
            <w:shd w:val="clear" w:color="auto" w:fill="auto"/>
            <w:vAlign w:val="center"/>
          </w:tcPr>
          <w:p w14:paraId="47410B01">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w:t>
            </w:r>
          </w:p>
        </w:tc>
        <w:tc>
          <w:tcPr>
            <w:tcW w:w="764" w:type="pct"/>
            <w:vAlign w:val="center"/>
          </w:tcPr>
          <w:p w14:paraId="3E128425">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lang w:val="en-US" w:eastAsia="zh-CN"/>
              </w:rPr>
            </w:pPr>
            <w:r>
              <w:rPr>
                <w:rFonts w:hint="default" w:ascii="Times New Roman" w:hAnsi="Times New Roman" w:eastAsia="仿宋" w:cs="Times New Roman"/>
                <w:color w:val="auto"/>
                <w:sz w:val="21"/>
                <w:szCs w:val="21"/>
                <w:lang w:val="en-US" w:eastAsia="zh-CN"/>
              </w:rPr>
              <w:t>86.16</w:t>
            </w:r>
          </w:p>
        </w:tc>
        <w:tc>
          <w:tcPr>
            <w:tcW w:w="1626" w:type="dxa"/>
            <w:vAlign w:val="center"/>
          </w:tcPr>
          <w:p w14:paraId="43E979A2">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86.16</w:t>
            </w:r>
          </w:p>
        </w:tc>
        <w:tc>
          <w:tcPr>
            <w:tcW w:w="1861" w:type="dxa"/>
            <w:vAlign w:val="center"/>
          </w:tcPr>
          <w:p w14:paraId="3251D16B">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95</w:t>
            </w:r>
          </w:p>
        </w:tc>
        <w:tc>
          <w:tcPr>
            <w:tcW w:w="1873" w:type="dxa"/>
            <w:vAlign w:val="center"/>
          </w:tcPr>
          <w:p w14:paraId="7649D934">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100</w:t>
            </w:r>
          </w:p>
        </w:tc>
      </w:tr>
      <w:tr w14:paraId="16872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25" w:hRule="atLeast"/>
          <w:jc w:val="center"/>
        </w:trPr>
        <w:tc>
          <w:tcPr>
            <w:tcW w:w="173" w:type="pct"/>
            <w:vMerge w:val="continue"/>
            <w:vAlign w:val="center"/>
          </w:tcPr>
          <w:p w14:paraId="7B5C44B7">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p>
        </w:tc>
        <w:tc>
          <w:tcPr>
            <w:tcW w:w="426" w:type="pct"/>
            <w:vMerge w:val="continue"/>
            <w:shd w:val="clear" w:color="auto" w:fill="auto"/>
            <w:vAlign w:val="center"/>
          </w:tcPr>
          <w:p w14:paraId="4A3D0522">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p>
        </w:tc>
        <w:tc>
          <w:tcPr>
            <w:tcW w:w="210" w:type="pct"/>
            <w:shd w:val="clear" w:color="auto" w:fill="auto"/>
            <w:vAlign w:val="center"/>
          </w:tcPr>
          <w:p w14:paraId="77BDCD05">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29</w:t>
            </w:r>
          </w:p>
        </w:tc>
        <w:tc>
          <w:tcPr>
            <w:tcW w:w="1177" w:type="pct"/>
            <w:shd w:val="clear" w:color="auto" w:fill="auto"/>
            <w:vAlign w:val="center"/>
          </w:tcPr>
          <w:p w14:paraId="32558DC8">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城镇污水处理率</w:t>
            </w:r>
          </w:p>
        </w:tc>
        <w:tc>
          <w:tcPr>
            <w:tcW w:w="334" w:type="pct"/>
            <w:shd w:val="clear" w:color="auto" w:fill="auto"/>
            <w:vAlign w:val="center"/>
          </w:tcPr>
          <w:p w14:paraId="10D0EBF3">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w:t>
            </w:r>
          </w:p>
        </w:tc>
        <w:tc>
          <w:tcPr>
            <w:tcW w:w="764" w:type="pct"/>
            <w:vAlign w:val="center"/>
          </w:tcPr>
          <w:p w14:paraId="1AE780FA">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92.7</w:t>
            </w:r>
          </w:p>
        </w:tc>
        <w:tc>
          <w:tcPr>
            <w:tcW w:w="1626" w:type="dxa"/>
            <w:vAlign w:val="center"/>
          </w:tcPr>
          <w:p w14:paraId="4CC1AA14">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92.7</w:t>
            </w:r>
          </w:p>
        </w:tc>
        <w:tc>
          <w:tcPr>
            <w:tcW w:w="1861" w:type="dxa"/>
            <w:vAlign w:val="center"/>
          </w:tcPr>
          <w:p w14:paraId="2C2C4D53">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≥95</w:t>
            </w:r>
          </w:p>
        </w:tc>
        <w:tc>
          <w:tcPr>
            <w:tcW w:w="1873" w:type="dxa"/>
            <w:vAlign w:val="center"/>
          </w:tcPr>
          <w:p w14:paraId="72C03713">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≥97</w:t>
            </w:r>
          </w:p>
        </w:tc>
      </w:tr>
      <w:tr w14:paraId="78DEF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25" w:hRule="atLeast"/>
          <w:jc w:val="center"/>
        </w:trPr>
        <w:tc>
          <w:tcPr>
            <w:tcW w:w="173" w:type="pct"/>
            <w:vMerge w:val="continue"/>
            <w:vAlign w:val="center"/>
          </w:tcPr>
          <w:p w14:paraId="4E488CF3">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p>
        </w:tc>
        <w:tc>
          <w:tcPr>
            <w:tcW w:w="426" w:type="pct"/>
            <w:vMerge w:val="continue"/>
            <w:shd w:val="clear" w:color="auto" w:fill="auto"/>
            <w:vAlign w:val="center"/>
          </w:tcPr>
          <w:p w14:paraId="67CF26F5">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p>
        </w:tc>
        <w:tc>
          <w:tcPr>
            <w:tcW w:w="210" w:type="pct"/>
            <w:shd w:val="clear" w:color="auto" w:fill="auto"/>
            <w:vAlign w:val="center"/>
          </w:tcPr>
          <w:p w14:paraId="004B87F3">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30</w:t>
            </w:r>
          </w:p>
        </w:tc>
        <w:tc>
          <w:tcPr>
            <w:tcW w:w="1177" w:type="pct"/>
            <w:shd w:val="clear" w:color="auto" w:fill="auto"/>
            <w:vAlign w:val="center"/>
          </w:tcPr>
          <w:p w14:paraId="2762A1A3">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农村生活污水治理率</w:t>
            </w:r>
          </w:p>
        </w:tc>
        <w:tc>
          <w:tcPr>
            <w:tcW w:w="334" w:type="pct"/>
            <w:shd w:val="clear" w:color="auto" w:fill="auto"/>
            <w:vAlign w:val="center"/>
          </w:tcPr>
          <w:p w14:paraId="21853DBB">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w:t>
            </w:r>
          </w:p>
        </w:tc>
        <w:tc>
          <w:tcPr>
            <w:tcW w:w="764" w:type="pct"/>
            <w:vAlign w:val="center"/>
          </w:tcPr>
          <w:p w14:paraId="75FA31A1">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42.7</w:t>
            </w:r>
          </w:p>
        </w:tc>
        <w:tc>
          <w:tcPr>
            <w:tcW w:w="580" w:type="pct"/>
            <w:vAlign w:val="center"/>
          </w:tcPr>
          <w:p w14:paraId="3DACDE2B">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lang w:val="en-US" w:eastAsia="zh-CN"/>
              </w:rPr>
            </w:pPr>
            <w:r>
              <w:rPr>
                <w:rFonts w:hint="default" w:ascii="Times New Roman" w:hAnsi="Times New Roman" w:eastAsia="仿宋" w:cs="Times New Roman"/>
                <w:color w:val="auto"/>
                <w:sz w:val="21"/>
                <w:szCs w:val="21"/>
              </w:rPr>
              <w:t>≥</w:t>
            </w:r>
            <w:r>
              <w:rPr>
                <w:rFonts w:hint="eastAsia" w:ascii="Times New Roman" w:hAnsi="Times New Roman" w:eastAsia="仿宋" w:cs="Times New Roman"/>
                <w:color w:val="auto"/>
                <w:sz w:val="21"/>
                <w:szCs w:val="21"/>
                <w:lang w:val="en-US" w:eastAsia="zh-CN"/>
              </w:rPr>
              <w:t>50</w:t>
            </w:r>
          </w:p>
        </w:tc>
        <w:tc>
          <w:tcPr>
            <w:tcW w:w="664" w:type="pct"/>
            <w:vAlign w:val="center"/>
          </w:tcPr>
          <w:p w14:paraId="6856DD5E">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lang w:val="en-US" w:eastAsia="zh-CN"/>
              </w:rPr>
            </w:pPr>
            <w:r>
              <w:rPr>
                <w:rFonts w:hint="default" w:ascii="Times New Roman" w:hAnsi="Times New Roman" w:eastAsia="仿宋" w:cs="Times New Roman"/>
                <w:color w:val="auto"/>
                <w:sz w:val="21"/>
                <w:szCs w:val="21"/>
              </w:rPr>
              <w:t>≥</w:t>
            </w:r>
            <w:r>
              <w:rPr>
                <w:rFonts w:hint="eastAsia" w:ascii="Times New Roman" w:hAnsi="Times New Roman" w:eastAsia="仿宋" w:cs="Times New Roman"/>
                <w:color w:val="auto"/>
                <w:sz w:val="21"/>
                <w:szCs w:val="21"/>
                <w:lang w:val="en-US" w:eastAsia="zh-CN"/>
              </w:rPr>
              <w:t>53</w:t>
            </w:r>
          </w:p>
        </w:tc>
        <w:tc>
          <w:tcPr>
            <w:tcW w:w="668" w:type="pct"/>
            <w:vAlign w:val="center"/>
          </w:tcPr>
          <w:p w14:paraId="14555319">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lang w:val="en-US" w:eastAsia="zh-CN"/>
              </w:rPr>
            </w:pPr>
            <w:r>
              <w:rPr>
                <w:rFonts w:hint="default" w:ascii="Times New Roman" w:hAnsi="Times New Roman" w:eastAsia="仿宋" w:cs="Times New Roman"/>
                <w:color w:val="auto"/>
                <w:sz w:val="21"/>
                <w:szCs w:val="21"/>
              </w:rPr>
              <w:t>≥</w:t>
            </w:r>
            <w:r>
              <w:rPr>
                <w:rFonts w:hint="eastAsia" w:ascii="Times New Roman" w:hAnsi="Times New Roman" w:eastAsia="仿宋" w:cs="Times New Roman"/>
                <w:color w:val="auto"/>
                <w:sz w:val="21"/>
                <w:szCs w:val="21"/>
                <w:lang w:val="en-US" w:eastAsia="zh-CN"/>
              </w:rPr>
              <w:t>55</w:t>
            </w:r>
          </w:p>
        </w:tc>
      </w:tr>
      <w:tr w14:paraId="440B4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25" w:hRule="atLeast"/>
          <w:jc w:val="center"/>
        </w:trPr>
        <w:tc>
          <w:tcPr>
            <w:tcW w:w="173" w:type="pct"/>
            <w:vMerge w:val="continue"/>
            <w:vAlign w:val="center"/>
          </w:tcPr>
          <w:p w14:paraId="69A46DC8">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p>
        </w:tc>
        <w:tc>
          <w:tcPr>
            <w:tcW w:w="426" w:type="pct"/>
            <w:vMerge w:val="continue"/>
            <w:shd w:val="clear" w:color="auto" w:fill="auto"/>
            <w:vAlign w:val="center"/>
          </w:tcPr>
          <w:p w14:paraId="5CB8A7DB">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p>
        </w:tc>
        <w:tc>
          <w:tcPr>
            <w:tcW w:w="210" w:type="pct"/>
            <w:shd w:val="clear" w:color="auto" w:fill="auto"/>
            <w:vAlign w:val="center"/>
          </w:tcPr>
          <w:p w14:paraId="566FF098">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31</w:t>
            </w:r>
          </w:p>
        </w:tc>
        <w:tc>
          <w:tcPr>
            <w:tcW w:w="1177" w:type="pct"/>
            <w:shd w:val="clear" w:color="auto" w:fill="auto"/>
            <w:vAlign w:val="center"/>
          </w:tcPr>
          <w:p w14:paraId="69C421C9">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城镇生活垃圾无害化处理率</w:t>
            </w:r>
          </w:p>
        </w:tc>
        <w:tc>
          <w:tcPr>
            <w:tcW w:w="334" w:type="pct"/>
            <w:shd w:val="clear" w:color="auto" w:fill="auto"/>
            <w:vAlign w:val="center"/>
          </w:tcPr>
          <w:p w14:paraId="0DE7D76F">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w:t>
            </w:r>
          </w:p>
        </w:tc>
        <w:tc>
          <w:tcPr>
            <w:tcW w:w="764" w:type="pct"/>
            <w:vAlign w:val="center"/>
          </w:tcPr>
          <w:p w14:paraId="7299CE5E">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lang w:val="en-US" w:eastAsia="zh-CN"/>
              </w:rPr>
            </w:pPr>
            <w:r>
              <w:rPr>
                <w:rFonts w:hint="default" w:ascii="Times New Roman" w:hAnsi="Times New Roman" w:eastAsia="仿宋" w:cs="Times New Roman"/>
                <w:color w:val="auto"/>
                <w:sz w:val="21"/>
                <w:szCs w:val="21"/>
                <w:lang w:val="en-US" w:eastAsia="zh-CN"/>
              </w:rPr>
              <w:t>92.5</w:t>
            </w:r>
          </w:p>
        </w:tc>
        <w:tc>
          <w:tcPr>
            <w:tcW w:w="1626" w:type="dxa"/>
            <w:vAlign w:val="center"/>
          </w:tcPr>
          <w:p w14:paraId="57C70C62">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92.5</w:t>
            </w:r>
          </w:p>
        </w:tc>
        <w:tc>
          <w:tcPr>
            <w:tcW w:w="1861" w:type="dxa"/>
            <w:vAlign w:val="center"/>
          </w:tcPr>
          <w:p w14:paraId="00C6F327">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95</w:t>
            </w:r>
          </w:p>
        </w:tc>
        <w:tc>
          <w:tcPr>
            <w:tcW w:w="1873" w:type="dxa"/>
            <w:vAlign w:val="center"/>
          </w:tcPr>
          <w:p w14:paraId="707A6274">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97</w:t>
            </w:r>
          </w:p>
        </w:tc>
      </w:tr>
      <w:tr w14:paraId="26513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25" w:hRule="atLeast"/>
          <w:jc w:val="center"/>
        </w:trPr>
        <w:tc>
          <w:tcPr>
            <w:tcW w:w="173" w:type="pct"/>
            <w:vMerge w:val="continue"/>
            <w:vAlign w:val="center"/>
          </w:tcPr>
          <w:p w14:paraId="3F01B86B">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p>
        </w:tc>
        <w:tc>
          <w:tcPr>
            <w:tcW w:w="426" w:type="pct"/>
            <w:vMerge w:val="continue"/>
            <w:shd w:val="clear" w:color="auto" w:fill="auto"/>
            <w:vAlign w:val="center"/>
          </w:tcPr>
          <w:p w14:paraId="18FA1F90">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p>
        </w:tc>
        <w:tc>
          <w:tcPr>
            <w:tcW w:w="210" w:type="pct"/>
            <w:shd w:val="clear" w:color="auto" w:fill="auto"/>
            <w:vAlign w:val="center"/>
          </w:tcPr>
          <w:p w14:paraId="188F6E34">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32</w:t>
            </w:r>
          </w:p>
        </w:tc>
        <w:tc>
          <w:tcPr>
            <w:tcW w:w="1177" w:type="pct"/>
            <w:shd w:val="clear" w:color="auto" w:fill="auto"/>
            <w:vAlign w:val="center"/>
          </w:tcPr>
          <w:p w14:paraId="01DD1608">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农村生活垃圾无害化处理村占比</w:t>
            </w:r>
          </w:p>
        </w:tc>
        <w:tc>
          <w:tcPr>
            <w:tcW w:w="334" w:type="pct"/>
            <w:shd w:val="clear" w:color="auto" w:fill="auto"/>
            <w:vAlign w:val="center"/>
          </w:tcPr>
          <w:p w14:paraId="3320C989">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w:t>
            </w:r>
          </w:p>
        </w:tc>
        <w:tc>
          <w:tcPr>
            <w:tcW w:w="764" w:type="pct"/>
            <w:vAlign w:val="center"/>
          </w:tcPr>
          <w:p w14:paraId="1B5D87F3">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lang w:val="en-US" w:eastAsia="zh-CN"/>
              </w:rPr>
            </w:pPr>
            <w:r>
              <w:rPr>
                <w:rFonts w:hint="default" w:ascii="Times New Roman" w:hAnsi="Times New Roman" w:eastAsia="仿宋" w:cs="Times New Roman"/>
                <w:color w:val="auto"/>
                <w:sz w:val="21"/>
                <w:szCs w:val="21"/>
              </w:rPr>
              <w:t>83.5</w:t>
            </w:r>
          </w:p>
        </w:tc>
        <w:tc>
          <w:tcPr>
            <w:tcW w:w="580" w:type="pct"/>
            <w:vAlign w:val="center"/>
          </w:tcPr>
          <w:p w14:paraId="5D369235">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lang w:val="en-US" w:eastAsia="zh-CN"/>
              </w:rPr>
            </w:pPr>
            <w:r>
              <w:rPr>
                <w:rFonts w:hint="eastAsia" w:ascii="Times New Roman" w:hAnsi="Times New Roman" w:eastAsia="仿宋" w:cs="Times New Roman"/>
                <w:color w:val="auto"/>
                <w:sz w:val="21"/>
                <w:szCs w:val="21"/>
                <w:lang w:val="en-US" w:eastAsia="zh-CN"/>
              </w:rPr>
              <w:t>84</w:t>
            </w:r>
          </w:p>
        </w:tc>
        <w:tc>
          <w:tcPr>
            <w:tcW w:w="664" w:type="pct"/>
            <w:vAlign w:val="center"/>
          </w:tcPr>
          <w:p w14:paraId="6CED8E02">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lang w:val="en-US" w:eastAsia="zh-CN"/>
              </w:rPr>
            </w:pPr>
            <w:r>
              <w:rPr>
                <w:rFonts w:hint="eastAsia" w:ascii="Times New Roman" w:hAnsi="Times New Roman" w:eastAsia="仿宋" w:cs="Times New Roman"/>
                <w:color w:val="auto"/>
                <w:sz w:val="21"/>
                <w:szCs w:val="21"/>
                <w:lang w:val="en-US" w:eastAsia="zh-CN"/>
              </w:rPr>
              <w:t>85</w:t>
            </w:r>
          </w:p>
        </w:tc>
        <w:tc>
          <w:tcPr>
            <w:tcW w:w="668" w:type="pct"/>
            <w:vAlign w:val="center"/>
          </w:tcPr>
          <w:p w14:paraId="6722F48D">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lang w:val="en-US" w:eastAsia="zh-CN"/>
              </w:rPr>
            </w:pPr>
            <w:r>
              <w:rPr>
                <w:rFonts w:hint="eastAsia" w:ascii="Times New Roman" w:hAnsi="Times New Roman" w:eastAsia="仿宋" w:cs="Times New Roman"/>
                <w:color w:val="auto"/>
                <w:sz w:val="21"/>
                <w:szCs w:val="21"/>
                <w:lang w:val="en-US" w:eastAsia="zh-CN"/>
              </w:rPr>
              <w:t>85</w:t>
            </w:r>
          </w:p>
        </w:tc>
      </w:tr>
      <w:tr w14:paraId="33267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878" w:hRule="atLeast"/>
          <w:jc w:val="center"/>
        </w:trPr>
        <w:tc>
          <w:tcPr>
            <w:tcW w:w="173" w:type="pct"/>
            <w:vMerge w:val="continue"/>
            <w:vAlign w:val="center"/>
          </w:tcPr>
          <w:p w14:paraId="5FB7971F">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p>
        </w:tc>
        <w:tc>
          <w:tcPr>
            <w:tcW w:w="426" w:type="pct"/>
            <w:vMerge w:val="continue"/>
            <w:vAlign w:val="center"/>
          </w:tcPr>
          <w:p w14:paraId="10C2AA25">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p>
        </w:tc>
        <w:tc>
          <w:tcPr>
            <w:tcW w:w="210" w:type="pct"/>
            <w:vAlign w:val="center"/>
          </w:tcPr>
          <w:p w14:paraId="0DBE9EF8">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33</w:t>
            </w:r>
          </w:p>
        </w:tc>
        <w:tc>
          <w:tcPr>
            <w:tcW w:w="1177" w:type="pct"/>
            <w:vAlign w:val="center"/>
          </w:tcPr>
          <w:p w14:paraId="261845FD">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农村无害化卫生厕所普及率</w:t>
            </w:r>
          </w:p>
        </w:tc>
        <w:tc>
          <w:tcPr>
            <w:tcW w:w="334" w:type="pct"/>
            <w:vAlign w:val="center"/>
          </w:tcPr>
          <w:p w14:paraId="2FD7BFF3">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w:t>
            </w:r>
          </w:p>
        </w:tc>
        <w:tc>
          <w:tcPr>
            <w:tcW w:w="764" w:type="pct"/>
            <w:vAlign w:val="center"/>
          </w:tcPr>
          <w:p w14:paraId="6765F5F0">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完成上级下达的行政村所在地农村无害化卫生户厕</w:t>
            </w:r>
            <w:r>
              <w:rPr>
                <w:rFonts w:hint="eastAsia" w:ascii="Times New Roman" w:hAnsi="Times New Roman" w:eastAsia="仿宋" w:cs="Times New Roman"/>
                <w:color w:val="auto"/>
                <w:sz w:val="21"/>
                <w:szCs w:val="21"/>
                <w:lang w:val="en-US" w:eastAsia="zh-CN"/>
              </w:rPr>
              <w:t>1226</w:t>
            </w:r>
            <w:r>
              <w:rPr>
                <w:rFonts w:hint="default" w:ascii="Times New Roman" w:hAnsi="Times New Roman" w:eastAsia="仿宋" w:cs="Times New Roman"/>
                <w:color w:val="auto"/>
                <w:sz w:val="21"/>
                <w:szCs w:val="21"/>
              </w:rPr>
              <w:t>座</w:t>
            </w:r>
          </w:p>
        </w:tc>
        <w:tc>
          <w:tcPr>
            <w:tcW w:w="580" w:type="pct"/>
            <w:vAlign w:val="center"/>
          </w:tcPr>
          <w:p w14:paraId="250E0530">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完成上级规定的考核任务</w:t>
            </w:r>
          </w:p>
        </w:tc>
        <w:tc>
          <w:tcPr>
            <w:tcW w:w="664" w:type="pct"/>
            <w:vAlign w:val="center"/>
          </w:tcPr>
          <w:p w14:paraId="64BA6157">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完成上级规定的考核任务</w:t>
            </w:r>
          </w:p>
        </w:tc>
        <w:tc>
          <w:tcPr>
            <w:tcW w:w="668" w:type="pct"/>
            <w:vAlign w:val="center"/>
          </w:tcPr>
          <w:p w14:paraId="36F66EF2">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完成上级规定的考核任务</w:t>
            </w:r>
          </w:p>
        </w:tc>
      </w:tr>
      <w:tr w14:paraId="7584F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25" w:hRule="atLeast"/>
          <w:jc w:val="center"/>
        </w:trPr>
        <w:tc>
          <w:tcPr>
            <w:tcW w:w="173" w:type="pct"/>
            <w:vMerge w:val="restart"/>
            <w:vAlign w:val="center"/>
          </w:tcPr>
          <w:p w14:paraId="1D7A2949">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生态生活</w:t>
            </w:r>
          </w:p>
        </w:tc>
        <w:tc>
          <w:tcPr>
            <w:tcW w:w="426" w:type="pct"/>
            <w:vMerge w:val="restart"/>
            <w:vAlign w:val="center"/>
          </w:tcPr>
          <w:p w14:paraId="4C9DAD26">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（九）</w:t>
            </w:r>
          </w:p>
          <w:p w14:paraId="66F0426A">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生活</w:t>
            </w:r>
          </w:p>
          <w:p w14:paraId="3F6C1DD4">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方式</w:t>
            </w:r>
          </w:p>
          <w:p w14:paraId="46876BB9">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绿色化</w:t>
            </w:r>
          </w:p>
        </w:tc>
        <w:tc>
          <w:tcPr>
            <w:tcW w:w="210" w:type="pct"/>
            <w:vAlign w:val="center"/>
          </w:tcPr>
          <w:p w14:paraId="1FC084B4">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34</w:t>
            </w:r>
          </w:p>
        </w:tc>
        <w:tc>
          <w:tcPr>
            <w:tcW w:w="1177" w:type="pct"/>
            <w:vAlign w:val="center"/>
          </w:tcPr>
          <w:p w14:paraId="348B5928">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城镇新建绿色建筑比例</w:t>
            </w:r>
          </w:p>
        </w:tc>
        <w:tc>
          <w:tcPr>
            <w:tcW w:w="334" w:type="pct"/>
            <w:vAlign w:val="center"/>
          </w:tcPr>
          <w:p w14:paraId="290C2CA0">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w:t>
            </w:r>
          </w:p>
        </w:tc>
        <w:tc>
          <w:tcPr>
            <w:tcW w:w="764" w:type="pct"/>
            <w:vAlign w:val="center"/>
          </w:tcPr>
          <w:p w14:paraId="4207DB0E">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98.62</w:t>
            </w:r>
          </w:p>
        </w:tc>
        <w:tc>
          <w:tcPr>
            <w:tcW w:w="580" w:type="pct"/>
            <w:vAlign w:val="center"/>
          </w:tcPr>
          <w:p w14:paraId="637C31FC">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FF0000"/>
                <w:sz w:val="21"/>
                <w:szCs w:val="21"/>
              </w:rPr>
            </w:pPr>
            <w:r>
              <w:rPr>
                <w:rFonts w:hint="default" w:ascii="Times New Roman" w:hAnsi="Times New Roman" w:eastAsia="仿宋" w:cs="Times New Roman"/>
                <w:color w:val="auto"/>
                <w:sz w:val="21"/>
                <w:szCs w:val="21"/>
              </w:rPr>
              <w:t>≥99</w:t>
            </w:r>
          </w:p>
        </w:tc>
        <w:tc>
          <w:tcPr>
            <w:tcW w:w="664" w:type="pct"/>
            <w:vAlign w:val="center"/>
          </w:tcPr>
          <w:p w14:paraId="651C477A">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FF0000"/>
                <w:sz w:val="21"/>
                <w:szCs w:val="21"/>
              </w:rPr>
            </w:pPr>
            <w:r>
              <w:rPr>
                <w:rFonts w:hint="default" w:ascii="Times New Roman" w:hAnsi="Times New Roman" w:eastAsia="仿宋" w:cs="Times New Roman"/>
                <w:color w:val="auto"/>
                <w:sz w:val="21"/>
                <w:szCs w:val="21"/>
              </w:rPr>
              <w:t>≥99</w:t>
            </w:r>
          </w:p>
        </w:tc>
        <w:tc>
          <w:tcPr>
            <w:tcW w:w="668" w:type="pct"/>
            <w:vAlign w:val="center"/>
          </w:tcPr>
          <w:p w14:paraId="0B055A5D">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FF0000"/>
                <w:sz w:val="21"/>
                <w:szCs w:val="21"/>
              </w:rPr>
            </w:pPr>
            <w:r>
              <w:rPr>
                <w:rFonts w:hint="default" w:ascii="Times New Roman" w:hAnsi="Times New Roman" w:eastAsia="仿宋" w:cs="Times New Roman"/>
                <w:color w:val="auto"/>
                <w:sz w:val="21"/>
                <w:szCs w:val="21"/>
              </w:rPr>
              <w:t>≥99</w:t>
            </w:r>
          </w:p>
        </w:tc>
      </w:tr>
      <w:tr w14:paraId="06050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37" w:hRule="atLeast"/>
          <w:jc w:val="center"/>
        </w:trPr>
        <w:tc>
          <w:tcPr>
            <w:tcW w:w="173" w:type="pct"/>
            <w:vMerge w:val="continue"/>
            <w:vAlign w:val="center"/>
          </w:tcPr>
          <w:p w14:paraId="31171C6F">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p>
        </w:tc>
        <w:tc>
          <w:tcPr>
            <w:tcW w:w="426" w:type="pct"/>
            <w:vMerge w:val="continue"/>
            <w:vAlign w:val="center"/>
          </w:tcPr>
          <w:p w14:paraId="4EC7D30A">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p>
        </w:tc>
        <w:tc>
          <w:tcPr>
            <w:tcW w:w="210" w:type="pct"/>
            <w:shd w:val="clear" w:color="auto" w:fill="auto"/>
            <w:vAlign w:val="center"/>
          </w:tcPr>
          <w:p w14:paraId="22CFEF75">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35</w:t>
            </w:r>
          </w:p>
        </w:tc>
        <w:tc>
          <w:tcPr>
            <w:tcW w:w="1177" w:type="pct"/>
            <w:shd w:val="clear" w:color="auto" w:fill="auto"/>
            <w:vAlign w:val="center"/>
          </w:tcPr>
          <w:p w14:paraId="77C38611">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城镇生活垃圾分类减量化行动</w:t>
            </w:r>
          </w:p>
        </w:tc>
        <w:tc>
          <w:tcPr>
            <w:tcW w:w="334" w:type="pct"/>
            <w:shd w:val="clear" w:color="auto" w:fill="auto"/>
            <w:vAlign w:val="center"/>
          </w:tcPr>
          <w:p w14:paraId="6B9BBD99">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w:t>
            </w:r>
          </w:p>
        </w:tc>
        <w:tc>
          <w:tcPr>
            <w:tcW w:w="764" w:type="pct"/>
            <w:vAlign w:val="center"/>
          </w:tcPr>
          <w:p w14:paraId="3DA82984">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印发《新平县城市生活垃圾分类实施方案》（新政办发〔2020〕28号），开展分类试点工作</w:t>
            </w:r>
          </w:p>
        </w:tc>
        <w:tc>
          <w:tcPr>
            <w:tcW w:w="580" w:type="pct"/>
            <w:vAlign w:val="center"/>
          </w:tcPr>
          <w:p w14:paraId="54B0BCA7">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实施</w:t>
            </w:r>
          </w:p>
        </w:tc>
        <w:tc>
          <w:tcPr>
            <w:tcW w:w="664" w:type="pct"/>
            <w:vAlign w:val="center"/>
          </w:tcPr>
          <w:p w14:paraId="1546084E">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实施</w:t>
            </w:r>
          </w:p>
        </w:tc>
        <w:tc>
          <w:tcPr>
            <w:tcW w:w="668" w:type="pct"/>
            <w:vAlign w:val="center"/>
          </w:tcPr>
          <w:p w14:paraId="620ACF10">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实施</w:t>
            </w:r>
          </w:p>
        </w:tc>
      </w:tr>
      <w:tr w14:paraId="77332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25" w:hRule="atLeast"/>
          <w:jc w:val="center"/>
        </w:trPr>
        <w:tc>
          <w:tcPr>
            <w:tcW w:w="173" w:type="pct"/>
            <w:vMerge w:val="continue"/>
            <w:vAlign w:val="center"/>
          </w:tcPr>
          <w:p w14:paraId="4C2E8376">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p>
        </w:tc>
        <w:tc>
          <w:tcPr>
            <w:tcW w:w="426" w:type="pct"/>
            <w:vMerge w:val="continue"/>
            <w:vAlign w:val="center"/>
          </w:tcPr>
          <w:p w14:paraId="3562BADF">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p>
        </w:tc>
        <w:tc>
          <w:tcPr>
            <w:tcW w:w="210" w:type="pct"/>
            <w:vAlign w:val="center"/>
          </w:tcPr>
          <w:p w14:paraId="61AAFF58">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36</w:t>
            </w:r>
          </w:p>
        </w:tc>
        <w:tc>
          <w:tcPr>
            <w:tcW w:w="1177" w:type="pct"/>
            <w:vAlign w:val="center"/>
          </w:tcPr>
          <w:p w14:paraId="34674E20">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政府绿色采购比例</w:t>
            </w:r>
          </w:p>
        </w:tc>
        <w:tc>
          <w:tcPr>
            <w:tcW w:w="334" w:type="pct"/>
            <w:vAlign w:val="center"/>
          </w:tcPr>
          <w:p w14:paraId="46C230E8">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w:t>
            </w:r>
          </w:p>
        </w:tc>
        <w:tc>
          <w:tcPr>
            <w:tcW w:w="764" w:type="pct"/>
            <w:vAlign w:val="center"/>
          </w:tcPr>
          <w:p w14:paraId="7E5D9105">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lang w:val="en-US" w:eastAsia="zh-CN"/>
              </w:rPr>
            </w:pPr>
            <w:r>
              <w:rPr>
                <w:rFonts w:hint="default" w:ascii="Times New Roman" w:hAnsi="Times New Roman" w:eastAsia="仿宋" w:cs="Times New Roman"/>
                <w:color w:val="auto"/>
                <w:sz w:val="21"/>
                <w:szCs w:val="21"/>
              </w:rPr>
              <w:t>99.89</w:t>
            </w:r>
          </w:p>
        </w:tc>
        <w:tc>
          <w:tcPr>
            <w:tcW w:w="580" w:type="pct"/>
            <w:vAlign w:val="center"/>
          </w:tcPr>
          <w:p w14:paraId="60CD78B2">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仿宋" w:cs="Times New Roman"/>
                <w:color w:val="auto"/>
                <w:sz w:val="21"/>
                <w:szCs w:val="21"/>
                <w:lang w:eastAsia="zh-CN"/>
              </w:rPr>
            </w:pPr>
            <w:r>
              <w:rPr>
                <w:rFonts w:hint="default" w:ascii="Times New Roman" w:hAnsi="Times New Roman" w:eastAsia="仿宋" w:cs="Times New Roman"/>
                <w:color w:val="auto"/>
                <w:sz w:val="21"/>
                <w:szCs w:val="21"/>
              </w:rPr>
              <w:t>≥99.</w:t>
            </w:r>
            <w:r>
              <w:rPr>
                <w:rFonts w:hint="eastAsia" w:ascii="Times New Roman" w:hAnsi="Times New Roman" w:eastAsia="仿宋" w:cs="Times New Roman"/>
                <w:color w:val="auto"/>
                <w:sz w:val="21"/>
                <w:szCs w:val="21"/>
                <w:lang w:val="en-US" w:eastAsia="zh-CN"/>
              </w:rPr>
              <w:t>9</w:t>
            </w:r>
          </w:p>
        </w:tc>
        <w:tc>
          <w:tcPr>
            <w:tcW w:w="664" w:type="pct"/>
            <w:vAlign w:val="center"/>
          </w:tcPr>
          <w:p w14:paraId="13AC9C70">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≥99.</w:t>
            </w:r>
            <w:r>
              <w:rPr>
                <w:rFonts w:hint="eastAsia" w:ascii="Times New Roman" w:hAnsi="Times New Roman" w:eastAsia="仿宋" w:cs="Times New Roman"/>
                <w:color w:val="auto"/>
                <w:sz w:val="21"/>
                <w:szCs w:val="21"/>
                <w:lang w:val="en-US" w:eastAsia="zh-CN"/>
              </w:rPr>
              <w:t>9</w:t>
            </w:r>
          </w:p>
        </w:tc>
        <w:tc>
          <w:tcPr>
            <w:tcW w:w="668" w:type="pct"/>
            <w:vAlign w:val="center"/>
          </w:tcPr>
          <w:p w14:paraId="6E65E883">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≥99.</w:t>
            </w:r>
            <w:r>
              <w:rPr>
                <w:rFonts w:hint="eastAsia" w:ascii="Times New Roman" w:hAnsi="Times New Roman" w:eastAsia="仿宋" w:cs="Times New Roman"/>
                <w:color w:val="auto"/>
                <w:sz w:val="21"/>
                <w:szCs w:val="21"/>
                <w:lang w:val="en-US" w:eastAsia="zh-CN"/>
              </w:rPr>
              <w:t>9</w:t>
            </w:r>
          </w:p>
        </w:tc>
      </w:tr>
      <w:tr w14:paraId="5D2C4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01" w:hRule="atLeast"/>
          <w:jc w:val="center"/>
        </w:trPr>
        <w:tc>
          <w:tcPr>
            <w:tcW w:w="173" w:type="pct"/>
            <w:vMerge w:val="restart"/>
            <w:vAlign w:val="center"/>
          </w:tcPr>
          <w:p w14:paraId="57A4C486">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生态文化</w:t>
            </w:r>
          </w:p>
        </w:tc>
        <w:tc>
          <w:tcPr>
            <w:tcW w:w="426" w:type="pct"/>
            <w:vMerge w:val="restart"/>
            <w:vAlign w:val="center"/>
          </w:tcPr>
          <w:p w14:paraId="4D56C136">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（十）</w:t>
            </w:r>
          </w:p>
          <w:p w14:paraId="590EE238">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观念意识普及</w:t>
            </w:r>
          </w:p>
        </w:tc>
        <w:tc>
          <w:tcPr>
            <w:tcW w:w="210" w:type="pct"/>
            <w:vAlign w:val="center"/>
          </w:tcPr>
          <w:p w14:paraId="483F0BF7">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37</w:t>
            </w:r>
          </w:p>
        </w:tc>
        <w:tc>
          <w:tcPr>
            <w:tcW w:w="1177" w:type="pct"/>
            <w:vAlign w:val="center"/>
          </w:tcPr>
          <w:p w14:paraId="44AE61F5">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党政领导干部参加生态文明培训的人数比例</w:t>
            </w:r>
          </w:p>
        </w:tc>
        <w:tc>
          <w:tcPr>
            <w:tcW w:w="334" w:type="pct"/>
            <w:vAlign w:val="center"/>
          </w:tcPr>
          <w:p w14:paraId="2FF7B590">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w:t>
            </w:r>
          </w:p>
        </w:tc>
        <w:tc>
          <w:tcPr>
            <w:tcW w:w="764" w:type="pct"/>
            <w:vAlign w:val="center"/>
          </w:tcPr>
          <w:p w14:paraId="7C8F4D36">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100</w:t>
            </w:r>
          </w:p>
        </w:tc>
        <w:tc>
          <w:tcPr>
            <w:tcW w:w="580" w:type="pct"/>
            <w:vAlign w:val="center"/>
          </w:tcPr>
          <w:p w14:paraId="4732F91C">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100</w:t>
            </w:r>
          </w:p>
        </w:tc>
        <w:tc>
          <w:tcPr>
            <w:tcW w:w="664" w:type="pct"/>
            <w:vAlign w:val="center"/>
          </w:tcPr>
          <w:p w14:paraId="4095BFBB">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100</w:t>
            </w:r>
          </w:p>
        </w:tc>
        <w:tc>
          <w:tcPr>
            <w:tcW w:w="668" w:type="pct"/>
            <w:vAlign w:val="center"/>
          </w:tcPr>
          <w:p w14:paraId="563BE225">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100</w:t>
            </w:r>
          </w:p>
        </w:tc>
      </w:tr>
      <w:tr w14:paraId="776FF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25" w:hRule="atLeast"/>
          <w:jc w:val="center"/>
        </w:trPr>
        <w:tc>
          <w:tcPr>
            <w:tcW w:w="173" w:type="pct"/>
            <w:vMerge w:val="continue"/>
            <w:vAlign w:val="center"/>
          </w:tcPr>
          <w:p w14:paraId="5EDC09D3">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p>
        </w:tc>
        <w:tc>
          <w:tcPr>
            <w:tcW w:w="426" w:type="pct"/>
            <w:vMerge w:val="continue"/>
            <w:vAlign w:val="center"/>
          </w:tcPr>
          <w:p w14:paraId="420F3D24">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p>
        </w:tc>
        <w:tc>
          <w:tcPr>
            <w:tcW w:w="210" w:type="pct"/>
            <w:vAlign w:val="center"/>
          </w:tcPr>
          <w:p w14:paraId="093FE6EF">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38</w:t>
            </w:r>
          </w:p>
        </w:tc>
        <w:tc>
          <w:tcPr>
            <w:tcW w:w="1177" w:type="pct"/>
            <w:vAlign w:val="center"/>
          </w:tcPr>
          <w:p w14:paraId="1E444FC0">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公众对生态文明建设的满意度</w:t>
            </w:r>
          </w:p>
        </w:tc>
        <w:tc>
          <w:tcPr>
            <w:tcW w:w="334" w:type="pct"/>
            <w:vAlign w:val="center"/>
          </w:tcPr>
          <w:p w14:paraId="68BA32DF">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w:t>
            </w:r>
          </w:p>
        </w:tc>
        <w:tc>
          <w:tcPr>
            <w:tcW w:w="764" w:type="pct"/>
            <w:vAlign w:val="center"/>
          </w:tcPr>
          <w:p w14:paraId="5DC4A1C1">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94.59</w:t>
            </w:r>
          </w:p>
        </w:tc>
        <w:tc>
          <w:tcPr>
            <w:tcW w:w="580" w:type="pct"/>
            <w:vAlign w:val="center"/>
          </w:tcPr>
          <w:p w14:paraId="31B96B90">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lang w:val="en-US" w:eastAsia="zh-CN"/>
              </w:rPr>
            </w:pPr>
            <w:r>
              <w:rPr>
                <w:rFonts w:hint="default" w:ascii="Times New Roman" w:hAnsi="Times New Roman" w:eastAsia="仿宋" w:cs="Times New Roman"/>
                <w:color w:val="auto"/>
                <w:sz w:val="21"/>
                <w:szCs w:val="21"/>
              </w:rPr>
              <w:t>≥</w:t>
            </w:r>
            <w:r>
              <w:rPr>
                <w:rFonts w:hint="eastAsia" w:ascii="Times New Roman" w:hAnsi="Times New Roman" w:eastAsia="仿宋" w:cs="Times New Roman"/>
                <w:color w:val="auto"/>
                <w:sz w:val="21"/>
                <w:szCs w:val="21"/>
                <w:lang w:val="en-US" w:eastAsia="zh-CN"/>
              </w:rPr>
              <w:t>95</w:t>
            </w:r>
          </w:p>
        </w:tc>
        <w:tc>
          <w:tcPr>
            <w:tcW w:w="664" w:type="pct"/>
            <w:vAlign w:val="center"/>
          </w:tcPr>
          <w:p w14:paraId="07B3465D">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仿宋" w:cs="Times New Roman"/>
                <w:color w:val="auto"/>
                <w:sz w:val="21"/>
                <w:szCs w:val="21"/>
                <w:lang w:eastAsia="zh-CN"/>
              </w:rPr>
            </w:pPr>
            <w:r>
              <w:rPr>
                <w:rFonts w:hint="default" w:ascii="Times New Roman" w:hAnsi="Times New Roman" w:eastAsia="仿宋" w:cs="Times New Roman"/>
                <w:color w:val="auto"/>
                <w:sz w:val="21"/>
                <w:szCs w:val="21"/>
              </w:rPr>
              <w:t>≥9</w:t>
            </w:r>
            <w:r>
              <w:rPr>
                <w:rFonts w:hint="eastAsia" w:ascii="Times New Roman" w:hAnsi="Times New Roman" w:eastAsia="仿宋" w:cs="Times New Roman"/>
                <w:color w:val="auto"/>
                <w:sz w:val="21"/>
                <w:szCs w:val="21"/>
                <w:lang w:val="en-US" w:eastAsia="zh-CN"/>
              </w:rPr>
              <w:t>6</w:t>
            </w:r>
          </w:p>
        </w:tc>
        <w:tc>
          <w:tcPr>
            <w:tcW w:w="668" w:type="pct"/>
            <w:vAlign w:val="center"/>
          </w:tcPr>
          <w:p w14:paraId="7891BB8C">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仿宋" w:cs="Times New Roman"/>
                <w:color w:val="auto"/>
                <w:sz w:val="21"/>
                <w:szCs w:val="21"/>
                <w:lang w:eastAsia="zh-CN"/>
              </w:rPr>
            </w:pPr>
            <w:r>
              <w:rPr>
                <w:rFonts w:hint="eastAsia" w:ascii="Times New Roman" w:hAnsi="Times New Roman" w:eastAsia="仿宋" w:cs="Times New Roman"/>
                <w:color w:val="auto"/>
                <w:sz w:val="21"/>
                <w:szCs w:val="21"/>
                <w:lang w:val="en-US" w:eastAsia="zh-CN"/>
              </w:rPr>
              <w:t>＞</w:t>
            </w:r>
            <w:r>
              <w:rPr>
                <w:rFonts w:hint="default" w:ascii="Times New Roman" w:hAnsi="Times New Roman" w:eastAsia="仿宋" w:cs="Times New Roman"/>
                <w:color w:val="auto"/>
                <w:sz w:val="21"/>
                <w:szCs w:val="21"/>
              </w:rPr>
              <w:t>9</w:t>
            </w:r>
            <w:r>
              <w:rPr>
                <w:rFonts w:hint="eastAsia" w:ascii="Times New Roman" w:hAnsi="Times New Roman" w:eastAsia="仿宋" w:cs="Times New Roman"/>
                <w:color w:val="auto"/>
                <w:sz w:val="21"/>
                <w:szCs w:val="21"/>
                <w:lang w:val="en-US" w:eastAsia="zh-CN"/>
              </w:rPr>
              <w:t>6</w:t>
            </w:r>
          </w:p>
        </w:tc>
      </w:tr>
      <w:tr w14:paraId="3519D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25" w:hRule="atLeast"/>
          <w:jc w:val="center"/>
        </w:trPr>
        <w:tc>
          <w:tcPr>
            <w:tcW w:w="173" w:type="pct"/>
            <w:vMerge w:val="continue"/>
            <w:vAlign w:val="center"/>
          </w:tcPr>
          <w:p w14:paraId="576B62A0">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p>
        </w:tc>
        <w:tc>
          <w:tcPr>
            <w:tcW w:w="426" w:type="pct"/>
            <w:vMerge w:val="continue"/>
            <w:vAlign w:val="center"/>
          </w:tcPr>
          <w:p w14:paraId="5A4E6446">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p>
        </w:tc>
        <w:tc>
          <w:tcPr>
            <w:tcW w:w="210" w:type="pct"/>
            <w:vAlign w:val="center"/>
          </w:tcPr>
          <w:p w14:paraId="56B7ED8C">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39</w:t>
            </w:r>
          </w:p>
        </w:tc>
        <w:tc>
          <w:tcPr>
            <w:tcW w:w="1177" w:type="pct"/>
            <w:vAlign w:val="center"/>
          </w:tcPr>
          <w:p w14:paraId="1821DCBA">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公众对生态文明建设的参与度</w:t>
            </w:r>
          </w:p>
        </w:tc>
        <w:tc>
          <w:tcPr>
            <w:tcW w:w="334" w:type="pct"/>
            <w:vAlign w:val="center"/>
          </w:tcPr>
          <w:p w14:paraId="32C7E463">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w:t>
            </w:r>
          </w:p>
        </w:tc>
        <w:tc>
          <w:tcPr>
            <w:tcW w:w="764" w:type="pct"/>
            <w:vAlign w:val="center"/>
          </w:tcPr>
          <w:p w14:paraId="75520DB8">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rPr>
              <w:t>92.13</w:t>
            </w:r>
          </w:p>
        </w:tc>
        <w:tc>
          <w:tcPr>
            <w:tcW w:w="580" w:type="pct"/>
            <w:vAlign w:val="center"/>
          </w:tcPr>
          <w:p w14:paraId="3EB4DEB3">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仿宋" w:cs="Times New Roman"/>
                <w:color w:val="auto"/>
                <w:sz w:val="21"/>
                <w:szCs w:val="21"/>
                <w:lang w:eastAsia="zh-CN"/>
              </w:rPr>
            </w:pPr>
            <w:r>
              <w:rPr>
                <w:rFonts w:hint="default" w:ascii="Times New Roman" w:hAnsi="Times New Roman" w:eastAsia="仿宋" w:cs="Times New Roman"/>
                <w:color w:val="auto"/>
                <w:sz w:val="21"/>
                <w:szCs w:val="21"/>
              </w:rPr>
              <w:t>≥9</w:t>
            </w:r>
            <w:r>
              <w:rPr>
                <w:rFonts w:hint="eastAsia" w:ascii="Times New Roman" w:hAnsi="Times New Roman" w:eastAsia="仿宋" w:cs="Times New Roman"/>
                <w:color w:val="auto"/>
                <w:sz w:val="21"/>
                <w:szCs w:val="21"/>
                <w:lang w:val="en-US" w:eastAsia="zh-CN"/>
              </w:rPr>
              <w:t>3</w:t>
            </w:r>
          </w:p>
        </w:tc>
        <w:tc>
          <w:tcPr>
            <w:tcW w:w="664" w:type="pct"/>
            <w:vAlign w:val="center"/>
          </w:tcPr>
          <w:p w14:paraId="6206A157">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仿宋" w:cs="Times New Roman"/>
                <w:color w:val="auto"/>
                <w:sz w:val="21"/>
                <w:szCs w:val="21"/>
                <w:lang w:eastAsia="zh-CN"/>
              </w:rPr>
            </w:pPr>
            <w:r>
              <w:rPr>
                <w:rFonts w:hint="default" w:ascii="Times New Roman" w:hAnsi="Times New Roman" w:eastAsia="仿宋" w:cs="Times New Roman"/>
                <w:color w:val="auto"/>
                <w:sz w:val="21"/>
                <w:szCs w:val="21"/>
              </w:rPr>
              <w:t>≥9</w:t>
            </w:r>
            <w:r>
              <w:rPr>
                <w:rFonts w:hint="eastAsia" w:ascii="Times New Roman" w:hAnsi="Times New Roman" w:eastAsia="仿宋" w:cs="Times New Roman"/>
                <w:color w:val="auto"/>
                <w:sz w:val="21"/>
                <w:szCs w:val="21"/>
                <w:lang w:val="en-US" w:eastAsia="zh-CN"/>
              </w:rPr>
              <w:t>4</w:t>
            </w:r>
          </w:p>
        </w:tc>
        <w:tc>
          <w:tcPr>
            <w:tcW w:w="668" w:type="pct"/>
            <w:vAlign w:val="center"/>
          </w:tcPr>
          <w:p w14:paraId="69F8E894">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Times New Roman" w:hAnsi="Times New Roman" w:eastAsia="仿宋" w:cs="Times New Roman"/>
                <w:color w:val="auto"/>
                <w:sz w:val="21"/>
                <w:szCs w:val="21"/>
                <w:lang w:eastAsia="zh-CN"/>
              </w:rPr>
            </w:pPr>
            <w:r>
              <w:rPr>
                <w:rFonts w:hint="default" w:ascii="Times New Roman" w:hAnsi="Times New Roman" w:eastAsia="仿宋" w:cs="Times New Roman"/>
                <w:color w:val="auto"/>
                <w:sz w:val="21"/>
                <w:szCs w:val="21"/>
              </w:rPr>
              <w:t>≥9</w:t>
            </w:r>
            <w:r>
              <w:rPr>
                <w:rFonts w:hint="eastAsia" w:ascii="Times New Roman" w:hAnsi="Times New Roman" w:eastAsia="仿宋" w:cs="Times New Roman"/>
                <w:color w:val="auto"/>
                <w:sz w:val="21"/>
                <w:szCs w:val="21"/>
                <w:lang w:val="en-US" w:eastAsia="zh-CN"/>
              </w:rPr>
              <w:t>5</w:t>
            </w:r>
          </w:p>
        </w:tc>
      </w:tr>
    </w:tbl>
    <w:p w14:paraId="638031D8">
      <w:pPr>
        <w:pStyle w:val="13"/>
        <w:ind w:left="640" w:firstLine="640"/>
        <w:jc w:val="center"/>
        <w:rPr>
          <w:color w:val="FF0000"/>
        </w:rPr>
        <w:sectPr>
          <w:pgSz w:w="16838" w:h="11906" w:orient="landscape"/>
          <w:pgMar w:top="1800" w:right="1440" w:bottom="1800" w:left="1440" w:header="851" w:footer="992" w:gutter="0"/>
          <w:pgNumType w:fmt="decimal"/>
          <w:cols w:space="425" w:num="1"/>
          <w:docGrid w:type="lines" w:linePitch="312" w:charSpace="0"/>
        </w:sectPr>
      </w:pPr>
    </w:p>
    <w:p w14:paraId="57942E5E">
      <w:pPr>
        <w:pStyle w:val="3"/>
        <w:pageBreakBefore w:val="0"/>
        <w:kinsoku/>
        <w:wordWrap/>
        <w:overflowPunct/>
        <w:topLinePunct w:val="0"/>
        <w:autoSpaceDE/>
        <w:autoSpaceDN/>
        <w:bidi w:val="0"/>
        <w:spacing w:before="0" w:after="0" w:line="500" w:lineRule="exact"/>
        <w:jc w:val="center"/>
        <w:textAlignment w:val="auto"/>
        <w:rPr>
          <w:rFonts w:hint="default" w:ascii="Times New Roman" w:hAnsi="Times New Roman" w:eastAsia="仿宋" w:cs="Times New Roman"/>
          <w:color w:val="auto"/>
          <w:sz w:val="44"/>
          <w:lang w:val="en-US" w:eastAsia="zh-CN"/>
        </w:rPr>
      </w:pPr>
      <w:bookmarkStart w:id="233" w:name="_Toc88223195"/>
      <w:bookmarkStart w:id="234" w:name="_Toc31016"/>
      <w:bookmarkStart w:id="235" w:name="_Toc103590105"/>
      <w:r>
        <w:rPr>
          <w:rFonts w:hint="default" w:ascii="Times New Roman" w:hAnsi="Times New Roman" w:eastAsia="仿宋" w:cs="Times New Roman"/>
          <w:color w:val="auto"/>
          <w:sz w:val="44"/>
          <w:lang w:val="en-US" w:eastAsia="zh-CN"/>
        </w:rPr>
        <w:t>5严格落实政策，健全生态制度体系</w:t>
      </w:r>
      <w:bookmarkEnd w:id="233"/>
      <w:bookmarkEnd w:id="234"/>
      <w:bookmarkEnd w:id="235"/>
    </w:p>
    <w:p w14:paraId="76A523A7">
      <w:pPr>
        <w:pStyle w:val="4"/>
        <w:pageBreakBefore w:val="0"/>
        <w:kinsoku/>
        <w:wordWrap/>
        <w:overflowPunct/>
        <w:topLinePunct w:val="0"/>
        <w:autoSpaceDE/>
        <w:autoSpaceDN/>
        <w:bidi w:val="0"/>
        <w:spacing w:before="260" w:after="260" w:line="500" w:lineRule="exact"/>
        <w:ind w:firstLine="0"/>
        <w:textAlignment w:val="auto"/>
        <w:rPr>
          <w:rFonts w:hint="eastAsia" w:ascii="Times New Roman" w:hAnsi="Times New Roman" w:eastAsia="仿宋" w:cs="Times New Roman"/>
          <w:color w:val="auto"/>
          <w:sz w:val="32"/>
          <w:lang w:val="en-US" w:eastAsia="zh-CN"/>
        </w:rPr>
      </w:pPr>
      <w:bookmarkStart w:id="236" w:name="_Toc22011"/>
      <w:bookmarkStart w:id="237" w:name="_Toc19429"/>
      <w:bookmarkStart w:id="238" w:name="_Toc2526"/>
      <w:bookmarkStart w:id="239" w:name="_Toc10625"/>
      <w:bookmarkStart w:id="240" w:name="_Toc23757"/>
      <w:r>
        <w:rPr>
          <w:rFonts w:hint="default" w:ascii="Times New Roman" w:hAnsi="Times New Roman" w:eastAsia="仿宋" w:cs="Times New Roman"/>
          <w:color w:val="auto"/>
          <w:sz w:val="32"/>
          <w:lang w:val="en-US" w:eastAsia="zh-CN"/>
        </w:rPr>
        <w:t>5.1</w:t>
      </w:r>
      <w:r>
        <w:rPr>
          <w:rFonts w:hint="eastAsia" w:ascii="Times New Roman" w:hAnsi="Times New Roman" w:eastAsia="仿宋" w:cs="Times New Roman"/>
          <w:color w:val="auto"/>
          <w:sz w:val="32"/>
          <w:lang w:val="en-US" w:eastAsia="zh-CN"/>
        </w:rPr>
        <w:t>健全</w:t>
      </w:r>
      <w:r>
        <w:rPr>
          <w:rFonts w:hint="default" w:ascii="Times New Roman" w:hAnsi="Times New Roman" w:eastAsia="仿宋" w:cs="Times New Roman"/>
          <w:color w:val="auto"/>
          <w:sz w:val="32"/>
          <w:lang w:val="en-US" w:eastAsia="zh-CN"/>
        </w:rPr>
        <w:t>完善</w:t>
      </w:r>
      <w:r>
        <w:rPr>
          <w:rFonts w:hint="eastAsia" w:ascii="Times New Roman" w:hAnsi="Times New Roman" w:eastAsia="仿宋" w:cs="Times New Roman"/>
          <w:color w:val="auto"/>
          <w:sz w:val="32"/>
          <w:lang w:val="en-US" w:eastAsia="zh-CN"/>
        </w:rPr>
        <w:t>自然资源资产产权和</w:t>
      </w:r>
      <w:r>
        <w:rPr>
          <w:rFonts w:hint="default" w:ascii="Times New Roman" w:hAnsi="Times New Roman" w:eastAsia="仿宋" w:cs="Times New Roman"/>
          <w:color w:val="auto"/>
          <w:sz w:val="32"/>
          <w:lang w:val="en-US" w:eastAsia="zh-CN"/>
        </w:rPr>
        <w:t>资源总量管理全面节约制度</w:t>
      </w:r>
      <w:bookmarkEnd w:id="236"/>
    </w:p>
    <w:p w14:paraId="7C3284C1">
      <w:pPr>
        <w:pStyle w:val="5"/>
        <w:pageBreakBefore w:val="0"/>
        <w:kinsoku/>
        <w:wordWrap/>
        <w:overflowPunct/>
        <w:topLinePunct w:val="0"/>
        <w:autoSpaceDE/>
        <w:autoSpaceDN/>
        <w:bidi w:val="0"/>
        <w:spacing w:before="120" w:after="120" w:line="500" w:lineRule="exact"/>
        <w:ind w:firstLine="0" w:firstLineChars="0"/>
        <w:textAlignment w:val="auto"/>
        <w:rPr>
          <w:rFonts w:hint="default" w:eastAsia="仿宋"/>
          <w:snapToGrid w:val="0"/>
          <w:color w:val="auto"/>
          <w:sz w:val="28"/>
          <w:szCs w:val="28"/>
          <w:lang w:val="en-US" w:eastAsia="zh-CN"/>
        </w:rPr>
      </w:pPr>
      <w:bookmarkStart w:id="241" w:name="_Toc16223"/>
      <w:bookmarkStart w:id="242" w:name="_Toc8315"/>
      <w:bookmarkStart w:id="243" w:name="_Toc23208"/>
      <w:r>
        <w:rPr>
          <w:rFonts w:hint="default" w:eastAsia="仿宋"/>
          <w:snapToGrid w:val="0"/>
          <w:color w:val="auto"/>
          <w:sz w:val="28"/>
          <w:szCs w:val="28"/>
          <w:lang w:val="en-US" w:eastAsia="zh-CN"/>
        </w:rPr>
        <w:t>5.</w:t>
      </w:r>
      <w:r>
        <w:rPr>
          <w:rFonts w:hint="eastAsia" w:eastAsia="仿宋"/>
          <w:snapToGrid w:val="0"/>
          <w:color w:val="auto"/>
          <w:sz w:val="28"/>
          <w:szCs w:val="28"/>
          <w:lang w:val="en-US" w:eastAsia="zh-CN"/>
        </w:rPr>
        <w:t>1</w:t>
      </w:r>
      <w:r>
        <w:rPr>
          <w:rFonts w:hint="default" w:eastAsia="仿宋"/>
          <w:snapToGrid w:val="0"/>
          <w:color w:val="auto"/>
          <w:sz w:val="28"/>
          <w:szCs w:val="28"/>
          <w:lang w:val="en-US" w:eastAsia="zh-CN"/>
        </w:rPr>
        <w:t>.1健全自然资源资产产权制度和用途管制制度</w:t>
      </w:r>
      <w:bookmarkEnd w:id="241"/>
      <w:bookmarkEnd w:id="242"/>
      <w:bookmarkEnd w:id="243"/>
    </w:p>
    <w:p w14:paraId="2DA81DFF">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编制自然资源资产负债表。开展</w:t>
      </w:r>
      <w:r>
        <w:rPr>
          <w:rFonts w:hint="eastAsia" w:ascii="Times New Roman" w:hAnsi="Times New Roman" w:eastAsia="方正仿宋_GBK" w:cs="方正仿宋_GBK"/>
          <w:b w:val="0"/>
          <w:bCs w:val="0"/>
          <w:color w:val="auto"/>
          <w:kern w:val="2"/>
          <w:sz w:val="28"/>
          <w:szCs w:val="28"/>
          <w:lang w:val="en-US" w:eastAsia="zh-CN" w:bidi="ar-SA"/>
        </w:rPr>
        <w:t>新平县</w:t>
      </w:r>
      <w:r>
        <w:rPr>
          <w:rFonts w:hint="default" w:ascii="Times New Roman" w:hAnsi="Times New Roman" w:eastAsia="方正仿宋_GBK" w:cs="方正仿宋_GBK"/>
          <w:b w:val="0"/>
          <w:bCs w:val="0"/>
          <w:color w:val="auto"/>
          <w:kern w:val="2"/>
          <w:sz w:val="28"/>
          <w:szCs w:val="28"/>
          <w:lang w:val="en-US" w:eastAsia="zh-CN" w:bidi="ar-SA"/>
        </w:rPr>
        <w:t>自然资源资产评估，全面加强自然资源统计调查和监测基础工作，建立</w:t>
      </w:r>
      <w:r>
        <w:rPr>
          <w:rFonts w:hint="eastAsia" w:ascii="Times New Roman" w:hAnsi="Times New Roman" w:eastAsia="方正仿宋_GBK" w:cs="方正仿宋_GBK"/>
          <w:b w:val="0"/>
          <w:bCs w:val="0"/>
          <w:color w:val="auto"/>
          <w:kern w:val="2"/>
          <w:sz w:val="28"/>
          <w:szCs w:val="28"/>
          <w:lang w:val="en-US" w:eastAsia="zh-CN" w:bidi="ar-SA"/>
        </w:rPr>
        <w:t>新平县</w:t>
      </w:r>
      <w:r>
        <w:rPr>
          <w:rFonts w:hint="default" w:ascii="Times New Roman" w:hAnsi="Times New Roman" w:eastAsia="方正仿宋_GBK" w:cs="方正仿宋_GBK"/>
          <w:b w:val="0"/>
          <w:bCs w:val="0"/>
          <w:color w:val="auto"/>
          <w:kern w:val="2"/>
          <w:sz w:val="28"/>
          <w:szCs w:val="28"/>
          <w:lang w:val="en-US" w:eastAsia="zh-CN" w:bidi="ar-SA"/>
        </w:rPr>
        <w:t>自然资源资产核算体系，编制</w:t>
      </w:r>
      <w:r>
        <w:rPr>
          <w:rFonts w:hint="eastAsia" w:ascii="Times New Roman" w:hAnsi="Times New Roman" w:eastAsia="方正仿宋_GBK" w:cs="方正仿宋_GBK"/>
          <w:b w:val="0"/>
          <w:bCs w:val="0"/>
          <w:color w:val="auto"/>
          <w:kern w:val="2"/>
          <w:sz w:val="28"/>
          <w:szCs w:val="28"/>
          <w:lang w:val="en-US" w:eastAsia="zh-CN" w:bidi="ar-SA"/>
        </w:rPr>
        <w:t>新平县</w:t>
      </w:r>
      <w:r>
        <w:rPr>
          <w:rFonts w:hint="default" w:ascii="Times New Roman" w:hAnsi="Times New Roman" w:eastAsia="方正仿宋_GBK" w:cs="方正仿宋_GBK"/>
          <w:b w:val="0"/>
          <w:bCs w:val="0"/>
          <w:color w:val="auto"/>
          <w:kern w:val="2"/>
          <w:sz w:val="28"/>
          <w:szCs w:val="28"/>
          <w:lang w:val="en-US" w:eastAsia="zh-CN" w:bidi="ar-SA"/>
        </w:rPr>
        <w:t>自然资源资产负债表，</w:t>
      </w:r>
      <w:r>
        <w:rPr>
          <w:rFonts w:hint="eastAsia" w:ascii="Times New Roman" w:hAnsi="Times New Roman" w:eastAsia="方正仿宋_GBK" w:cs="方正仿宋_GBK"/>
          <w:b w:val="0"/>
          <w:bCs w:val="0"/>
          <w:color w:val="auto"/>
          <w:kern w:val="2"/>
          <w:sz w:val="28"/>
          <w:szCs w:val="28"/>
          <w:lang w:val="en-US" w:eastAsia="zh-CN" w:bidi="ar-SA"/>
        </w:rPr>
        <w:t>建立土地资源账户、林木资源账户、水资源账户和矿产资源账户，</w:t>
      </w:r>
      <w:r>
        <w:rPr>
          <w:rFonts w:hint="default" w:ascii="Times New Roman" w:hAnsi="Times New Roman" w:eastAsia="方正仿宋_GBK" w:cs="方正仿宋_GBK"/>
          <w:b w:val="0"/>
          <w:bCs w:val="0"/>
          <w:color w:val="auto"/>
          <w:kern w:val="2"/>
          <w:sz w:val="28"/>
          <w:szCs w:val="28"/>
          <w:lang w:val="en-US" w:eastAsia="zh-CN" w:bidi="ar-SA"/>
        </w:rPr>
        <w:t>摸清自然资源资产</w:t>
      </w:r>
      <w:r>
        <w:rPr>
          <w:rFonts w:hint="eastAsia" w:ascii="Times New Roman" w:hAnsi="Times New Roman" w:eastAsia="方正仿宋_GBK" w:cs="方正仿宋_GBK"/>
          <w:b w:val="0"/>
          <w:bCs w:val="0"/>
          <w:color w:val="auto"/>
          <w:kern w:val="2"/>
          <w:sz w:val="28"/>
          <w:szCs w:val="28"/>
          <w:lang w:val="en-US" w:eastAsia="zh-CN" w:bidi="ar-SA"/>
        </w:rPr>
        <w:t>“</w:t>
      </w:r>
      <w:r>
        <w:rPr>
          <w:rFonts w:hint="default" w:ascii="Times New Roman" w:hAnsi="Times New Roman" w:eastAsia="方正仿宋_GBK" w:cs="方正仿宋_GBK"/>
          <w:b w:val="0"/>
          <w:bCs w:val="0"/>
          <w:color w:val="auto"/>
          <w:kern w:val="2"/>
          <w:sz w:val="28"/>
          <w:szCs w:val="28"/>
          <w:lang w:val="en-US" w:eastAsia="zh-CN" w:bidi="ar-SA"/>
        </w:rPr>
        <w:t>家底</w:t>
      </w:r>
      <w:r>
        <w:rPr>
          <w:rFonts w:hint="eastAsia" w:ascii="Times New Roman" w:hAnsi="Times New Roman" w:eastAsia="方正仿宋_GBK" w:cs="方正仿宋_GBK"/>
          <w:b w:val="0"/>
          <w:bCs w:val="0"/>
          <w:color w:val="auto"/>
          <w:kern w:val="2"/>
          <w:sz w:val="28"/>
          <w:szCs w:val="28"/>
          <w:lang w:val="en-US" w:eastAsia="zh-CN" w:bidi="ar-SA"/>
        </w:rPr>
        <w:t>”</w:t>
      </w:r>
      <w:r>
        <w:rPr>
          <w:rFonts w:hint="default" w:ascii="Times New Roman" w:hAnsi="Times New Roman" w:eastAsia="方正仿宋_GBK" w:cs="方正仿宋_GBK"/>
          <w:b w:val="0"/>
          <w:bCs w:val="0"/>
          <w:color w:val="auto"/>
          <w:kern w:val="2"/>
          <w:sz w:val="28"/>
          <w:szCs w:val="28"/>
          <w:lang w:val="en-US" w:eastAsia="zh-CN" w:bidi="ar-SA"/>
        </w:rPr>
        <w:t>及其变动情况，实现自然资源科学管理和有偿使用。</w:t>
      </w:r>
    </w:p>
    <w:p w14:paraId="57AB2265">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健全完善自然资源资产用途管制制度。统一行使所有国土空间用途管制职责。坚持并完善最严格的耕地保护和节约用地制度，强化土地利用总体规划和年度计划管控，明确各类国土空间开发、利用、保护边界，加强土地用途转用许可管理。推进实施能源、水资源、矿产资源等按质量分级、梯级利用，严格节能评估审查、水资源论证和取水许可制度。完善矿产资源规划制度，强化矿产开发准入管理。</w:t>
      </w:r>
    </w:p>
    <w:p w14:paraId="6128484D">
      <w:pPr>
        <w:pStyle w:val="5"/>
        <w:pageBreakBefore w:val="0"/>
        <w:kinsoku/>
        <w:wordWrap/>
        <w:overflowPunct/>
        <w:topLinePunct w:val="0"/>
        <w:autoSpaceDE/>
        <w:autoSpaceDN/>
        <w:bidi w:val="0"/>
        <w:spacing w:before="120" w:after="120" w:line="500" w:lineRule="exact"/>
        <w:ind w:firstLine="0" w:firstLineChars="0"/>
        <w:textAlignment w:val="auto"/>
        <w:rPr>
          <w:rFonts w:hint="default" w:eastAsia="仿宋"/>
          <w:snapToGrid w:val="0"/>
          <w:color w:val="auto"/>
          <w:sz w:val="28"/>
          <w:szCs w:val="28"/>
          <w:lang w:val="en-US" w:eastAsia="zh-CN"/>
        </w:rPr>
      </w:pPr>
      <w:bookmarkStart w:id="244" w:name="_Toc26944"/>
      <w:bookmarkStart w:id="245" w:name="_Toc22731"/>
      <w:bookmarkStart w:id="246" w:name="_Toc18862"/>
      <w:r>
        <w:rPr>
          <w:rFonts w:hint="default" w:eastAsia="仿宋"/>
          <w:snapToGrid w:val="0"/>
          <w:color w:val="auto"/>
          <w:sz w:val="28"/>
          <w:szCs w:val="28"/>
          <w:lang w:val="en-US" w:eastAsia="zh-CN"/>
        </w:rPr>
        <w:t>5.</w:t>
      </w:r>
      <w:r>
        <w:rPr>
          <w:rFonts w:hint="eastAsia" w:eastAsia="仿宋"/>
          <w:snapToGrid w:val="0"/>
          <w:color w:val="auto"/>
          <w:sz w:val="28"/>
          <w:szCs w:val="28"/>
          <w:lang w:val="en-US" w:eastAsia="zh-CN"/>
        </w:rPr>
        <w:t>1</w:t>
      </w:r>
      <w:r>
        <w:rPr>
          <w:rFonts w:hint="default" w:eastAsia="仿宋"/>
          <w:snapToGrid w:val="0"/>
          <w:color w:val="auto"/>
          <w:sz w:val="28"/>
          <w:szCs w:val="28"/>
          <w:lang w:val="en-US" w:eastAsia="zh-CN"/>
        </w:rPr>
        <w:t>.2健全土地节约集约使用制度</w:t>
      </w:r>
      <w:bookmarkEnd w:id="244"/>
      <w:bookmarkEnd w:id="245"/>
      <w:bookmarkEnd w:id="246"/>
    </w:p>
    <w:p w14:paraId="74D15AAA">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落实《节约集约利用土地规定》，</w:t>
      </w:r>
      <w:r>
        <w:rPr>
          <w:rFonts w:hint="eastAsia" w:ascii="Times New Roman" w:hAnsi="Times New Roman" w:eastAsia="方正仿宋_GBK" w:cs="方正仿宋_GBK"/>
          <w:b w:val="0"/>
          <w:bCs w:val="0"/>
          <w:color w:val="auto"/>
          <w:kern w:val="2"/>
          <w:sz w:val="28"/>
          <w:szCs w:val="28"/>
          <w:lang w:val="en-US" w:eastAsia="zh-CN" w:bidi="ar-SA"/>
        </w:rPr>
        <w:t>实行</w:t>
      </w:r>
      <w:r>
        <w:rPr>
          <w:rFonts w:hint="default" w:ascii="Times New Roman" w:hAnsi="Times New Roman" w:eastAsia="方正仿宋_GBK" w:cs="方正仿宋_GBK"/>
          <w:b w:val="0"/>
          <w:bCs w:val="0"/>
          <w:color w:val="auto"/>
          <w:kern w:val="2"/>
          <w:sz w:val="28"/>
          <w:szCs w:val="28"/>
          <w:lang w:val="en-US" w:eastAsia="zh-CN" w:bidi="ar-SA"/>
        </w:rPr>
        <w:t>最严格的耕地保护制度和土地节约集约利用制度。</w:t>
      </w:r>
      <w:r>
        <w:rPr>
          <w:rFonts w:hint="eastAsia" w:ascii="Times New Roman" w:hAnsi="Times New Roman" w:eastAsia="方正仿宋_GBK" w:cs="方正仿宋_GBK"/>
          <w:b w:val="0"/>
          <w:bCs w:val="0"/>
          <w:color w:val="auto"/>
          <w:kern w:val="2"/>
          <w:sz w:val="28"/>
          <w:szCs w:val="28"/>
          <w:lang w:val="en-US" w:eastAsia="zh-CN" w:bidi="ar-SA"/>
        </w:rPr>
        <w:t>近期完成新平县国土空间规划编制，以“三区三线”为引导，优化建设用地布局，从严核定新增建设用地规模，提高土地节约集约利用水平，促进土地资源的可持续利用。</w:t>
      </w:r>
      <w:r>
        <w:rPr>
          <w:rFonts w:hint="default" w:ascii="Times New Roman" w:hAnsi="Times New Roman" w:eastAsia="方正仿宋_GBK" w:cs="方正仿宋_GBK"/>
          <w:b w:val="0"/>
          <w:bCs w:val="0"/>
          <w:color w:val="auto"/>
          <w:kern w:val="2"/>
          <w:sz w:val="28"/>
          <w:szCs w:val="28"/>
          <w:lang w:val="en-US" w:eastAsia="zh-CN" w:bidi="ar-SA"/>
        </w:rPr>
        <w:t>深化国有建设用地有偿使用制度改革，提高土地利用效率，开展城乡建设用地增减挂钩试点工作。规范土地市场，强化土地规划管理、引导节约利用用地，优化配置土地资源，充分挖掘存量土地。加强耕地质量等级评定与监测，强化耕地质量保护与提升建设。进一步加强土地管理的动态化、常态化、规范化，建立符合农村特点和市场经济规律的集体建设用地使用权流转机制和管理模式。</w:t>
      </w:r>
    </w:p>
    <w:p w14:paraId="2D246C11">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加强耕地资源用途管制。强化永久基本农田对各类建设布局的约束，严格控制非农建设占用，保护利用好永久基本农田。严格执行</w:t>
      </w:r>
      <w:r>
        <w:rPr>
          <w:rFonts w:hint="eastAsia" w:ascii="Times New Roman" w:hAnsi="Times New Roman" w:eastAsia="方正仿宋_GBK" w:cs="方正仿宋_GBK"/>
          <w:b w:val="0"/>
          <w:bCs w:val="0"/>
          <w:color w:val="auto"/>
          <w:kern w:val="2"/>
          <w:sz w:val="28"/>
          <w:szCs w:val="28"/>
          <w:lang w:val="en-US" w:eastAsia="zh-CN" w:bidi="ar-SA"/>
        </w:rPr>
        <w:t>“</w:t>
      </w:r>
      <w:r>
        <w:rPr>
          <w:rFonts w:hint="default" w:ascii="Times New Roman" w:hAnsi="Times New Roman" w:eastAsia="方正仿宋_GBK" w:cs="方正仿宋_GBK"/>
          <w:b w:val="0"/>
          <w:bCs w:val="0"/>
          <w:color w:val="auto"/>
          <w:kern w:val="2"/>
          <w:sz w:val="28"/>
          <w:szCs w:val="28"/>
          <w:lang w:val="en-US" w:eastAsia="zh-CN" w:bidi="ar-SA"/>
        </w:rPr>
        <w:t>占一补一、先补后占、占优补先</w:t>
      </w:r>
      <w:r>
        <w:rPr>
          <w:rFonts w:hint="eastAsia" w:ascii="Times New Roman" w:hAnsi="Times New Roman" w:eastAsia="方正仿宋_GBK" w:cs="方正仿宋_GBK"/>
          <w:b w:val="0"/>
          <w:bCs w:val="0"/>
          <w:color w:val="auto"/>
          <w:kern w:val="2"/>
          <w:sz w:val="28"/>
          <w:szCs w:val="28"/>
          <w:lang w:val="en-US" w:eastAsia="zh-CN" w:bidi="ar-SA"/>
        </w:rPr>
        <w:t>”</w:t>
      </w:r>
      <w:r>
        <w:rPr>
          <w:rFonts w:hint="default" w:ascii="Times New Roman" w:hAnsi="Times New Roman" w:eastAsia="方正仿宋_GBK" w:cs="方正仿宋_GBK"/>
          <w:b w:val="0"/>
          <w:bCs w:val="0"/>
          <w:color w:val="auto"/>
          <w:kern w:val="2"/>
          <w:sz w:val="28"/>
          <w:szCs w:val="28"/>
          <w:lang w:val="en-US" w:eastAsia="zh-CN" w:bidi="ar-SA"/>
        </w:rPr>
        <w:t>的耕地补占平衡制度，加强对永久基本农田占用选址论证与补划工作，推进永久基本农田储备区建设。发挥国土空间总体规划的整体管控作用，从严核定新增建设用地规模，从严控制建设占用耕地特别是优质耕地。探索建立土地用途转用许可制，强化非农建设占用耕地的转用管控。</w:t>
      </w:r>
    </w:p>
    <w:p w14:paraId="12EB1160">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实施建设用地总量控制和减量化管理，建立节约集约用地激励和约束机制，强化节约集约用地目标考核和约束，推动有条件的地区实现建设用地减量化或零增长，促进新增建设不占或尽量少占耕地，合理安排土地利用计划。</w:t>
      </w:r>
    </w:p>
    <w:p w14:paraId="0B2BAD2F">
      <w:pPr>
        <w:pStyle w:val="5"/>
        <w:pageBreakBefore w:val="0"/>
        <w:kinsoku/>
        <w:wordWrap/>
        <w:overflowPunct/>
        <w:topLinePunct w:val="0"/>
        <w:autoSpaceDE/>
        <w:autoSpaceDN/>
        <w:bidi w:val="0"/>
        <w:spacing w:before="120" w:after="120" w:line="500" w:lineRule="exact"/>
        <w:ind w:firstLine="0" w:firstLineChars="0"/>
        <w:textAlignment w:val="auto"/>
        <w:rPr>
          <w:rFonts w:hint="default" w:eastAsia="仿宋"/>
          <w:snapToGrid w:val="0"/>
          <w:color w:val="auto"/>
          <w:sz w:val="28"/>
          <w:szCs w:val="28"/>
          <w:lang w:val="en-US" w:eastAsia="zh-CN"/>
        </w:rPr>
      </w:pPr>
      <w:bookmarkStart w:id="247" w:name="_Toc29844"/>
      <w:bookmarkStart w:id="248" w:name="_Toc5099"/>
      <w:bookmarkStart w:id="249" w:name="_Toc451"/>
      <w:r>
        <w:rPr>
          <w:rFonts w:hint="default" w:eastAsia="仿宋"/>
          <w:snapToGrid w:val="0"/>
          <w:color w:val="auto"/>
          <w:sz w:val="28"/>
          <w:szCs w:val="28"/>
          <w:lang w:val="en-US" w:eastAsia="zh-CN"/>
        </w:rPr>
        <w:t>5.</w:t>
      </w:r>
      <w:r>
        <w:rPr>
          <w:rFonts w:hint="eastAsia" w:eastAsia="仿宋"/>
          <w:snapToGrid w:val="0"/>
          <w:color w:val="auto"/>
          <w:sz w:val="28"/>
          <w:szCs w:val="28"/>
          <w:lang w:val="en-US" w:eastAsia="zh-CN"/>
        </w:rPr>
        <w:t>1</w:t>
      </w:r>
      <w:r>
        <w:rPr>
          <w:rFonts w:hint="default" w:eastAsia="仿宋"/>
          <w:snapToGrid w:val="0"/>
          <w:color w:val="auto"/>
          <w:sz w:val="28"/>
          <w:szCs w:val="28"/>
          <w:lang w:val="en-US" w:eastAsia="zh-CN"/>
        </w:rPr>
        <w:t>.3施行最严格水资源管理制度</w:t>
      </w:r>
      <w:bookmarkEnd w:id="247"/>
      <w:bookmarkEnd w:id="248"/>
      <w:bookmarkEnd w:id="249"/>
    </w:p>
    <w:p w14:paraId="75888774">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强化水资源消耗总量和消耗强度双控制。坚持按照节水优先、空间均衡、系统治理、两手发力的原则，严格落实水资源开发利用控制、用水效率控制、水功能区限制纳污三条红线管理。健全用水总量控制制度，完善取用水总量控制指标体系，建立健全节约集约用水机制，促进水资源使用结构调整和优化配置。完善规划和建设项目水资源论证制度。运用价格和税收手段，逐步建立农业灌溉用水量控制和定额管理、高耗水工业企业计划用水和定额管理制度。严格控制高耗水项目建设，研究探索对高耗能、高污染、产能过剩的</w:t>
      </w:r>
      <w:r>
        <w:rPr>
          <w:rFonts w:hint="eastAsia" w:ascii="Times New Roman" w:hAnsi="Times New Roman" w:eastAsia="方正仿宋_GBK" w:cs="方正仿宋_GBK"/>
          <w:b w:val="0"/>
          <w:bCs w:val="0"/>
          <w:color w:val="auto"/>
          <w:kern w:val="2"/>
          <w:sz w:val="28"/>
          <w:szCs w:val="28"/>
          <w:lang w:val="en-US" w:eastAsia="zh-CN" w:bidi="ar-SA"/>
        </w:rPr>
        <w:t>“</w:t>
      </w:r>
      <w:r>
        <w:rPr>
          <w:rFonts w:hint="default" w:ascii="Times New Roman" w:hAnsi="Times New Roman" w:eastAsia="方正仿宋_GBK" w:cs="方正仿宋_GBK"/>
          <w:b w:val="0"/>
          <w:bCs w:val="0"/>
          <w:color w:val="auto"/>
          <w:kern w:val="2"/>
          <w:sz w:val="28"/>
          <w:szCs w:val="28"/>
          <w:lang w:val="en-US" w:eastAsia="zh-CN" w:bidi="ar-SA"/>
        </w:rPr>
        <w:t>两高一剩</w:t>
      </w:r>
      <w:r>
        <w:rPr>
          <w:rFonts w:hint="eastAsia" w:ascii="Times New Roman" w:hAnsi="Times New Roman" w:eastAsia="方正仿宋_GBK" w:cs="方正仿宋_GBK"/>
          <w:b w:val="0"/>
          <w:bCs w:val="0"/>
          <w:color w:val="auto"/>
          <w:kern w:val="2"/>
          <w:sz w:val="28"/>
          <w:szCs w:val="28"/>
          <w:lang w:val="en-US" w:eastAsia="zh-CN" w:bidi="ar-SA"/>
        </w:rPr>
        <w:t>”</w:t>
      </w:r>
      <w:r>
        <w:rPr>
          <w:rFonts w:hint="default" w:ascii="Times New Roman" w:hAnsi="Times New Roman" w:eastAsia="方正仿宋_GBK" w:cs="方正仿宋_GBK"/>
          <w:b w:val="0"/>
          <w:bCs w:val="0"/>
          <w:color w:val="auto"/>
          <w:kern w:val="2"/>
          <w:sz w:val="28"/>
          <w:szCs w:val="28"/>
          <w:lang w:val="en-US" w:eastAsia="zh-CN" w:bidi="ar-SA"/>
        </w:rPr>
        <w:t>行业实行差别水价政策。健全用水总量和强度目标责任制和责任追究制。强化水资源承载能力对经济社会发展的刚性约束。</w:t>
      </w:r>
    </w:p>
    <w:p w14:paraId="6AA0A300">
      <w:pPr>
        <w:pStyle w:val="5"/>
        <w:pageBreakBefore w:val="0"/>
        <w:kinsoku/>
        <w:wordWrap/>
        <w:overflowPunct/>
        <w:topLinePunct w:val="0"/>
        <w:autoSpaceDE/>
        <w:autoSpaceDN/>
        <w:bidi w:val="0"/>
        <w:spacing w:before="120" w:after="120" w:line="500" w:lineRule="exact"/>
        <w:ind w:firstLine="0" w:firstLineChars="0"/>
        <w:textAlignment w:val="auto"/>
        <w:rPr>
          <w:rFonts w:hint="default" w:eastAsia="仿宋"/>
          <w:snapToGrid w:val="0"/>
          <w:color w:val="auto"/>
          <w:sz w:val="28"/>
          <w:szCs w:val="28"/>
          <w:lang w:val="en-US" w:eastAsia="zh-CN"/>
        </w:rPr>
      </w:pPr>
      <w:bookmarkStart w:id="250" w:name="_Toc13745"/>
      <w:bookmarkStart w:id="251" w:name="_Toc2581"/>
      <w:bookmarkStart w:id="252" w:name="_Toc18018"/>
      <w:r>
        <w:rPr>
          <w:rFonts w:hint="default" w:eastAsia="仿宋"/>
          <w:snapToGrid w:val="0"/>
          <w:color w:val="auto"/>
          <w:sz w:val="28"/>
          <w:szCs w:val="28"/>
          <w:lang w:val="en-US" w:eastAsia="zh-CN"/>
        </w:rPr>
        <w:t>5.</w:t>
      </w:r>
      <w:r>
        <w:rPr>
          <w:rFonts w:hint="eastAsia" w:eastAsia="仿宋"/>
          <w:snapToGrid w:val="0"/>
          <w:color w:val="auto"/>
          <w:sz w:val="28"/>
          <w:szCs w:val="28"/>
          <w:lang w:val="en-US" w:eastAsia="zh-CN"/>
        </w:rPr>
        <w:t>1</w:t>
      </w:r>
      <w:r>
        <w:rPr>
          <w:rFonts w:hint="default" w:eastAsia="仿宋"/>
          <w:snapToGrid w:val="0"/>
          <w:color w:val="auto"/>
          <w:sz w:val="28"/>
          <w:szCs w:val="28"/>
          <w:lang w:val="en-US" w:eastAsia="zh-CN"/>
        </w:rPr>
        <w:t>.4强化落实能源消费</w:t>
      </w:r>
      <w:r>
        <w:rPr>
          <w:rFonts w:hint="eastAsia" w:eastAsia="仿宋"/>
          <w:snapToGrid w:val="0"/>
          <w:color w:val="auto"/>
          <w:sz w:val="28"/>
          <w:szCs w:val="28"/>
          <w:lang w:val="en-US" w:eastAsia="zh-CN"/>
        </w:rPr>
        <w:t>总量管理和节约</w:t>
      </w:r>
      <w:r>
        <w:rPr>
          <w:rFonts w:hint="default" w:eastAsia="仿宋"/>
          <w:snapToGrid w:val="0"/>
          <w:color w:val="auto"/>
          <w:sz w:val="28"/>
          <w:szCs w:val="28"/>
          <w:lang w:val="en-US" w:eastAsia="zh-CN"/>
        </w:rPr>
        <w:t>制度</w:t>
      </w:r>
      <w:bookmarkEnd w:id="250"/>
      <w:bookmarkEnd w:id="251"/>
      <w:bookmarkEnd w:id="252"/>
    </w:p>
    <w:p w14:paraId="2BEF4CFC">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坚持节约优先，强化能耗“双控”管理，完善能源“双控”激励约束机制，守住能耗“双控”底线。严格控制高耗能、高污染项目的备案和审批。优化产业结构和能源结构，大力发展循环经济，立足新平县经济发展的产业结构，做大做强液态金属产业、推进煤炭产业转型升级和化工产业转型发展，持续推进水能、风能等新能源的规划建设，严控新增煤炭消费项目，压减高耗煤产业用煤需求，降低煤炭消费比重。推进建筑节能，推广绿色节能建筑。加强交通节能，优化交通基础设施布局，鼓励发展清洁能源车辆。继续落实居民用电、用水、用气阶梯电价制度，继续推行供热计量价格改革。制定完善节能支持政策，推进重点领域和重点用能企业节能降耗。加快节能技术研发和推广应用，加大节能减排市场化机制推广力度，改革创新能源市场体系。完善能源统计制度，加强能源监察执法。</w:t>
      </w:r>
    </w:p>
    <w:p w14:paraId="3CD2EF84">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探索建立能源消费总量和碳排放总量</w:t>
      </w:r>
      <w:r>
        <w:rPr>
          <w:rFonts w:hint="eastAsia" w:ascii="Times New Roman" w:hAnsi="Times New Roman" w:eastAsia="方正仿宋_GBK" w:cs="方正仿宋_GBK"/>
          <w:b w:val="0"/>
          <w:bCs w:val="0"/>
          <w:color w:val="auto"/>
          <w:kern w:val="2"/>
          <w:sz w:val="28"/>
          <w:szCs w:val="28"/>
          <w:lang w:val="en-US" w:eastAsia="zh-CN" w:bidi="ar-SA"/>
        </w:rPr>
        <w:t>“</w:t>
      </w:r>
      <w:r>
        <w:rPr>
          <w:rFonts w:hint="default" w:ascii="Times New Roman" w:hAnsi="Times New Roman" w:eastAsia="方正仿宋_GBK" w:cs="方正仿宋_GBK"/>
          <w:b w:val="0"/>
          <w:bCs w:val="0"/>
          <w:color w:val="auto"/>
          <w:kern w:val="2"/>
          <w:sz w:val="28"/>
          <w:szCs w:val="28"/>
          <w:lang w:val="en-US" w:eastAsia="zh-CN" w:bidi="ar-SA"/>
        </w:rPr>
        <w:t>双控</w:t>
      </w:r>
      <w:r>
        <w:rPr>
          <w:rFonts w:hint="eastAsia" w:ascii="Times New Roman" w:hAnsi="Times New Roman" w:eastAsia="方正仿宋_GBK" w:cs="方正仿宋_GBK"/>
          <w:b w:val="0"/>
          <w:bCs w:val="0"/>
          <w:color w:val="auto"/>
          <w:kern w:val="2"/>
          <w:sz w:val="28"/>
          <w:szCs w:val="28"/>
          <w:lang w:val="en-US" w:eastAsia="zh-CN" w:bidi="ar-SA"/>
        </w:rPr>
        <w:t>”</w:t>
      </w:r>
      <w:r>
        <w:rPr>
          <w:rFonts w:hint="default" w:ascii="Times New Roman" w:hAnsi="Times New Roman" w:eastAsia="方正仿宋_GBK" w:cs="方正仿宋_GBK"/>
          <w:b w:val="0"/>
          <w:bCs w:val="0"/>
          <w:color w:val="auto"/>
          <w:kern w:val="2"/>
          <w:sz w:val="28"/>
          <w:szCs w:val="28"/>
          <w:lang w:val="en-US" w:eastAsia="zh-CN" w:bidi="ar-SA"/>
        </w:rPr>
        <w:t>机制。结合重点企（事）业单位温室气体排放报告与核查等工作，严格落实节能评估和审查制度。加强</w:t>
      </w:r>
      <w:r>
        <w:rPr>
          <w:rFonts w:hint="eastAsia" w:ascii="Times New Roman" w:hAnsi="Times New Roman" w:eastAsia="方正仿宋_GBK" w:cs="方正仿宋_GBK"/>
          <w:b w:val="0"/>
          <w:bCs w:val="0"/>
          <w:color w:val="auto"/>
          <w:kern w:val="2"/>
          <w:sz w:val="28"/>
          <w:szCs w:val="28"/>
          <w:lang w:val="en-US" w:eastAsia="zh-CN" w:bidi="ar-SA"/>
        </w:rPr>
        <w:t>新平县及经开区重点</w:t>
      </w:r>
      <w:r>
        <w:rPr>
          <w:rFonts w:hint="default" w:ascii="Times New Roman" w:hAnsi="Times New Roman" w:eastAsia="方正仿宋_GBK" w:cs="方正仿宋_GBK"/>
          <w:b w:val="0"/>
          <w:bCs w:val="0"/>
          <w:color w:val="auto"/>
          <w:kern w:val="2"/>
          <w:sz w:val="28"/>
          <w:szCs w:val="28"/>
          <w:lang w:val="en-US" w:eastAsia="zh-CN" w:bidi="ar-SA"/>
        </w:rPr>
        <w:t>行业和企业的节能管理，鼓励企业建立能源管理体系，开展重点行业企业能效对标。完善重点用能单位节能管理制度，强化节能基础管理，健全节能目标制责任制和奖励制。</w:t>
      </w:r>
    </w:p>
    <w:p w14:paraId="52BE588D">
      <w:pPr>
        <w:pStyle w:val="5"/>
        <w:pageBreakBefore w:val="0"/>
        <w:kinsoku/>
        <w:wordWrap/>
        <w:overflowPunct/>
        <w:topLinePunct w:val="0"/>
        <w:autoSpaceDE/>
        <w:autoSpaceDN/>
        <w:bidi w:val="0"/>
        <w:spacing w:before="120" w:after="120" w:line="500" w:lineRule="exact"/>
        <w:ind w:firstLine="0" w:firstLineChars="0"/>
        <w:textAlignment w:val="auto"/>
        <w:rPr>
          <w:rFonts w:hint="default" w:eastAsia="仿宋"/>
          <w:snapToGrid w:val="0"/>
          <w:color w:val="auto"/>
          <w:sz w:val="28"/>
          <w:szCs w:val="28"/>
          <w:lang w:val="en-US" w:eastAsia="zh-CN"/>
        </w:rPr>
      </w:pPr>
      <w:bookmarkStart w:id="253" w:name="_Toc18309"/>
      <w:bookmarkStart w:id="254" w:name="_Toc32411"/>
      <w:bookmarkStart w:id="255" w:name="_Toc29004"/>
      <w:r>
        <w:rPr>
          <w:rFonts w:hint="default" w:eastAsia="仿宋"/>
          <w:snapToGrid w:val="0"/>
          <w:color w:val="auto"/>
          <w:sz w:val="28"/>
          <w:szCs w:val="28"/>
          <w:lang w:val="en-US" w:eastAsia="zh-CN"/>
        </w:rPr>
        <w:t>5.</w:t>
      </w:r>
      <w:r>
        <w:rPr>
          <w:rFonts w:hint="eastAsia" w:eastAsia="仿宋"/>
          <w:snapToGrid w:val="0"/>
          <w:color w:val="auto"/>
          <w:sz w:val="28"/>
          <w:szCs w:val="28"/>
          <w:lang w:val="en-US" w:eastAsia="zh-CN"/>
        </w:rPr>
        <w:t>1</w:t>
      </w:r>
      <w:r>
        <w:rPr>
          <w:rFonts w:hint="default" w:eastAsia="仿宋"/>
          <w:snapToGrid w:val="0"/>
          <w:color w:val="auto"/>
          <w:sz w:val="28"/>
          <w:szCs w:val="28"/>
          <w:lang w:val="en-US" w:eastAsia="zh-CN"/>
        </w:rPr>
        <w:t>.5完善资源循环利用制度</w:t>
      </w:r>
      <w:bookmarkEnd w:id="253"/>
      <w:bookmarkEnd w:id="254"/>
      <w:bookmarkEnd w:id="255"/>
    </w:p>
    <w:p w14:paraId="2A811A8C">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树立节约集约循环利用的资源观，不断降低生产、生活过程的资源能源消耗强度。引进绿色清洁生产技术和资源循环利用技术，通过产品设计改进、设备工艺改革、物料循环再利用等，从源头上节约资源能源、减少环境污染。推动传统产业废旧产品的再制造和再利用，从末端提高资源能源再利用率，减轻环境污染。完善再生资源回收体系，持续推进生活垃圾分类回收，建立健全生活垃圾分类收运处置体系，加快建立有利于垃圾分类和减量化、资源化、无害化处理的激励约束机制。探索家电新型消费模式，加快建立家电回收利用循环利用体系。执行再生资源回收目录及标准要求，对复合包装物、电池、农膜等低值废弃物实行强制回收。实行生产者责任延伸制度，推动生产者落实废弃产品有效回收处理等责任。</w:t>
      </w:r>
    </w:p>
    <w:p w14:paraId="25FE9FAA">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大力发展资源循环利用新业态，推进产业循环式组合，促进生产系统和生活系统金融支持，落实好促进节能减排相关税收优惠政策。</w:t>
      </w:r>
    </w:p>
    <w:p w14:paraId="5539EFE7">
      <w:pPr>
        <w:pStyle w:val="4"/>
        <w:pageBreakBefore w:val="0"/>
        <w:kinsoku/>
        <w:wordWrap/>
        <w:overflowPunct/>
        <w:topLinePunct w:val="0"/>
        <w:autoSpaceDE/>
        <w:autoSpaceDN/>
        <w:bidi w:val="0"/>
        <w:spacing w:before="260" w:after="260" w:line="500" w:lineRule="exact"/>
        <w:ind w:firstLine="0"/>
        <w:textAlignment w:val="auto"/>
        <w:rPr>
          <w:rFonts w:hint="default" w:ascii="Times New Roman" w:hAnsi="Times New Roman" w:eastAsia="仿宋" w:cs="Times New Roman"/>
          <w:color w:val="auto"/>
          <w:sz w:val="32"/>
          <w:lang w:val="en-US" w:eastAsia="zh-CN"/>
        </w:rPr>
      </w:pPr>
      <w:bookmarkStart w:id="256" w:name="_Toc10917"/>
      <w:r>
        <w:rPr>
          <w:rFonts w:hint="default" w:ascii="Times New Roman" w:hAnsi="Times New Roman" w:eastAsia="仿宋" w:cs="Times New Roman"/>
          <w:color w:val="auto"/>
          <w:sz w:val="32"/>
          <w:lang w:val="en-US" w:eastAsia="zh-CN"/>
        </w:rPr>
        <w:t>5.</w:t>
      </w:r>
      <w:r>
        <w:rPr>
          <w:rFonts w:hint="eastAsia" w:ascii="Times New Roman" w:hAnsi="Times New Roman" w:eastAsia="仿宋" w:cs="Times New Roman"/>
          <w:color w:val="auto"/>
          <w:sz w:val="32"/>
          <w:lang w:val="en-US" w:eastAsia="zh-CN"/>
        </w:rPr>
        <w:t>2建立健全</w:t>
      </w:r>
      <w:r>
        <w:rPr>
          <w:rFonts w:hint="default" w:ascii="Times New Roman" w:hAnsi="Times New Roman" w:eastAsia="仿宋" w:cs="Times New Roman"/>
          <w:color w:val="auto"/>
          <w:sz w:val="32"/>
          <w:lang w:val="en-US" w:eastAsia="zh-CN"/>
        </w:rPr>
        <w:t>国土空间开发保护制度</w:t>
      </w:r>
      <w:r>
        <w:rPr>
          <w:rFonts w:hint="eastAsia" w:ascii="Times New Roman" w:hAnsi="Times New Roman" w:eastAsia="仿宋" w:cs="Times New Roman"/>
          <w:color w:val="auto"/>
          <w:sz w:val="32"/>
          <w:lang w:val="en-US" w:eastAsia="zh-CN"/>
        </w:rPr>
        <w:t>和空间规划体系</w:t>
      </w:r>
      <w:bookmarkEnd w:id="256"/>
    </w:p>
    <w:p w14:paraId="08CC5C6A">
      <w:pPr>
        <w:pStyle w:val="5"/>
        <w:pageBreakBefore w:val="0"/>
        <w:kinsoku/>
        <w:wordWrap/>
        <w:overflowPunct/>
        <w:topLinePunct w:val="0"/>
        <w:autoSpaceDE/>
        <w:autoSpaceDN/>
        <w:bidi w:val="0"/>
        <w:spacing w:before="120" w:after="120" w:line="500" w:lineRule="exact"/>
        <w:ind w:firstLine="0" w:firstLineChars="0"/>
        <w:textAlignment w:val="auto"/>
        <w:rPr>
          <w:rFonts w:hint="eastAsia" w:eastAsia="仿宋"/>
          <w:snapToGrid w:val="0"/>
          <w:color w:val="auto"/>
          <w:sz w:val="28"/>
          <w:lang w:val="en-US" w:eastAsia="zh-CN"/>
        </w:rPr>
      </w:pPr>
      <w:bookmarkStart w:id="257" w:name="_Toc12058"/>
      <w:r>
        <w:rPr>
          <w:rFonts w:hint="eastAsia" w:eastAsia="仿宋"/>
          <w:snapToGrid w:val="0"/>
          <w:color w:val="auto"/>
          <w:sz w:val="28"/>
          <w:lang w:val="en-US" w:eastAsia="zh-CN"/>
        </w:rPr>
        <w:t>5.2.1建立统一的确权登记系统</w:t>
      </w:r>
      <w:bookmarkEnd w:id="257"/>
    </w:p>
    <w:p w14:paraId="6BFEE5CB">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推进自然资源资产统一确权登记。按照《自然资源统一确权登记暂行办法》推进自然资源统一确权登记。健全自然资源确权登记制度规范，加快推进河流、湖泊、森林、山岭、荒地等自然生态空间统一确权登记，清晰界定自然资源资产产权主体，划清所有权和使用权边界，合理配置自然资源的有效使用。丰富自然资源资产使用权类型，合理界定出让、转让、出租、抵押、入股等权责归属，依托自然资源统一确权登记明确生态产品权责归属。确权登记以不动产登记为基础，依据《不动产登记暂行条例》的规定办理登记的不动产权利，登记信息纳入不动产登记信息管理基础平台，实现自然资源确权登记信息与不动产登记信息有效衔接和融合。到2026年，全面构建归属清晰、权责明确、保护严格、流转顺畅、监管有效的自然资源资产产权制度。</w:t>
      </w:r>
    </w:p>
    <w:p w14:paraId="1BB7FD86">
      <w:pPr>
        <w:pStyle w:val="5"/>
        <w:pageBreakBefore w:val="0"/>
        <w:kinsoku/>
        <w:wordWrap/>
        <w:overflowPunct/>
        <w:topLinePunct w:val="0"/>
        <w:autoSpaceDE/>
        <w:autoSpaceDN/>
        <w:bidi w:val="0"/>
        <w:spacing w:before="120" w:after="120" w:line="500" w:lineRule="exact"/>
        <w:ind w:firstLine="0" w:firstLineChars="0"/>
        <w:textAlignment w:val="auto"/>
        <w:rPr>
          <w:rFonts w:eastAsia="仿宋"/>
          <w:snapToGrid w:val="0"/>
          <w:color w:val="auto"/>
          <w:sz w:val="28"/>
        </w:rPr>
      </w:pPr>
      <w:bookmarkStart w:id="258" w:name="_Toc13296"/>
      <w:r>
        <w:rPr>
          <w:rFonts w:eastAsia="仿宋"/>
          <w:snapToGrid w:val="0"/>
          <w:color w:val="auto"/>
          <w:sz w:val="28"/>
          <w:lang w:val="en-US" w:eastAsia="zh-CN"/>
        </w:rPr>
        <w:t>5.</w:t>
      </w:r>
      <w:r>
        <w:rPr>
          <w:rFonts w:hint="eastAsia" w:eastAsia="仿宋"/>
          <w:snapToGrid w:val="0"/>
          <w:color w:val="auto"/>
          <w:sz w:val="28"/>
          <w:lang w:val="en-US" w:eastAsia="zh-CN"/>
        </w:rPr>
        <w:t>2</w:t>
      </w:r>
      <w:r>
        <w:rPr>
          <w:rFonts w:eastAsia="仿宋"/>
          <w:snapToGrid w:val="0"/>
          <w:color w:val="auto"/>
          <w:sz w:val="28"/>
          <w:lang w:val="en-US" w:eastAsia="zh-CN"/>
        </w:rPr>
        <w:t>.</w:t>
      </w:r>
      <w:r>
        <w:rPr>
          <w:rFonts w:hint="eastAsia" w:eastAsia="仿宋"/>
          <w:snapToGrid w:val="0"/>
          <w:color w:val="auto"/>
          <w:sz w:val="28"/>
          <w:lang w:val="en-US" w:eastAsia="zh-CN"/>
        </w:rPr>
        <w:t>2健全国土空间用途管制制度</w:t>
      </w:r>
      <w:bookmarkEnd w:id="258"/>
    </w:p>
    <w:p w14:paraId="5B8215D9">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简化自上而下的用地指标控制体系，调整按行政区和用地基数分配指标的做法。将开发强度指标分解到各县级行政区，作为约束性指标，控制建设用地总量。将用途管制扩大到所有自然生态空间，划定并严守生态红线，严禁任意改变用途，防止不合理开发建设活动对生态红线的破坏。完善覆盖全部国土空间的监测系统，动态监测国土空间变化。</w:t>
      </w:r>
    </w:p>
    <w:p w14:paraId="42D4B4A7">
      <w:pPr>
        <w:pStyle w:val="5"/>
        <w:pageBreakBefore w:val="0"/>
        <w:kinsoku/>
        <w:wordWrap/>
        <w:overflowPunct/>
        <w:topLinePunct w:val="0"/>
        <w:autoSpaceDE/>
        <w:autoSpaceDN/>
        <w:bidi w:val="0"/>
        <w:spacing w:line="500" w:lineRule="exact"/>
        <w:ind w:left="0" w:leftChars="0" w:firstLine="0" w:firstLineChars="0"/>
        <w:textAlignment w:val="auto"/>
        <w:rPr>
          <w:rFonts w:eastAsia="仿宋"/>
          <w:snapToGrid w:val="0"/>
          <w:color w:val="auto"/>
          <w:sz w:val="28"/>
        </w:rPr>
      </w:pPr>
      <w:bookmarkStart w:id="259" w:name="_Toc23485"/>
      <w:r>
        <w:rPr>
          <w:rFonts w:eastAsia="仿宋"/>
          <w:snapToGrid w:val="0"/>
          <w:color w:val="auto"/>
          <w:sz w:val="28"/>
          <w:lang w:val="en-US" w:eastAsia="zh-CN"/>
        </w:rPr>
        <w:t>5.</w:t>
      </w:r>
      <w:r>
        <w:rPr>
          <w:rFonts w:hint="eastAsia" w:eastAsia="仿宋"/>
          <w:snapToGrid w:val="0"/>
          <w:color w:val="auto"/>
          <w:sz w:val="28"/>
          <w:lang w:val="en-US" w:eastAsia="zh-CN"/>
        </w:rPr>
        <w:t>2</w:t>
      </w:r>
      <w:r>
        <w:rPr>
          <w:rFonts w:eastAsia="仿宋"/>
          <w:snapToGrid w:val="0"/>
          <w:color w:val="auto"/>
          <w:sz w:val="28"/>
          <w:lang w:val="en-US" w:eastAsia="zh-CN"/>
        </w:rPr>
        <w:t>.</w:t>
      </w:r>
      <w:r>
        <w:rPr>
          <w:rFonts w:hint="eastAsia" w:eastAsia="仿宋"/>
          <w:snapToGrid w:val="0"/>
          <w:color w:val="auto"/>
          <w:sz w:val="28"/>
          <w:lang w:val="en-US" w:eastAsia="zh-CN"/>
        </w:rPr>
        <w:t>3</w:t>
      </w:r>
      <w:r>
        <w:rPr>
          <w:rFonts w:eastAsia="仿宋"/>
          <w:snapToGrid w:val="0"/>
          <w:color w:val="auto"/>
          <w:sz w:val="28"/>
          <w:lang w:val="en-US" w:eastAsia="zh-CN"/>
        </w:rPr>
        <w:t>健全</w:t>
      </w:r>
      <w:r>
        <w:rPr>
          <w:rFonts w:hint="eastAsia" w:eastAsia="仿宋"/>
          <w:snapToGrid w:val="0"/>
          <w:color w:val="auto"/>
          <w:sz w:val="28"/>
          <w:lang w:val="en-US" w:eastAsia="zh-CN"/>
        </w:rPr>
        <w:t>自然保护地保护</w:t>
      </w:r>
      <w:r>
        <w:rPr>
          <w:rFonts w:eastAsia="仿宋"/>
          <w:snapToGrid w:val="0"/>
          <w:color w:val="auto"/>
          <w:sz w:val="28"/>
          <w:lang w:val="en-US" w:eastAsia="zh-CN"/>
        </w:rPr>
        <w:t>机制</w:t>
      </w:r>
      <w:bookmarkEnd w:id="259"/>
    </w:p>
    <w:p w14:paraId="55A6CE6D">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加强对重要生态系统的保护和永续利用，着力构建与新使命相适应的自然保护地管理体系，科学设置各类自然保护地，确保重要自然生态系统、自然景观和生物多样性得到系统性保护，提升生态产品供给能力，筑牢红河水系元江流域生态安全屏障。全面加强自然保护地保护管理和监督考核，强化自然保护地监测、评估、考核、监督，逐步形成一整套体系完备、监管有力的监督管理制度。</w:t>
      </w:r>
    </w:p>
    <w:p w14:paraId="0FBF0940">
      <w:pPr>
        <w:pStyle w:val="5"/>
        <w:pageBreakBefore w:val="0"/>
        <w:kinsoku/>
        <w:wordWrap/>
        <w:overflowPunct/>
        <w:topLinePunct w:val="0"/>
        <w:autoSpaceDE/>
        <w:autoSpaceDN/>
        <w:bidi w:val="0"/>
        <w:spacing w:line="500" w:lineRule="exact"/>
        <w:ind w:left="0" w:leftChars="0" w:firstLine="0" w:firstLineChars="0"/>
        <w:textAlignment w:val="auto"/>
        <w:rPr>
          <w:rFonts w:eastAsia="仿宋"/>
          <w:snapToGrid w:val="0"/>
          <w:color w:val="auto"/>
          <w:sz w:val="28"/>
          <w:lang w:val="en-US" w:eastAsia="zh-CN"/>
        </w:rPr>
      </w:pPr>
      <w:bookmarkStart w:id="260" w:name="_Toc15008"/>
      <w:r>
        <w:rPr>
          <w:rFonts w:eastAsia="仿宋"/>
          <w:snapToGrid w:val="0"/>
          <w:color w:val="auto"/>
          <w:sz w:val="28"/>
          <w:lang w:val="en-US" w:eastAsia="zh-CN"/>
        </w:rPr>
        <w:t>5.</w:t>
      </w:r>
      <w:r>
        <w:rPr>
          <w:rFonts w:hint="eastAsia" w:eastAsia="仿宋"/>
          <w:snapToGrid w:val="0"/>
          <w:color w:val="auto"/>
          <w:sz w:val="28"/>
          <w:lang w:val="en-US" w:eastAsia="zh-CN"/>
        </w:rPr>
        <w:t>2</w:t>
      </w:r>
      <w:r>
        <w:rPr>
          <w:rFonts w:eastAsia="仿宋"/>
          <w:snapToGrid w:val="0"/>
          <w:color w:val="auto"/>
          <w:sz w:val="28"/>
          <w:lang w:val="en-US" w:eastAsia="zh-CN"/>
        </w:rPr>
        <w:t>.</w:t>
      </w:r>
      <w:r>
        <w:rPr>
          <w:rFonts w:hint="eastAsia" w:eastAsia="仿宋"/>
          <w:snapToGrid w:val="0"/>
          <w:color w:val="auto"/>
          <w:sz w:val="28"/>
          <w:lang w:val="en-US" w:eastAsia="zh-CN"/>
        </w:rPr>
        <w:t>4建立空间规划体系</w:t>
      </w:r>
      <w:bookmarkEnd w:id="260"/>
    </w:p>
    <w:p w14:paraId="2F166CB6">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编制空间规划</w:t>
      </w:r>
      <w:r>
        <w:rPr>
          <w:rFonts w:hint="eastAsia" w:ascii="Times New Roman" w:hAnsi="Times New Roman" w:eastAsia="方正仿宋_GBK" w:cs="方正仿宋_GBK"/>
          <w:b w:val="0"/>
          <w:bCs w:val="0"/>
          <w:color w:val="auto"/>
          <w:kern w:val="2"/>
          <w:sz w:val="28"/>
          <w:szCs w:val="28"/>
          <w:lang w:val="en-US" w:eastAsia="zh-CN" w:bidi="ar-SA"/>
        </w:rPr>
        <w:t>，</w:t>
      </w:r>
      <w:r>
        <w:rPr>
          <w:rFonts w:hint="default" w:ascii="Times New Roman" w:hAnsi="Times New Roman" w:eastAsia="方正仿宋_GBK" w:cs="方正仿宋_GBK"/>
          <w:b w:val="0"/>
          <w:bCs w:val="0"/>
          <w:color w:val="auto"/>
          <w:kern w:val="2"/>
          <w:sz w:val="28"/>
          <w:szCs w:val="28"/>
          <w:lang w:val="en-US" w:eastAsia="zh-CN" w:bidi="ar-SA"/>
        </w:rPr>
        <w:t>推进市县“多规合一”。整合目前各部门分头编制的各类空间性规划，编制统一的空间规划，实现规划全覆盖。空间规划是国家空间发展的指南、可持续发展的空间蓝图，是各类开发建设活动的基本依据研究建立统一规范的空间规划编制机制。支持市县推进“多规合一”，统一编制市县空间规划，逐步形成一个市县一个规划、一张蓝图。市县空间规划要统一土地分类标准，根据主体功能定位和省级空间规划要求，划定生产空间、生活空间、生态空间，明确城镇建设区、工业区、农村居民点等的开发边界，以及耕地、林地、草原、河流、湖泊、湿地等的保护边界，加强对城市地下空间的统筹规划。</w:t>
      </w:r>
    </w:p>
    <w:p w14:paraId="20DF0D47">
      <w:pPr>
        <w:pStyle w:val="4"/>
        <w:pageBreakBefore w:val="0"/>
        <w:kinsoku/>
        <w:wordWrap/>
        <w:overflowPunct/>
        <w:topLinePunct w:val="0"/>
        <w:autoSpaceDE/>
        <w:autoSpaceDN/>
        <w:bidi w:val="0"/>
        <w:spacing w:before="260" w:after="260" w:line="500" w:lineRule="exact"/>
        <w:ind w:firstLine="0"/>
        <w:textAlignment w:val="auto"/>
        <w:rPr>
          <w:rFonts w:hint="default" w:ascii="Times New Roman" w:hAnsi="Times New Roman" w:eastAsia="仿宋" w:cs="Times New Roman"/>
          <w:color w:val="auto"/>
          <w:sz w:val="32"/>
          <w:lang w:val="en-US" w:eastAsia="zh-CN"/>
        </w:rPr>
      </w:pPr>
      <w:bookmarkStart w:id="261" w:name="_Toc28551"/>
      <w:r>
        <w:rPr>
          <w:rFonts w:hint="eastAsia" w:ascii="Times New Roman" w:hAnsi="Times New Roman" w:eastAsia="仿宋" w:cs="Times New Roman"/>
          <w:color w:val="auto"/>
          <w:sz w:val="32"/>
          <w:lang w:val="en-US" w:eastAsia="zh-CN"/>
        </w:rPr>
        <w:t>5.3</w:t>
      </w:r>
      <w:r>
        <w:rPr>
          <w:rFonts w:hint="default" w:ascii="Times New Roman" w:hAnsi="Times New Roman" w:eastAsia="仿宋" w:cs="Times New Roman"/>
          <w:color w:val="auto"/>
          <w:sz w:val="32"/>
          <w:lang w:val="en-US" w:eastAsia="zh-CN"/>
        </w:rPr>
        <w:t>健全资源有偿使用和生态补偿制度</w:t>
      </w:r>
      <w:bookmarkEnd w:id="261"/>
    </w:p>
    <w:p w14:paraId="38B26B26">
      <w:pPr>
        <w:pStyle w:val="5"/>
        <w:pageBreakBefore w:val="0"/>
        <w:kinsoku/>
        <w:wordWrap/>
        <w:overflowPunct/>
        <w:topLinePunct w:val="0"/>
        <w:autoSpaceDE/>
        <w:autoSpaceDN/>
        <w:bidi w:val="0"/>
        <w:spacing w:before="120" w:after="120" w:line="500" w:lineRule="exact"/>
        <w:ind w:firstLine="0" w:firstLineChars="0"/>
        <w:textAlignment w:val="auto"/>
        <w:rPr>
          <w:rFonts w:eastAsia="仿宋"/>
          <w:snapToGrid w:val="0"/>
          <w:color w:val="auto"/>
          <w:sz w:val="28"/>
        </w:rPr>
      </w:pPr>
      <w:bookmarkStart w:id="262" w:name="_Toc7888"/>
      <w:r>
        <w:rPr>
          <w:rFonts w:eastAsia="仿宋"/>
          <w:snapToGrid w:val="0"/>
          <w:color w:val="auto"/>
          <w:sz w:val="28"/>
        </w:rPr>
        <w:t>5.</w:t>
      </w:r>
      <w:r>
        <w:rPr>
          <w:rFonts w:hint="eastAsia" w:eastAsia="仿宋"/>
          <w:snapToGrid w:val="0"/>
          <w:color w:val="auto"/>
          <w:sz w:val="28"/>
          <w:lang w:val="en-US" w:eastAsia="zh-CN"/>
        </w:rPr>
        <w:t>3</w:t>
      </w:r>
      <w:r>
        <w:rPr>
          <w:rFonts w:eastAsia="仿宋"/>
          <w:snapToGrid w:val="0"/>
          <w:color w:val="auto"/>
          <w:sz w:val="28"/>
        </w:rPr>
        <w:t>.1</w:t>
      </w:r>
      <w:r>
        <w:rPr>
          <w:rFonts w:hint="eastAsia" w:ascii="Times New Roman" w:hAnsi="Times New Roman" w:eastAsia="仿宋" w:cs="Times New Roman"/>
          <w:color w:val="auto"/>
          <w:sz w:val="32"/>
          <w:lang w:val="en-US" w:eastAsia="zh-CN"/>
        </w:rPr>
        <w:t>加快自然资源及其产品价格改革</w:t>
      </w:r>
      <w:bookmarkEnd w:id="262"/>
    </w:p>
    <w:p w14:paraId="0DBD0643">
      <w:pPr>
        <w:pStyle w:val="9"/>
        <w:pageBreakBefore w:val="0"/>
        <w:kinsoku/>
        <w:wordWrap/>
        <w:overflowPunct/>
        <w:topLinePunct w:val="0"/>
        <w:autoSpaceDE/>
        <w:autoSpaceDN/>
        <w:bidi w:val="0"/>
        <w:spacing w:line="500" w:lineRule="exact"/>
        <w:ind w:firstLine="560" w:firstLineChars="200"/>
        <w:textAlignment w:val="auto"/>
        <w:rPr>
          <w:rFonts w:hint="eastAsia" w:ascii="Times New Roman" w:hAnsi="Times New Roman" w:eastAsia="方正仿宋_GBK" w:cs="Times New Roman"/>
          <w:color w:val="auto"/>
          <w:kern w:val="2"/>
          <w:sz w:val="32"/>
          <w:szCs w:val="32"/>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按照成本、收益相统一的原则，充分考虑社会可承受能力，建立自然资源开发使用成本评估机制，将资源所有者权益和生态环境损害等纳入自然资源及其产品价格形成机制。加强对自然垄断环节的价格监管，建立定价成本监审制度和价格调整机制，完善价格决策程序和信息公开制度。推进农业水价综合改革，全面实行非居民用水超计划、超定额累进加价制度，全面推行城镇居民用水阶梯价格制度。</w:t>
      </w:r>
    </w:p>
    <w:p w14:paraId="09D5CCD2">
      <w:pPr>
        <w:pStyle w:val="5"/>
        <w:pageBreakBefore w:val="0"/>
        <w:kinsoku/>
        <w:wordWrap/>
        <w:overflowPunct/>
        <w:topLinePunct w:val="0"/>
        <w:autoSpaceDE/>
        <w:autoSpaceDN/>
        <w:bidi w:val="0"/>
        <w:spacing w:before="120" w:after="120" w:line="500" w:lineRule="exact"/>
        <w:ind w:firstLine="0" w:firstLineChars="0"/>
        <w:textAlignment w:val="auto"/>
        <w:rPr>
          <w:rFonts w:hint="eastAsia" w:eastAsia="仿宋"/>
          <w:snapToGrid w:val="0"/>
          <w:color w:val="auto"/>
          <w:sz w:val="28"/>
          <w:lang w:val="en-US" w:eastAsia="zh-CN"/>
        </w:rPr>
      </w:pPr>
      <w:bookmarkStart w:id="263" w:name="_Toc7915"/>
      <w:r>
        <w:rPr>
          <w:rFonts w:eastAsia="仿宋"/>
          <w:snapToGrid w:val="0"/>
          <w:color w:val="auto"/>
          <w:sz w:val="28"/>
        </w:rPr>
        <w:t>5.</w:t>
      </w:r>
      <w:r>
        <w:rPr>
          <w:rFonts w:hint="eastAsia" w:eastAsia="仿宋"/>
          <w:snapToGrid w:val="0"/>
          <w:color w:val="auto"/>
          <w:sz w:val="28"/>
          <w:lang w:val="en-US" w:eastAsia="zh-CN"/>
        </w:rPr>
        <w:t>3</w:t>
      </w:r>
      <w:r>
        <w:rPr>
          <w:rFonts w:eastAsia="仿宋"/>
          <w:snapToGrid w:val="0"/>
          <w:color w:val="auto"/>
          <w:sz w:val="28"/>
        </w:rPr>
        <w:t>.</w:t>
      </w:r>
      <w:r>
        <w:rPr>
          <w:rFonts w:hint="eastAsia" w:eastAsia="仿宋"/>
          <w:snapToGrid w:val="0"/>
          <w:color w:val="auto"/>
          <w:sz w:val="28"/>
          <w:lang w:val="en-US" w:eastAsia="zh-CN"/>
        </w:rPr>
        <w:t>2完善土地有偿使用制度</w:t>
      </w:r>
      <w:bookmarkEnd w:id="263"/>
    </w:p>
    <w:p w14:paraId="02033FAF">
      <w:pPr>
        <w:pStyle w:val="9"/>
        <w:pageBreakBefore w:val="0"/>
        <w:kinsoku/>
        <w:wordWrap/>
        <w:overflowPunct/>
        <w:topLinePunct w:val="0"/>
        <w:autoSpaceDE/>
        <w:autoSpaceDN/>
        <w:bidi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扩大国有土地有偿使用范围，扩大招拍挂出让比例，减少非公益性用地划拨，国有土地出让收支纳入预算管理。改革完善工业用地供应方式，探索实行弹性出让年限以及长期租赁、先租后让、租让结合供应。完善地价形成机制和评估制度，健全土地等级评价体系，理顺与土地相关的出让金、租金和税费关系。建立有效调节工业用地和居住用地合理比价机制，提高工业用地出让地价水平，降低工业用地比例。探索通过土地承包经营、出租等方式，健全国有农用地有偿使用制度。</w:t>
      </w:r>
    </w:p>
    <w:p w14:paraId="33179F91">
      <w:pPr>
        <w:pStyle w:val="5"/>
        <w:pageBreakBefore w:val="0"/>
        <w:kinsoku/>
        <w:wordWrap/>
        <w:overflowPunct/>
        <w:topLinePunct w:val="0"/>
        <w:autoSpaceDE/>
        <w:autoSpaceDN/>
        <w:bidi w:val="0"/>
        <w:spacing w:before="120" w:after="120" w:line="500" w:lineRule="exact"/>
        <w:ind w:firstLine="0" w:firstLineChars="0"/>
        <w:textAlignment w:val="auto"/>
        <w:rPr>
          <w:rFonts w:hint="eastAsia" w:eastAsia="仿宋"/>
          <w:snapToGrid w:val="0"/>
          <w:color w:val="auto"/>
          <w:sz w:val="28"/>
          <w:lang w:val="en-US" w:eastAsia="zh-CN"/>
        </w:rPr>
      </w:pPr>
      <w:bookmarkStart w:id="264" w:name="_Toc19681"/>
      <w:r>
        <w:rPr>
          <w:rFonts w:eastAsia="仿宋"/>
          <w:snapToGrid w:val="0"/>
          <w:color w:val="auto"/>
          <w:sz w:val="28"/>
        </w:rPr>
        <w:t>5.</w:t>
      </w:r>
      <w:r>
        <w:rPr>
          <w:rFonts w:hint="eastAsia" w:eastAsia="仿宋"/>
          <w:snapToGrid w:val="0"/>
          <w:color w:val="auto"/>
          <w:sz w:val="28"/>
          <w:lang w:val="en-US" w:eastAsia="zh-CN"/>
        </w:rPr>
        <w:t>3</w:t>
      </w:r>
      <w:r>
        <w:rPr>
          <w:rFonts w:eastAsia="仿宋"/>
          <w:snapToGrid w:val="0"/>
          <w:color w:val="auto"/>
          <w:sz w:val="28"/>
        </w:rPr>
        <w:t>.</w:t>
      </w:r>
      <w:r>
        <w:rPr>
          <w:rFonts w:hint="eastAsia" w:eastAsia="仿宋"/>
          <w:snapToGrid w:val="0"/>
          <w:color w:val="auto"/>
          <w:sz w:val="28"/>
          <w:lang w:val="en-US" w:eastAsia="zh-CN"/>
        </w:rPr>
        <w:t>3完善矿产资源有偿使用制度</w:t>
      </w:r>
      <w:bookmarkEnd w:id="264"/>
    </w:p>
    <w:p w14:paraId="14FB2E78">
      <w:pPr>
        <w:pStyle w:val="9"/>
        <w:pageBreakBefore w:val="0"/>
        <w:kinsoku/>
        <w:wordWrap/>
        <w:overflowPunct/>
        <w:topLinePunct w:val="0"/>
        <w:autoSpaceDE/>
        <w:autoSpaceDN/>
        <w:bidi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完善矿业权出让制度，建立符合市场经济要求和矿业规律的探矿权采矿权出让方式，原则上实行市场化出让，国有矿产资源出让收支纳入预算管理。理清有偿取得、占用和开采中所有者、投资者、使用者的产权关系，研究建立矿产资源国家权益金制度。调整探矿权采矿权使用费标准、矿产资源最低勘查投入标准。推进实现全国统一的矿业权交易平台建设，加大矿业权出让转让信息公开力度。</w:t>
      </w:r>
    </w:p>
    <w:p w14:paraId="4A0EAA23">
      <w:pPr>
        <w:pStyle w:val="5"/>
        <w:pageBreakBefore w:val="0"/>
        <w:kinsoku/>
        <w:wordWrap/>
        <w:overflowPunct/>
        <w:topLinePunct w:val="0"/>
        <w:autoSpaceDE/>
        <w:autoSpaceDN/>
        <w:bidi w:val="0"/>
        <w:spacing w:before="120" w:after="120" w:line="500" w:lineRule="exact"/>
        <w:ind w:firstLine="0" w:firstLineChars="0"/>
        <w:textAlignment w:val="auto"/>
        <w:rPr>
          <w:rFonts w:eastAsia="仿宋"/>
          <w:snapToGrid w:val="0"/>
          <w:color w:val="auto"/>
          <w:sz w:val="28"/>
        </w:rPr>
      </w:pPr>
      <w:bookmarkStart w:id="265" w:name="_Toc18795"/>
      <w:bookmarkStart w:id="266" w:name="_Toc675"/>
      <w:bookmarkStart w:id="267" w:name="_Toc28572"/>
      <w:r>
        <w:rPr>
          <w:rFonts w:eastAsia="仿宋"/>
          <w:snapToGrid w:val="0"/>
          <w:color w:val="auto"/>
          <w:sz w:val="28"/>
        </w:rPr>
        <w:t>5.3.4探索完善生态补偿制度</w:t>
      </w:r>
      <w:bookmarkEnd w:id="265"/>
      <w:bookmarkEnd w:id="266"/>
      <w:bookmarkEnd w:id="267"/>
    </w:p>
    <w:p w14:paraId="509BC2C6">
      <w:pPr>
        <w:pStyle w:val="9"/>
        <w:pageBreakBefore w:val="0"/>
        <w:kinsoku/>
        <w:wordWrap/>
        <w:overflowPunct/>
        <w:topLinePunct w:val="0"/>
        <w:autoSpaceDE/>
        <w:autoSpaceDN/>
        <w:bidi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探索建立市场化、多元化生态补偿机制。制定与经济社会发展水平相协调的补偿政策，加快探索绿水青山就是金山银山的多种现实转化路径，支持开展大气、森林、草地、湿地等生态要素综合补偿试点。完善重要生态功能区生态补偿机制，加大对重点领域的补偿力度，完善生态保护成效与资金分配挂钩的激励约束机制，合理确定补偿方式和范围，以财政奖补为基础，加大对承担基本农田、生态公益林、重要湿地、饮用水水源保护区等保护责任的主体实施生态补偿。完善补偿资金管理，制定生态补偿专项资金使用方案，奖补资金可用于地方生态保护修复和生态产业开发，促进生态保护和绿色产业发展。积极开展生态保护补偿绩效评估，建立区域统筹型生态保护补偿制度，促进区域协调、公平发展。</w:t>
      </w:r>
    </w:p>
    <w:p w14:paraId="32BD9A9E">
      <w:pPr>
        <w:pStyle w:val="4"/>
        <w:pageBreakBefore w:val="0"/>
        <w:kinsoku/>
        <w:wordWrap/>
        <w:overflowPunct/>
        <w:topLinePunct w:val="0"/>
        <w:autoSpaceDE/>
        <w:autoSpaceDN/>
        <w:bidi w:val="0"/>
        <w:spacing w:before="260" w:after="260" w:line="500" w:lineRule="exact"/>
        <w:ind w:firstLine="0"/>
        <w:textAlignment w:val="auto"/>
        <w:rPr>
          <w:rFonts w:hint="eastAsia" w:ascii="Times New Roman" w:hAnsi="Times New Roman" w:eastAsia="仿宋" w:cs="Times New Roman"/>
          <w:color w:val="auto"/>
          <w:sz w:val="32"/>
          <w:lang w:val="en-US" w:eastAsia="zh-CN"/>
        </w:rPr>
      </w:pPr>
      <w:bookmarkStart w:id="268" w:name="_Toc6986"/>
      <w:r>
        <w:rPr>
          <w:rFonts w:hint="eastAsia" w:ascii="Times New Roman" w:hAnsi="Times New Roman" w:eastAsia="仿宋" w:cs="Times New Roman"/>
          <w:color w:val="auto"/>
          <w:sz w:val="32"/>
          <w:lang w:val="en-US" w:eastAsia="zh-CN"/>
        </w:rPr>
        <w:t>5.4建立健全环境治理体系</w:t>
      </w:r>
      <w:bookmarkEnd w:id="268"/>
    </w:p>
    <w:p w14:paraId="1CEF4054">
      <w:pPr>
        <w:pStyle w:val="5"/>
        <w:pageBreakBefore w:val="0"/>
        <w:kinsoku/>
        <w:wordWrap/>
        <w:overflowPunct/>
        <w:topLinePunct w:val="0"/>
        <w:autoSpaceDE/>
        <w:autoSpaceDN/>
        <w:bidi w:val="0"/>
        <w:spacing w:before="120" w:after="120" w:line="500" w:lineRule="exact"/>
        <w:ind w:firstLine="0" w:firstLineChars="0"/>
        <w:textAlignment w:val="auto"/>
        <w:rPr>
          <w:rFonts w:eastAsia="仿宋"/>
          <w:snapToGrid w:val="0"/>
          <w:color w:val="auto"/>
          <w:sz w:val="28"/>
        </w:rPr>
      </w:pPr>
      <w:bookmarkStart w:id="269" w:name="_Toc32222"/>
      <w:bookmarkStart w:id="270" w:name="_Toc20367"/>
      <w:bookmarkStart w:id="271" w:name="_Toc18526"/>
      <w:r>
        <w:rPr>
          <w:rFonts w:eastAsia="仿宋"/>
          <w:snapToGrid w:val="0"/>
          <w:color w:val="auto"/>
          <w:sz w:val="28"/>
        </w:rPr>
        <w:t>5.</w:t>
      </w:r>
      <w:r>
        <w:rPr>
          <w:rFonts w:hint="eastAsia" w:eastAsia="仿宋"/>
          <w:snapToGrid w:val="0"/>
          <w:color w:val="auto"/>
          <w:sz w:val="28"/>
          <w:lang w:val="en-US" w:eastAsia="zh-CN"/>
        </w:rPr>
        <w:t>4</w:t>
      </w:r>
      <w:r>
        <w:rPr>
          <w:rFonts w:eastAsia="仿宋"/>
          <w:snapToGrid w:val="0"/>
          <w:color w:val="auto"/>
          <w:sz w:val="28"/>
        </w:rPr>
        <w:t>.1</w:t>
      </w:r>
      <w:bookmarkEnd w:id="269"/>
      <w:r>
        <w:rPr>
          <w:rFonts w:hint="eastAsia" w:eastAsia="仿宋"/>
          <w:snapToGrid w:val="0"/>
          <w:color w:val="auto"/>
          <w:sz w:val="28"/>
        </w:rPr>
        <w:t>严格执行生态环境准入制度</w:t>
      </w:r>
      <w:bookmarkEnd w:id="270"/>
      <w:bookmarkEnd w:id="271"/>
    </w:p>
    <w:p w14:paraId="1BC7A95E">
      <w:pPr>
        <w:pStyle w:val="9"/>
        <w:pageBreakBefore w:val="0"/>
        <w:kinsoku/>
        <w:wordWrap/>
        <w:overflowPunct/>
        <w:topLinePunct w:val="0"/>
        <w:autoSpaceDE/>
        <w:autoSpaceDN/>
        <w:bidi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严格落实《曲靖市“三线一单”生态环境分区管控实施方案》要求，加强“三线一单”与国土空间规划的衔接应用，将“三线一单”生态环境分区管控和生态环境准入清单作为资源开发、产业布局和结构调整、城镇建设、重大项目选址的重要依据。以生态环境质量改善为核心，落实资源环境承载力硬约束，确保发展不超载，底线不突破。建立资源环境承载能力监测预警长效机制，合理控制空间开发强度，切实将各类开发活动限制在资源环境承载能力之内，为构建高效协调可持续的国土空间开发格局奠定坚实基础。严格实行《云南省环境管控单元生态环境准入清单（2019年）》，禁止发展不具备区域资源禀赋条件、不符合国家重点生态功能区开发管制原则的产业项目。</w:t>
      </w:r>
    </w:p>
    <w:p w14:paraId="490B4723">
      <w:pPr>
        <w:pStyle w:val="5"/>
        <w:pageBreakBefore w:val="0"/>
        <w:kinsoku/>
        <w:wordWrap/>
        <w:overflowPunct/>
        <w:topLinePunct w:val="0"/>
        <w:autoSpaceDE/>
        <w:autoSpaceDN/>
        <w:bidi w:val="0"/>
        <w:spacing w:before="120" w:after="120" w:line="500" w:lineRule="exact"/>
        <w:ind w:firstLine="0" w:firstLineChars="0"/>
        <w:textAlignment w:val="auto"/>
        <w:rPr>
          <w:rFonts w:eastAsia="仿宋"/>
          <w:snapToGrid w:val="0"/>
          <w:color w:val="auto"/>
          <w:sz w:val="28"/>
        </w:rPr>
      </w:pPr>
      <w:bookmarkStart w:id="272" w:name="_Toc29698"/>
      <w:bookmarkStart w:id="273" w:name="_Toc10746"/>
      <w:r>
        <w:rPr>
          <w:rFonts w:hint="eastAsia" w:eastAsia="仿宋"/>
          <w:snapToGrid w:val="0"/>
          <w:color w:val="auto"/>
          <w:sz w:val="28"/>
        </w:rPr>
        <w:t>5.</w:t>
      </w:r>
      <w:r>
        <w:rPr>
          <w:rFonts w:hint="eastAsia" w:eastAsia="仿宋"/>
          <w:snapToGrid w:val="0"/>
          <w:color w:val="auto"/>
          <w:sz w:val="28"/>
          <w:lang w:val="en-US" w:eastAsia="zh-CN"/>
        </w:rPr>
        <w:t>4</w:t>
      </w:r>
      <w:r>
        <w:rPr>
          <w:rFonts w:hint="eastAsia" w:eastAsia="仿宋"/>
          <w:snapToGrid w:val="0"/>
          <w:color w:val="auto"/>
          <w:sz w:val="28"/>
        </w:rPr>
        <w:t>.2深入执行环境影响评价与排污许可制度</w:t>
      </w:r>
      <w:bookmarkEnd w:id="272"/>
      <w:bookmarkEnd w:id="273"/>
    </w:p>
    <w:p w14:paraId="1F0A24F7">
      <w:pPr>
        <w:pStyle w:val="9"/>
        <w:pageBreakBefore w:val="0"/>
        <w:kinsoku/>
        <w:wordWrap/>
        <w:overflowPunct/>
        <w:topLinePunct w:val="0"/>
        <w:autoSpaceDE/>
        <w:autoSpaceDN/>
        <w:bidi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严格落实环境影响评价制度。严格落实国家有关规划环境影响评价、跟踪评价、区域评估的法律规定。强化环评制度源头预防效能，严格落实环境影响评价与“三同时”制度；依法依规对土地利用有关规划和区域、工业园区、流域的建设、开发利用规划，以及工业、农业、畜牧业、林业、能源、水利、交通、城市建设、旅游、自然资源开发的有关专项规划，进行环境影响评价；探索温室气体排放环境影响评价工作并开展温室气体源强核算、评价方法等专题研究；建立统一监管的污染物排放环保管理制度，深化环评审批制度改革；深化环评“放管服”改革工作；推动提升环评审批服务水平，加强事中事后监管。全面推进环评与排污许可政务服务标准化，深化“证照分离”改革，加快推进电子证照应用。</w:t>
      </w:r>
    </w:p>
    <w:p w14:paraId="711E1B58">
      <w:pPr>
        <w:pStyle w:val="9"/>
        <w:pageBreakBefore w:val="0"/>
        <w:kinsoku/>
        <w:wordWrap/>
        <w:overflowPunct/>
        <w:topLinePunct w:val="0"/>
        <w:autoSpaceDE/>
        <w:autoSpaceDN/>
        <w:bidi w:val="0"/>
        <w:spacing w:line="500" w:lineRule="exact"/>
        <w:ind w:firstLine="560" w:firstLineChars="200"/>
        <w:textAlignment w:val="auto"/>
        <w:rPr>
          <w:rFonts w:hint="eastAsia" w:ascii="Times New Roman" w:hAnsi="Times New Roman" w:eastAsia="方正仿宋_GBK" w:cs="Times New Roman"/>
          <w:color w:val="auto"/>
          <w:kern w:val="2"/>
          <w:sz w:val="32"/>
          <w:szCs w:val="32"/>
          <w:lang w:val="en-US" w:eastAsia="zh-CN" w:bidi="ar-SA"/>
        </w:rPr>
      </w:pPr>
      <w:bookmarkStart w:id="274" w:name="_Toc28738"/>
      <w:r>
        <w:rPr>
          <w:rFonts w:hint="eastAsia" w:ascii="Times New Roman" w:hAnsi="Times New Roman" w:eastAsia="方正仿宋_GBK" w:cs="方正仿宋_GBK"/>
          <w:b w:val="0"/>
          <w:bCs w:val="0"/>
          <w:color w:val="auto"/>
          <w:kern w:val="2"/>
          <w:sz w:val="28"/>
          <w:szCs w:val="28"/>
          <w:lang w:val="en-US" w:eastAsia="zh-CN" w:bidi="ar-SA"/>
        </w:rPr>
        <w:t>全面实施排污许可制度。建立以排污许可证为主要依据的生态环境日常执法监督工作体系，加强排污许“一证式”管理，加强排污许可证后监督及管理；开展基于排污许可证的监管、监测、监察“三监”联动试点，推动重点行业环境影响评价、排污许可、监管执法全闭环管理；构建以排污许可制度为核心的固定污染源监管制度体系；持续做好排污许可证换证或登记延续动态更新，生态环境主管部门负责具体落实排污许可证后管理相关工作；对排污许可证后管理过程中发现的相关违法问题，生态环境部门按照《排污许可管理条例》依法依规予以处置。</w:t>
      </w:r>
    </w:p>
    <w:p w14:paraId="6C4D30BC">
      <w:pPr>
        <w:pStyle w:val="5"/>
        <w:pageBreakBefore w:val="0"/>
        <w:kinsoku/>
        <w:wordWrap/>
        <w:overflowPunct/>
        <w:topLinePunct w:val="0"/>
        <w:autoSpaceDE/>
        <w:autoSpaceDN/>
        <w:bidi w:val="0"/>
        <w:spacing w:before="120" w:after="120" w:line="500" w:lineRule="exact"/>
        <w:ind w:firstLine="0" w:firstLineChars="0"/>
        <w:textAlignment w:val="auto"/>
        <w:rPr>
          <w:rFonts w:eastAsia="仿宋"/>
          <w:snapToGrid w:val="0"/>
          <w:color w:val="auto"/>
          <w:sz w:val="28"/>
        </w:rPr>
      </w:pPr>
      <w:bookmarkStart w:id="275" w:name="_Toc1755"/>
      <w:bookmarkStart w:id="276" w:name="_Toc19801"/>
      <w:r>
        <w:rPr>
          <w:rFonts w:eastAsia="仿宋"/>
          <w:snapToGrid w:val="0"/>
          <w:color w:val="auto"/>
          <w:sz w:val="28"/>
        </w:rPr>
        <w:t>5.</w:t>
      </w:r>
      <w:r>
        <w:rPr>
          <w:rFonts w:hint="eastAsia" w:eastAsia="仿宋"/>
          <w:snapToGrid w:val="0"/>
          <w:color w:val="auto"/>
          <w:sz w:val="28"/>
          <w:lang w:val="en-US" w:eastAsia="zh-CN"/>
        </w:rPr>
        <w:t>4</w:t>
      </w:r>
      <w:r>
        <w:rPr>
          <w:rFonts w:eastAsia="仿宋"/>
          <w:snapToGrid w:val="0"/>
          <w:color w:val="auto"/>
          <w:sz w:val="28"/>
        </w:rPr>
        <w:t>.</w:t>
      </w:r>
      <w:bookmarkEnd w:id="274"/>
      <w:bookmarkStart w:id="277" w:name="_Toc10779"/>
      <w:r>
        <w:rPr>
          <w:rFonts w:hint="eastAsia" w:eastAsia="仿宋"/>
          <w:snapToGrid w:val="0"/>
          <w:color w:val="auto"/>
          <w:sz w:val="28"/>
        </w:rPr>
        <w:t>3</w:t>
      </w:r>
      <w:r>
        <w:rPr>
          <w:rFonts w:eastAsia="仿宋"/>
          <w:snapToGrid w:val="0"/>
          <w:color w:val="auto"/>
          <w:sz w:val="28"/>
        </w:rPr>
        <w:t>严格落实污染物排放总量控制制度</w:t>
      </w:r>
      <w:bookmarkEnd w:id="275"/>
      <w:bookmarkEnd w:id="276"/>
      <w:bookmarkEnd w:id="277"/>
    </w:p>
    <w:p w14:paraId="14842A70">
      <w:pPr>
        <w:pStyle w:val="9"/>
        <w:pageBreakBefore w:val="0"/>
        <w:kinsoku/>
        <w:wordWrap/>
        <w:overflowPunct/>
        <w:topLinePunct w:val="0"/>
        <w:autoSpaceDE/>
        <w:autoSpaceDN/>
        <w:bidi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实施精细化的污染物排放总量管理制度，坚持精准治污、科学治污、依法治污，把污染物排放总量控制制度作为加快绿色低碳发展、推动结构优化调整、提升环境治理水平的重要抓手，推进实施重点减排工程，形成有效减排能力。进一步加强对工业园区以及国、省控重点污染源的污染排放管理，确保各项污染物稳定达标排放。强化重金属污染物、VOCs排放等重点行业污染治理工作，持续推动污染物减排，全县所有排污企业必须在允许的排污控制量内排放污染物，完善总量减排考核体系，健全激励约束机制，强化总量减排监督管理。</w:t>
      </w:r>
    </w:p>
    <w:p w14:paraId="62BCC467">
      <w:pPr>
        <w:pStyle w:val="5"/>
        <w:pageBreakBefore w:val="0"/>
        <w:kinsoku/>
        <w:wordWrap/>
        <w:overflowPunct/>
        <w:topLinePunct w:val="0"/>
        <w:autoSpaceDE/>
        <w:autoSpaceDN/>
        <w:bidi w:val="0"/>
        <w:spacing w:before="120" w:after="120" w:line="500" w:lineRule="exact"/>
        <w:ind w:firstLine="0" w:firstLineChars="0"/>
        <w:textAlignment w:val="auto"/>
        <w:rPr>
          <w:rFonts w:eastAsia="仿宋"/>
          <w:snapToGrid w:val="0"/>
          <w:color w:val="auto"/>
          <w:sz w:val="28"/>
        </w:rPr>
      </w:pPr>
      <w:bookmarkStart w:id="278" w:name="_Toc6472"/>
      <w:bookmarkStart w:id="279" w:name="_Toc3571"/>
      <w:bookmarkStart w:id="280" w:name="_Toc3565"/>
      <w:r>
        <w:rPr>
          <w:rFonts w:eastAsia="仿宋"/>
          <w:snapToGrid w:val="0"/>
          <w:color w:val="auto"/>
          <w:sz w:val="28"/>
        </w:rPr>
        <w:t>5.</w:t>
      </w:r>
      <w:r>
        <w:rPr>
          <w:rFonts w:hint="eastAsia" w:eastAsia="仿宋"/>
          <w:snapToGrid w:val="0"/>
          <w:color w:val="auto"/>
          <w:sz w:val="28"/>
          <w:lang w:val="en-US" w:eastAsia="zh-CN"/>
        </w:rPr>
        <w:t>4</w:t>
      </w:r>
      <w:r>
        <w:rPr>
          <w:rFonts w:eastAsia="仿宋"/>
          <w:snapToGrid w:val="0"/>
          <w:color w:val="auto"/>
          <w:sz w:val="28"/>
        </w:rPr>
        <w:t>.</w:t>
      </w:r>
      <w:r>
        <w:rPr>
          <w:rFonts w:hint="eastAsia" w:eastAsia="仿宋"/>
          <w:snapToGrid w:val="0"/>
          <w:color w:val="auto"/>
          <w:sz w:val="28"/>
        </w:rPr>
        <w:t>4</w:t>
      </w:r>
      <w:r>
        <w:rPr>
          <w:rFonts w:eastAsia="仿宋"/>
          <w:snapToGrid w:val="0"/>
          <w:color w:val="auto"/>
          <w:sz w:val="28"/>
        </w:rPr>
        <w:t>健全落实环境信息公开制度</w:t>
      </w:r>
      <w:bookmarkEnd w:id="278"/>
      <w:bookmarkEnd w:id="279"/>
      <w:bookmarkEnd w:id="280"/>
    </w:p>
    <w:p w14:paraId="1EC09DE5">
      <w:pPr>
        <w:pStyle w:val="9"/>
        <w:pageBreakBefore w:val="0"/>
        <w:kinsoku/>
        <w:wordWrap/>
        <w:overflowPunct/>
        <w:topLinePunct w:val="0"/>
        <w:autoSpaceDE/>
        <w:autoSpaceDN/>
        <w:bidi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加大环境信息公开力度，健全环境信息公开制度，依法扩大政府环境信息主动公开的范围，规范和畅通信息公开的渠道，主动接受社会公众监督。全面推进大气、水、声等环境质量信息公开、排污单位环境信息公开、监管部门环境信息公开、突发环境事件信息公开，建立定期和动态相结合的信息发布机制，健全建设项目环境影响评价信息公开机制。完善公众参与制度，保障社会公众依法有序行使环境监督权，推进环保设施面向公众开放活动，引导公众积极参与环境决策、环境治理和环境监督。建立环境保护网络举报平台和举报制度，健全举报、听证、舆论监督等制度，健全环境新闻发言人制度。探索创新信息公开途径，充分利用微信公众平台、短视频平台等新兴媒体媒介开展环境信息公开。</w:t>
      </w:r>
    </w:p>
    <w:p w14:paraId="3B181F96">
      <w:pPr>
        <w:pStyle w:val="9"/>
        <w:pageBreakBefore w:val="0"/>
        <w:kinsoku/>
        <w:wordWrap/>
        <w:overflowPunct/>
        <w:topLinePunct w:val="0"/>
        <w:autoSpaceDE/>
        <w:autoSpaceDN/>
        <w:bidi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加强企事业单位环境信息公开，建立健全信息强制披露机制，按照《企业环境信息依法披露管理办法》规定，监督重点排污单位、实施强制性清洁生产审核的企业、上市公司、发债企业等市场主体依法、及时、真实、准确、完整地披露环境信息。完善企业环保信用管理机制，定期向社会公告企业环保信用评级结果，将环境信息依法披露纳入企业信用管理，作为评价企业信用的重要指标，并将企业违反环境信息依法披露要求的行政处罚信息记入信用记录。</w:t>
      </w:r>
    </w:p>
    <w:p w14:paraId="21EC0DFB">
      <w:pPr>
        <w:pStyle w:val="5"/>
        <w:pageBreakBefore w:val="0"/>
        <w:kinsoku/>
        <w:wordWrap/>
        <w:overflowPunct/>
        <w:topLinePunct w:val="0"/>
        <w:autoSpaceDE/>
        <w:autoSpaceDN/>
        <w:bidi w:val="0"/>
        <w:spacing w:before="120" w:after="120" w:line="500" w:lineRule="exact"/>
        <w:ind w:firstLine="0" w:firstLineChars="0"/>
        <w:textAlignment w:val="auto"/>
        <w:rPr>
          <w:rFonts w:eastAsia="仿宋"/>
          <w:snapToGrid w:val="0"/>
          <w:color w:val="auto"/>
          <w:sz w:val="28"/>
        </w:rPr>
      </w:pPr>
      <w:bookmarkStart w:id="281" w:name="_Toc7236"/>
      <w:bookmarkStart w:id="282" w:name="_Toc17463"/>
      <w:bookmarkStart w:id="283" w:name="_Toc8465"/>
      <w:r>
        <w:rPr>
          <w:rFonts w:eastAsia="仿宋"/>
          <w:snapToGrid w:val="0"/>
          <w:color w:val="auto"/>
          <w:sz w:val="28"/>
        </w:rPr>
        <w:t>5.</w:t>
      </w:r>
      <w:r>
        <w:rPr>
          <w:rFonts w:hint="eastAsia" w:eastAsia="仿宋"/>
          <w:snapToGrid w:val="0"/>
          <w:color w:val="auto"/>
          <w:sz w:val="28"/>
          <w:lang w:val="en-US" w:eastAsia="zh-CN"/>
        </w:rPr>
        <w:t>4</w:t>
      </w:r>
      <w:r>
        <w:rPr>
          <w:rFonts w:eastAsia="仿宋"/>
          <w:snapToGrid w:val="0"/>
          <w:color w:val="auto"/>
          <w:sz w:val="28"/>
        </w:rPr>
        <w:t>.</w:t>
      </w:r>
      <w:r>
        <w:rPr>
          <w:rFonts w:hint="eastAsia" w:eastAsia="仿宋"/>
          <w:snapToGrid w:val="0"/>
          <w:color w:val="auto"/>
          <w:sz w:val="28"/>
        </w:rPr>
        <w:t>5</w:t>
      </w:r>
      <w:r>
        <w:rPr>
          <w:rFonts w:eastAsia="仿宋"/>
          <w:snapToGrid w:val="0"/>
          <w:color w:val="auto"/>
          <w:sz w:val="28"/>
        </w:rPr>
        <w:t>深化生态环境监管制度</w:t>
      </w:r>
      <w:bookmarkEnd w:id="281"/>
      <w:bookmarkEnd w:id="282"/>
      <w:bookmarkEnd w:id="283"/>
    </w:p>
    <w:p w14:paraId="75F56252">
      <w:pPr>
        <w:pStyle w:val="9"/>
        <w:pageBreakBefore w:val="0"/>
        <w:kinsoku/>
        <w:wordWrap/>
        <w:overflowPunct/>
        <w:topLinePunct w:val="0"/>
        <w:autoSpaceDE/>
        <w:autoSpaceDN/>
        <w:bidi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健全生态环境综合执法体系。推进执法能力标准化建设，规范生态环境执法程序和执法行为，加快补齐生态环境监管领域执法能力短板，健全生态环境网格化监管执法体系。完善监管机制，整合相关部门污染防治和生态环境保护执法职责、队伍，统一实行生态环境保护执法。加强生态保护红线、自然保护地等重点区域监管执法，定期开展生态保护红线常态化执法监督检查，持续开展“绿盾”自然保护地强化监督，及时发现各类生态破坏行为并跟踪督办，扎实推进生态环境保护督察整改及长效机制建设。强化监测能力建设，完善生态环境监测网络和技术体系，全面提高监测自动化、标准化、信息化水平，推动实现环境质量预报预警，确保监测数据“真、准、全”。</w:t>
      </w:r>
    </w:p>
    <w:p w14:paraId="68D13F03">
      <w:pPr>
        <w:pStyle w:val="9"/>
        <w:pageBreakBefore w:val="0"/>
        <w:kinsoku/>
        <w:wordWrap/>
        <w:overflowPunct/>
        <w:topLinePunct w:val="0"/>
        <w:autoSpaceDE/>
        <w:autoSpaceDN/>
        <w:bidi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创新生态环境执法监管模式。健全以“双随机、一公开”为手段、以重点监管为补充、以信用监管为基础的监管机制。充分运用在线监控、卫星遥感、无人机等科技手段，大力推进非现场执法。加强环境行政执法和刑事司法衔接，形成打击环境违法犯罪行为的高压态势，完善信息共享、案情通报、案件移送等制度，确保在证据认定、法律适用等环节与司法机关达成一致，精准高效打击环境违法行为。完善生态环境违法容错纠错、重点环境问题后督察等制度。</w:t>
      </w:r>
    </w:p>
    <w:p w14:paraId="60D57F92">
      <w:pPr>
        <w:pStyle w:val="9"/>
        <w:pageBreakBefore w:val="0"/>
        <w:kinsoku/>
        <w:wordWrap/>
        <w:overflowPunct/>
        <w:topLinePunct w:val="0"/>
        <w:autoSpaceDE/>
        <w:autoSpaceDN/>
        <w:bidi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bookmarkStart w:id="284" w:name="_Toc103590107"/>
      <w:bookmarkStart w:id="285" w:name="_Toc88223197"/>
      <w:r>
        <w:rPr>
          <w:rFonts w:hint="eastAsia" w:ascii="Times New Roman" w:hAnsi="Times New Roman" w:eastAsia="方正仿宋_GBK" w:cs="方正仿宋_GBK"/>
          <w:b w:val="0"/>
          <w:bCs w:val="0"/>
          <w:color w:val="auto"/>
          <w:kern w:val="2"/>
          <w:sz w:val="28"/>
          <w:szCs w:val="28"/>
          <w:lang w:val="en-US" w:eastAsia="zh-CN" w:bidi="ar-SA"/>
        </w:rPr>
        <w:t>建立区域联防联控及部门协调机制。进一步加强与会泽县、沾益区等相邻县（区）的治污合作，建立区域污染防治机制，加强区域间环境监测、环境执法、环境事件应急等协同协作，加大区域联合执法力度，严厉打击各类环境污染、破坏生态行为，建立地区间互相监督、信息共享、公益诉讼协助、环境修复协作等工作机制，实现区域联防联控，形成污染防治攻坚合力，促进区域环境质量提高。建立跨部门生态环境保护执法联动机制，加强生态环境、自然资源、林草、水务、卫生健康、应急等各部门之间的协调配合，形成生态环境保护工作合力。</w:t>
      </w:r>
    </w:p>
    <w:p w14:paraId="4A15F2D9">
      <w:pPr>
        <w:pStyle w:val="9"/>
        <w:pageBreakBefore w:val="0"/>
        <w:kinsoku/>
        <w:wordWrap/>
        <w:overflowPunct/>
        <w:topLinePunct w:val="0"/>
        <w:autoSpaceDE/>
        <w:autoSpaceDN/>
        <w:bidi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完善企业环境信用评价制度和监管体系。加强企业环境信用评价，健全环境信用信息归集、评价、奖惩机制，强化信用评价结果运用，构建以环境信用评级为基础的分级分类差别化信用监管模式，将执法监管方式和频次、执法正面清单等与信用评价结果挂钩，以环境信用监管引导企业建立现代环境治理体系。</w:t>
      </w:r>
      <w:bookmarkEnd w:id="284"/>
      <w:bookmarkEnd w:id="285"/>
      <w:bookmarkStart w:id="286" w:name="_Toc29446"/>
      <w:bookmarkStart w:id="287" w:name="_Toc26407"/>
    </w:p>
    <w:p w14:paraId="7BEF24CA">
      <w:pPr>
        <w:pStyle w:val="9"/>
        <w:pageBreakBefore w:val="0"/>
        <w:kinsoku/>
        <w:wordWrap/>
        <w:overflowPunct/>
        <w:topLinePunct w:val="0"/>
        <w:autoSpaceDE/>
        <w:autoSpaceDN/>
        <w:bidi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推深做实河（湖）长制。持续深入推进河（湖）长制从“有名”向“有实”“有能”转变，强化河长制工作保障机制，提升河湖治理能力，推进河湖管护各项专项行动常态化、规范化。完善河长制信息管理系统建设，加强与市级信息系统互联互通，推进智慧河湖建设。夯实管理基础，完善基层巡（护）河员体系，做好河湖日常巡查、水面和堤岸保洁。探索建立健全重点流域上下游左右岸相互监督及生态保护补偿机制，推动区域间联防联治。推进“一河（库）一策”修编，积极开展元江流域、化念河水库等重点河流、水库健康评价，为河湖管理和河长科学决策提供技术支撑。深入推进全县美丽河湖建设，积极开展美丽河湖生物多样性监测、河湖健康评价、水生生物栖息地修复等工作。建立健全以党政领导负责制为核心的责任体系，明确各级河（湖）长职责，强化工作措施，全面压实河（湖）长巡河（湖）护河（湖）工作责任。强化单位间信息共享和联合执法机制，进一步构建良好的生态河湖格局。持续推进“河长制+全民参与”模式，探索制定“河湖问题有奖监督举报机制”，积极引导全民参与河湖管理与保护，形成全社会共同参与水生态水环境治理保护的强大合力。</w:t>
      </w:r>
    </w:p>
    <w:p w14:paraId="138B0076">
      <w:pPr>
        <w:pStyle w:val="9"/>
        <w:pageBreakBefore w:val="0"/>
        <w:kinsoku/>
        <w:wordWrap/>
        <w:overflowPunct/>
        <w:topLinePunct w:val="0"/>
        <w:autoSpaceDE/>
        <w:autoSpaceDN/>
        <w:bidi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构建现代生态林业治理体系。按照山水林田湖草沙系统治理的要求，要坚持生态优先、保护为主、绿色发展，深入实施生态立县战略，进一步明确各级党政领导干部保护发展森林草原资源目标责任，深化林草资源综合改革，建立健全以党政领导责任制为核心的市、县、乡、村四级林长制责任体系，建立林长制工作机制，构建党政同责、属地负责、部门协同、源头治理、全域覆盖的森林、草原、湿地保护发展长效机制。健全考核评价体系，研究建立科学合理的林长考核指标体系，完善考核办法，细化考核内容。不断巩固提升三级林长制组织体系运行质量，构建形成责任明确、协调有序、运行高效、监管严格的森林资源发展和保护工作机制。贯彻落实《新平县林长巡林制度》，常态化推进“林长+检察长”工作机制，协同推进“护绿、增绿、管绿、用绿、活绿”。探索开展“智慧林区”示范点创建行动，强化林区基础设施建设，逐步实现林业治理体系和治理能力现代化。</w:t>
      </w:r>
    </w:p>
    <w:bookmarkEnd w:id="286"/>
    <w:bookmarkEnd w:id="287"/>
    <w:p w14:paraId="7CC66E39">
      <w:pPr>
        <w:pStyle w:val="4"/>
        <w:pageBreakBefore w:val="0"/>
        <w:kinsoku/>
        <w:wordWrap/>
        <w:overflowPunct/>
        <w:topLinePunct w:val="0"/>
        <w:autoSpaceDE/>
        <w:autoSpaceDN/>
        <w:bidi w:val="0"/>
        <w:spacing w:before="260" w:after="260" w:line="500" w:lineRule="exact"/>
        <w:ind w:firstLine="0"/>
        <w:textAlignment w:val="auto"/>
        <w:rPr>
          <w:rFonts w:hint="eastAsia" w:ascii="Times New Roman" w:hAnsi="Times New Roman" w:eastAsia="仿宋" w:cs="Times New Roman"/>
          <w:color w:val="auto"/>
          <w:sz w:val="32"/>
          <w:lang w:val="en-US" w:eastAsia="zh-CN"/>
        </w:rPr>
      </w:pPr>
      <w:bookmarkStart w:id="288" w:name="_Toc24415"/>
      <w:r>
        <w:rPr>
          <w:rFonts w:hint="eastAsia" w:ascii="Times New Roman" w:hAnsi="Times New Roman" w:eastAsia="仿宋" w:cs="Times New Roman"/>
          <w:color w:val="auto"/>
          <w:sz w:val="32"/>
          <w:lang w:val="en-US" w:eastAsia="zh-CN"/>
        </w:rPr>
        <w:t>5.5健全环境治理和生态保护市场体系</w:t>
      </w:r>
      <w:bookmarkEnd w:id="288"/>
    </w:p>
    <w:p w14:paraId="2C7FE1D6">
      <w:pPr>
        <w:pStyle w:val="5"/>
        <w:pageBreakBefore w:val="0"/>
        <w:kinsoku/>
        <w:wordWrap/>
        <w:overflowPunct/>
        <w:topLinePunct w:val="0"/>
        <w:autoSpaceDE/>
        <w:autoSpaceDN/>
        <w:bidi w:val="0"/>
        <w:spacing w:before="120" w:after="120" w:line="500" w:lineRule="exact"/>
        <w:ind w:firstLine="0" w:firstLineChars="0"/>
        <w:textAlignment w:val="auto"/>
        <w:rPr>
          <w:rFonts w:eastAsia="仿宋"/>
          <w:snapToGrid w:val="0"/>
          <w:color w:val="auto"/>
          <w:sz w:val="28"/>
        </w:rPr>
      </w:pPr>
      <w:bookmarkStart w:id="289" w:name="_Toc30753"/>
      <w:r>
        <w:rPr>
          <w:rFonts w:eastAsia="仿宋"/>
          <w:snapToGrid w:val="0"/>
          <w:color w:val="auto"/>
          <w:sz w:val="28"/>
        </w:rPr>
        <w:t>5.</w:t>
      </w:r>
      <w:r>
        <w:rPr>
          <w:rFonts w:hint="eastAsia" w:eastAsia="仿宋"/>
          <w:snapToGrid w:val="0"/>
          <w:color w:val="auto"/>
          <w:sz w:val="28"/>
          <w:lang w:val="en-US" w:eastAsia="zh-CN"/>
        </w:rPr>
        <w:t>5</w:t>
      </w:r>
      <w:r>
        <w:rPr>
          <w:rFonts w:eastAsia="仿宋"/>
          <w:snapToGrid w:val="0"/>
          <w:color w:val="auto"/>
          <w:sz w:val="28"/>
        </w:rPr>
        <w:t>.</w:t>
      </w:r>
      <w:r>
        <w:rPr>
          <w:rFonts w:hint="eastAsia" w:eastAsia="仿宋"/>
          <w:snapToGrid w:val="0"/>
          <w:color w:val="auto"/>
          <w:sz w:val="28"/>
          <w:lang w:val="en-US" w:eastAsia="zh-CN"/>
        </w:rPr>
        <w:t>1</w:t>
      </w:r>
      <w:r>
        <w:rPr>
          <w:rFonts w:eastAsia="仿宋"/>
          <w:snapToGrid w:val="0"/>
          <w:color w:val="auto"/>
          <w:sz w:val="28"/>
        </w:rPr>
        <w:t>培育环境治理和生态保护市场主体</w:t>
      </w:r>
      <w:bookmarkEnd w:id="289"/>
    </w:p>
    <w:p w14:paraId="54D77BF5">
      <w:pPr>
        <w:pStyle w:val="9"/>
        <w:pageBreakBefore w:val="0"/>
        <w:kinsoku/>
        <w:wordWrap/>
        <w:overflowPunct/>
        <w:topLinePunct w:val="0"/>
        <w:autoSpaceDE/>
        <w:autoSpaceDN/>
        <w:bidi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采取鼓励发展节能环保产业的体制机制和政策措施。废止妨碍形成全国统一市场和公平竞争的规定和做法，鼓励各类投资进入环保市场。能由政府和社会资本合作开展的环境治理和生态保护事务，都可以吸引社会资本参与建设和运营。通过政府购买服务等方式，加大对环境污染第三方治理的支持力度。加快推进污水垃圾处理设施运营管理单位向独立核算、自主经营的企业转变。组建或改组设立国有资本投资运营公司，推动国有资本加大对环境治理和生态保护等方面的投入。支持生态环境保护领域国有企业实行混合所有制改革。</w:t>
      </w:r>
    </w:p>
    <w:p w14:paraId="1288FC93">
      <w:pPr>
        <w:pStyle w:val="5"/>
        <w:pageBreakBefore w:val="0"/>
        <w:kinsoku/>
        <w:wordWrap/>
        <w:overflowPunct/>
        <w:topLinePunct w:val="0"/>
        <w:autoSpaceDE/>
        <w:autoSpaceDN/>
        <w:bidi w:val="0"/>
        <w:spacing w:before="120" w:after="120" w:line="500" w:lineRule="exact"/>
        <w:ind w:firstLine="0" w:firstLineChars="0"/>
        <w:textAlignment w:val="auto"/>
        <w:rPr>
          <w:rFonts w:hint="default" w:eastAsia="仿宋"/>
          <w:snapToGrid w:val="0"/>
          <w:color w:val="auto"/>
          <w:sz w:val="28"/>
        </w:rPr>
      </w:pPr>
      <w:bookmarkStart w:id="290" w:name="_Toc22065"/>
      <w:r>
        <w:rPr>
          <w:rFonts w:eastAsia="仿宋"/>
          <w:snapToGrid w:val="0"/>
          <w:color w:val="auto"/>
          <w:sz w:val="28"/>
          <w:lang w:val="en-US" w:eastAsia="zh-CN"/>
        </w:rPr>
        <w:t>5.</w:t>
      </w:r>
      <w:r>
        <w:rPr>
          <w:rFonts w:hint="eastAsia" w:eastAsia="仿宋"/>
          <w:snapToGrid w:val="0"/>
          <w:color w:val="auto"/>
          <w:sz w:val="28"/>
          <w:lang w:val="en-US" w:eastAsia="zh-CN"/>
        </w:rPr>
        <w:t>5</w:t>
      </w:r>
      <w:r>
        <w:rPr>
          <w:rFonts w:eastAsia="仿宋"/>
          <w:snapToGrid w:val="0"/>
          <w:color w:val="auto"/>
          <w:sz w:val="28"/>
          <w:lang w:val="en-US" w:eastAsia="zh-CN"/>
        </w:rPr>
        <w:t>.</w:t>
      </w:r>
      <w:r>
        <w:rPr>
          <w:rFonts w:hint="eastAsia" w:eastAsia="仿宋"/>
          <w:snapToGrid w:val="0"/>
          <w:color w:val="auto"/>
          <w:sz w:val="28"/>
          <w:lang w:val="en-US" w:eastAsia="zh-CN"/>
        </w:rPr>
        <w:t>2</w:t>
      </w:r>
      <w:r>
        <w:rPr>
          <w:rFonts w:hint="default" w:eastAsia="仿宋"/>
          <w:snapToGrid w:val="0"/>
          <w:color w:val="auto"/>
          <w:sz w:val="28"/>
          <w:lang w:val="en-US" w:eastAsia="zh-CN"/>
        </w:rPr>
        <w:t>推行用能权和碳排放权交易制度</w:t>
      </w:r>
      <w:bookmarkEnd w:id="290"/>
    </w:p>
    <w:p w14:paraId="5FC4462F">
      <w:pPr>
        <w:pStyle w:val="5"/>
        <w:pageBreakBefore w:val="0"/>
        <w:kinsoku/>
        <w:wordWrap/>
        <w:overflowPunct/>
        <w:topLinePunct w:val="0"/>
        <w:autoSpaceDE/>
        <w:autoSpaceDN/>
        <w:bidi w:val="0"/>
        <w:spacing w:before="120" w:after="120" w:line="500" w:lineRule="exact"/>
        <w:ind w:firstLine="0" w:firstLineChars="0"/>
        <w:textAlignment w:val="auto"/>
        <w:rPr>
          <w:rFonts w:hint="default" w:eastAsia="仿宋"/>
          <w:snapToGrid w:val="0"/>
          <w:color w:val="auto"/>
          <w:sz w:val="28"/>
          <w:lang w:val="en-US" w:eastAsia="zh-CN"/>
        </w:rPr>
      </w:pPr>
      <w:bookmarkStart w:id="291" w:name="_Toc11048"/>
      <w:r>
        <w:rPr>
          <w:rFonts w:eastAsia="仿宋"/>
          <w:snapToGrid w:val="0"/>
          <w:color w:val="auto"/>
          <w:sz w:val="28"/>
          <w:lang w:val="en-US" w:eastAsia="zh-CN"/>
        </w:rPr>
        <w:t>5.</w:t>
      </w:r>
      <w:r>
        <w:rPr>
          <w:rFonts w:hint="eastAsia" w:eastAsia="仿宋"/>
          <w:snapToGrid w:val="0"/>
          <w:color w:val="auto"/>
          <w:sz w:val="28"/>
          <w:lang w:val="en-US" w:eastAsia="zh-CN"/>
        </w:rPr>
        <w:t>5</w:t>
      </w:r>
      <w:r>
        <w:rPr>
          <w:rFonts w:eastAsia="仿宋"/>
          <w:snapToGrid w:val="0"/>
          <w:color w:val="auto"/>
          <w:sz w:val="28"/>
          <w:lang w:val="en-US" w:eastAsia="zh-CN"/>
        </w:rPr>
        <w:t>.</w:t>
      </w:r>
      <w:r>
        <w:rPr>
          <w:rFonts w:hint="eastAsia" w:eastAsia="仿宋"/>
          <w:snapToGrid w:val="0"/>
          <w:color w:val="auto"/>
          <w:sz w:val="28"/>
          <w:lang w:val="en-US" w:eastAsia="zh-CN"/>
        </w:rPr>
        <w:t>3</w:t>
      </w:r>
      <w:r>
        <w:rPr>
          <w:rFonts w:hint="default" w:eastAsia="仿宋"/>
          <w:snapToGrid w:val="0"/>
          <w:color w:val="auto"/>
          <w:sz w:val="28"/>
          <w:lang w:val="en-US" w:eastAsia="zh-CN"/>
        </w:rPr>
        <w:t>推行排污权交易制度</w:t>
      </w:r>
      <w:bookmarkEnd w:id="291"/>
    </w:p>
    <w:p w14:paraId="4C7F8D40">
      <w:pPr>
        <w:pStyle w:val="9"/>
        <w:pageBreakBefore w:val="0"/>
        <w:kinsoku/>
        <w:wordWrap/>
        <w:overflowPunct/>
        <w:topLinePunct w:val="0"/>
        <w:autoSpaceDE/>
        <w:autoSpaceDN/>
        <w:bidi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在企业排污总量控制制度基础上，尽快完善初始排污权核定，扩大涵盖的污染物覆盖面。在现行以行政区为单元层层分解机制基础上，根据行业先进排污水平，逐步强化以企业为单元进行总量控制、通过排污权交易获得减排收益的机制。在重点流域和大气污染重点区域，合理推进跨行政区排污权交易。扩大排污权有偿使用和交易试点，将更多条件成熟地区纳入试点。加强排污权交易平台建设。制定排污权核定、使用费收取使用和交易价格等规定。</w:t>
      </w:r>
    </w:p>
    <w:p w14:paraId="380B9DB4">
      <w:pPr>
        <w:pStyle w:val="5"/>
        <w:pageBreakBefore w:val="0"/>
        <w:kinsoku/>
        <w:wordWrap/>
        <w:overflowPunct/>
        <w:topLinePunct w:val="0"/>
        <w:autoSpaceDE/>
        <w:autoSpaceDN/>
        <w:bidi w:val="0"/>
        <w:spacing w:before="120" w:after="120" w:line="500" w:lineRule="exact"/>
        <w:ind w:firstLine="0" w:firstLineChars="0"/>
        <w:textAlignment w:val="auto"/>
        <w:rPr>
          <w:rFonts w:hint="default" w:eastAsia="仿宋"/>
          <w:snapToGrid w:val="0"/>
          <w:color w:val="auto"/>
          <w:sz w:val="28"/>
          <w:lang w:val="en-US" w:eastAsia="zh-CN"/>
        </w:rPr>
      </w:pPr>
      <w:bookmarkStart w:id="292" w:name="_Toc26786"/>
      <w:r>
        <w:rPr>
          <w:rFonts w:hint="default" w:eastAsia="仿宋"/>
          <w:snapToGrid w:val="0"/>
          <w:color w:val="auto"/>
          <w:sz w:val="28"/>
          <w:lang w:val="en-US" w:eastAsia="zh-CN"/>
        </w:rPr>
        <w:t>5.</w:t>
      </w:r>
      <w:r>
        <w:rPr>
          <w:rFonts w:hint="eastAsia" w:eastAsia="仿宋"/>
          <w:snapToGrid w:val="0"/>
          <w:color w:val="auto"/>
          <w:sz w:val="28"/>
          <w:lang w:val="en-US" w:eastAsia="zh-CN"/>
        </w:rPr>
        <w:t>5</w:t>
      </w:r>
      <w:r>
        <w:rPr>
          <w:rFonts w:hint="default" w:eastAsia="仿宋"/>
          <w:snapToGrid w:val="0"/>
          <w:color w:val="auto"/>
          <w:sz w:val="28"/>
          <w:lang w:val="en-US" w:eastAsia="zh-CN"/>
        </w:rPr>
        <w:t>.</w:t>
      </w:r>
      <w:r>
        <w:rPr>
          <w:rFonts w:hint="eastAsia" w:eastAsia="仿宋"/>
          <w:snapToGrid w:val="0"/>
          <w:color w:val="auto"/>
          <w:sz w:val="28"/>
          <w:lang w:val="en-US" w:eastAsia="zh-CN"/>
        </w:rPr>
        <w:t>4</w:t>
      </w:r>
      <w:r>
        <w:rPr>
          <w:rFonts w:hint="default" w:eastAsia="仿宋"/>
          <w:snapToGrid w:val="0"/>
          <w:color w:val="auto"/>
          <w:sz w:val="28"/>
          <w:lang w:val="en-US" w:eastAsia="zh-CN"/>
        </w:rPr>
        <w:t>推行水权交易制度</w:t>
      </w:r>
      <w:bookmarkEnd w:id="292"/>
    </w:p>
    <w:p w14:paraId="70CBFB61">
      <w:pPr>
        <w:pStyle w:val="9"/>
        <w:pageBreakBefore w:val="0"/>
        <w:kinsoku/>
        <w:wordWrap/>
        <w:overflowPunct/>
        <w:topLinePunct w:val="0"/>
        <w:autoSpaceDE/>
        <w:autoSpaceDN/>
        <w:bidi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结合水生态补偿机制的建立健全，合理界定和分配水权，探索地区间、流域间、流域上下游、行业间、用水户间等水权交易方式。研究制定水权交易管理办法，明确可交易水权的范围和类型、交易主体和期限、交易价格形成机制、交易平台运作规则等。开展水权交易平台建设</w:t>
      </w:r>
      <w:r>
        <w:rPr>
          <w:rFonts w:hint="eastAsia" w:ascii="Times New Roman" w:hAnsi="Times New Roman" w:eastAsia="方正仿宋_GBK" w:cs="方正仿宋_GBK"/>
          <w:b w:val="0"/>
          <w:bCs w:val="0"/>
          <w:color w:val="auto"/>
          <w:kern w:val="2"/>
          <w:sz w:val="28"/>
          <w:szCs w:val="28"/>
          <w:lang w:val="en-US" w:eastAsia="zh-CN" w:bidi="ar-SA"/>
        </w:rPr>
        <w:t>。</w:t>
      </w:r>
    </w:p>
    <w:p w14:paraId="75A51BD2">
      <w:pPr>
        <w:pStyle w:val="5"/>
        <w:pageBreakBefore w:val="0"/>
        <w:kinsoku/>
        <w:wordWrap/>
        <w:overflowPunct/>
        <w:topLinePunct w:val="0"/>
        <w:autoSpaceDE/>
        <w:autoSpaceDN/>
        <w:bidi w:val="0"/>
        <w:spacing w:before="120" w:after="120" w:line="500" w:lineRule="exact"/>
        <w:ind w:firstLine="0" w:firstLineChars="0"/>
        <w:textAlignment w:val="auto"/>
        <w:rPr>
          <w:rFonts w:hint="default" w:eastAsia="仿宋"/>
          <w:snapToGrid w:val="0"/>
          <w:color w:val="auto"/>
          <w:sz w:val="28"/>
          <w:lang w:val="en-US" w:eastAsia="zh-CN"/>
        </w:rPr>
      </w:pPr>
      <w:bookmarkStart w:id="293" w:name="_Toc24418"/>
      <w:r>
        <w:rPr>
          <w:rFonts w:hint="default" w:eastAsia="仿宋"/>
          <w:snapToGrid w:val="0"/>
          <w:color w:val="auto"/>
          <w:sz w:val="28"/>
          <w:lang w:val="en-US" w:eastAsia="zh-CN"/>
        </w:rPr>
        <w:t>5.</w:t>
      </w:r>
      <w:r>
        <w:rPr>
          <w:rFonts w:hint="eastAsia" w:eastAsia="仿宋"/>
          <w:snapToGrid w:val="0"/>
          <w:color w:val="auto"/>
          <w:sz w:val="28"/>
          <w:lang w:val="en-US" w:eastAsia="zh-CN"/>
        </w:rPr>
        <w:t>5</w:t>
      </w:r>
      <w:r>
        <w:rPr>
          <w:rFonts w:hint="default" w:eastAsia="仿宋"/>
          <w:snapToGrid w:val="0"/>
          <w:color w:val="auto"/>
          <w:sz w:val="28"/>
          <w:lang w:val="en-US" w:eastAsia="zh-CN"/>
        </w:rPr>
        <w:t>.</w:t>
      </w:r>
      <w:r>
        <w:rPr>
          <w:rFonts w:hint="eastAsia" w:eastAsia="仿宋"/>
          <w:snapToGrid w:val="0"/>
          <w:color w:val="auto"/>
          <w:sz w:val="28"/>
          <w:lang w:val="en-US" w:eastAsia="zh-CN"/>
        </w:rPr>
        <w:t>5</w:t>
      </w:r>
      <w:r>
        <w:rPr>
          <w:rFonts w:hint="default" w:eastAsia="仿宋"/>
          <w:snapToGrid w:val="0"/>
          <w:color w:val="auto"/>
          <w:sz w:val="28"/>
          <w:lang w:val="en-US" w:eastAsia="zh-CN"/>
        </w:rPr>
        <w:t>建立绿色金融体系</w:t>
      </w:r>
      <w:bookmarkEnd w:id="293"/>
    </w:p>
    <w:p w14:paraId="28AF6651">
      <w:pPr>
        <w:pStyle w:val="9"/>
        <w:pageBreakBefore w:val="0"/>
        <w:kinsoku/>
        <w:wordWrap/>
        <w:overflowPunct/>
        <w:topLinePunct w:val="0"/>
        <w:autoSpaceDE/>
        <w:autoSpaceDN/>
        <w:bidi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推广绿色信贷，研究采取财政贴息等方式加大扶持力度，鼓励各类金融机构加大绿色信贷的发放力度，明确贷款人的尽职免责要求和环境保护法律责任。加强资本市场相关制度建设，研究设立绿色股票指数和发展相关投资产品，研究银行和企业发行绿色债券，鼓励对绿色信贷资产实行证券化。支持设立各类绿色发展基金，实行市场化运作。建立上市公司环保信息强制性披露机制。完善对节能低碳、生态环保项目的各类担保机制，加大风险补偿力度。在环境高风险领域建立环境污染强制责任保险制度。建立绿色评级体系以及公益性的环境成本核算和影响评估体系。积极推动绿色金融领域各类国际合作。将目前分头设立的环保、节能、节水、循环、低碳、再生、有机等产品统一整合为绿色产品，建立统一的绿色产品标准、认证、标识等体系。完善对绿色产品研发生产、运输配送、购买使用的财税金融支持和政府采购等政策。</w:t>
      </w:r>
    </w:p>
    <w:p w14:paraId="6C3C46E6">
      <w:pPr>
        <w:pStyle w:val="5"/>
        <w:pageBreakBefore w:val="0"/>
        <w:kinsoku/>
        <w:wordWrap/>
        <w:overflowPunct/>
        <w:topLinePunct w:val="0"/>
        <w:autoSpaceDE/>
        <w:autoSpaceDN/>
        <w:bidi w:val="0"/>
        <w:spacing w:before="120" w:after="120" w:line="500" w:lineRule="exact"/>
        <w:ind w:firstLine="0" w:firstLineChars="0"/>
        <w:textAlignment w:val="auto"/>
        <w:rPr>
          <w:rFonts w:eastAsia="仿宋"/>
          <w:snapToGrid w:val="0"/>
          <w:color w:val="auto"/>
          <w:sz w:val="28"/>
        </w:rPr>
      </w:pPr>
      <w:bookmarkStart w:id="294" w:name="_Toc30388"/>
      <w:bookmarkStart w:id="295" w:name="_Toc17403"/>
      <w:r>
        <w:rPr>
          <w:rFonts w:eastAsia="仿宋"/>
          <w:snapToGrid w:val="0"/>
          <w:color w:val="auto"/>
          <w:sz w:val="28"/>
        </w:rPr>
        <w:t>5.</w:t>
      </w:r>
      <w:r>
        <w:rPr>
          <w:rFonts w:hint="eastAsia" w:eastAsia="仿宋"/>
          <w:snapToGrid w:val="0"/>
          <w:color w:val="auto"/>
          <w:sz w:val="28"/>
          <w:lang w:val="en-US" w:eastAsia="zh-CN"/>
        </w:rPr>
        <w:t>5</w:t>
      </w:r>
      <w:r>
        <w:rPr>
          <w:rFonts w:eastAsia="仿宋"/>
          <w:snapToGrid w:val="0"/>
          <w:color w:val="auto"/>
          <w:sz w:val="28"/>
        </w:rPr>
        <w:t>.</w:t>
      </w:r>
      <w:r>
        <w:rPr>
          <w:rFonts w:hint="eastAsia" w:eastAsia="仿宋"/>
          <w:snapToGrid w:val="0"/>
          <w:color w:val="auto"/>
          <w:sz w:val="28"/>
          <w:lang w:val="en-US" w:eastAsia="zh-CN"/>
        </w:rPr>
        <w:t>6</w:t>
      </w:r>
      <w:r>
        <w:rPr>
          <w:rFonts w:eastAsia="仿宋"/>
          <w:snapToGrid w:val="0"/>
          <w:color w:val="auto"/>
          <w:sz w:val="28"/>
        </w:rPr>
        <w:t>健全生态产品价值实现支撑机制</w:t>
      </w:r>
      <w:bookmarkEnd w:id="294"/>
      <w:bookmarkEnd w:id="295"/>
    </w:p>
    <w:p w14:paraId="67976FC9">
      <w:pPr>
        <w:pStyle w:val="9"/>
        <w:pageBreakBefore w:val="0"/>
        <w:kinsoku/>
        <w:wordWrap/>
        <w:overflowPunct/>
        <w:topLinePunct w:val="0"/>
        <w:autoSpaceDE/>
        <w:autoSpaceDN/>
        <w:bidi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建立生态产品价值实现机制。建立生态产品的生产、流通、消费与保护的全过程价值实现机制，积极探索</w:t>
      </w:r>
      <w:r>
        <w:rPr>
          <w:rFonts w:hint="eastAsia" w:ascii="Times New Roman" w:hAnsi="Times New Roman" w:eastAsia="方正仿宋_GBK" w:cs="方正仿宋_GBK"/>
          <w:b w:val="0"/>
          <w:bCs w:val="0"/>
          <w:color w:val="auto"/>
          <w:kern w:val="2"/>
          <w:sz w:val="28"/>
          <w:szCs w:val="28"/>
          <w:lang w:val="en-US" w:eastAsia="zh-CN" w:bidi="ar-SA"/>
        </w:rPr>
        <w:t>“</w:t>
      </w:r>
      <w:r>
        <w:rPr>
          <w:rFonts w:hint="default" w:ascii="Times New Roman" w:hAnsi="Times New Roman" w:eastAsia="方正仿宋_GBK" w:cs="方正仿宋_GBK"/>
          <w:b w:val="0"/>
          <w:bCs w:val="0"/>
          <w:color w:val="auto"/>
          <w:kern w:val="2"/>
          <w:sz w:val="28"/>
          <w:szCs w:val="28"/>
          <w:lang w:val="en-US" w:eastAsia="zh-CN" w:bidi="ar-SA"/>
        </w:rPr>
        <w:t>从资源到资产、从资产到资本</w:t>
      </w:r>
      <w:r>
        <w:rPr>
          <w:rFonts w:hint="eastAsia" w:ascii="Times New Roman" w:hAnsi="Times New Roman" w:eastAsia="方正仿宋_GBK" w:cs="方正仿宋_GBK"/>
          <w:b w:val="0"/>
          <w:bCs w:val="0"/>
          <w:color w:val="auto"/>
          <w:kern w:val="2"/>
          <w:sz w:val="28"/>
          <w:szCs w:val="28"/>
          <w:lang w:val="en-US" w:eastAsia="zh-CN" w:bidi="ar-SA"/>
        </w:rPr>
        <w:t>”</w:t>
      </w:r>
      <w:r>
        <w:rPr>
          <w:rFonts w:hint="default" w:ascii="Times New Roman" w:hAnsi="Times New Roman" w:eastAsia="方正仿宋_GBK" w:cs="方正仿宋_GBK"/>
          <w:b w:val="0"/>
          <w:bCs w:val="0"/>
          <w:color w:val="auto"/>
          <w:kern w:val="2"/>
          <w:sz w:val="28"/>
          <w:szCs w:val="28"/>
          <w:lang w:val="en-US" w:eastAsia="zh-CN" w:bidi="ar-SA"/>
        </w:rPr>
        <w:t>的全链条式生态产品价值实现路径，将资源所有者权益和生态环境损害等纳入自然资源及其产品价格形成机制。在严格保护生态环境前提下，鼓励采取多样化模式和路径，科学合理推动生态产品价值实现，科学运用先进技术实施精深加工，拓展延伸生态产品产业链和价值链，依托资源禀赋打造旅游与康养休闲融合发展的生态旅游开发模式。不断完善投融资机制，为生态产品的价值提供多样化的金融服务。</w:t>
      </w:r>
    </w:p>
    <w:p w14:paraId="73C0108D">
      <w:pPr>
        <w:pStyle w:val="9"/>
        <w:pageBreakBefore w:val="0"/>
        <w:kinsoku/>
        <w:wordWrap/>
        <w:overflowPunct/>
        <w:topLinePunct w:val="0"/>
        <w:autoSpaceDE/>
        <w:autoSpaceDN/>
        <w:bidi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建立生态产品价值评价机制。开展生态产品价值核算指标体系研究，探索建立生态产品价值核算方法，形成生态产品价值核算成果的应用机制，将生态产品价值核算成果作为自然资源有偿使用、生态保护补偿、自然资源损害赔偿和绿色发展考核等重要参考。推动市场化机制对生态产品价值实现的探索。</w:t>
      </w:r>
    </w:p>
    <w:p w14:paraId="78A89601">
      <w:pPr>
        <w:pStyle w:val="9"/>
        <w:pageBreakBefore w:val="0"/>
        <w:kinsoku/>
        <w:wordWrap/>
        <w:overflowPunct/>
        <w:topLinePunct w:val="0"/>
        <w:autoSpaceDE/>
        <w:autoSpaceDN/>
        <w:bidi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建立生态产品价值考核机制。鼓励开展生态产品价值实现的政府考核评估机制，探索将生态产品价值核算结果作为领导干部自然资源资产离任审计的重要参考。</w:t>
      </w:r>
    </w:p>
    <w:p w14:paraId="5D3D5C73">
      <w:pPr>
        <w:pStyle w:val="4"/>
        <w:pageBreakBefore w:val="0"/>
        <w:kinsoku/>
        <w:wordWrap/>
        <w:overflowPunct/>
        <w:topLinePunct w:val="0"/>
        <w:autoSpaceDE/>
        <w:autoSpaceDN/>
        <w:bidi w:val="0"/>
        <w:spacing w:before="260" w:after="260" w:line="500" w:lineRule="exact"/>
        <w:ind w:firstLine="0"/>
        <w:textAlignment w:val="auto"/>
        <w:rPr>
          <w:rFonts w:hint="eastAsia" w:ascii="Times New Roman" w:hAnsi="Times New Roman" w:eastAsia="仿宋" w:cs="Times New Roman"/>
          <w:color w:val="auto"/>
          <w:sz w:val="32"/>
          <w:lang w:val="en-US" w:eastAsia="zh-CN"/>
        </w:rPr>
      </w:pPr>
      <w:bookmarkStart w:id="296" w:name="_Toc24953"/>
      <w:r>
        <w:rPr>
          <w:rFonts w:hint="eastAsia" w:ascii="Times New Roman" w:hAnsi="Times New Roman" w:eastAsia="仿宋" w:cs="Times New Roman"/>
          <w:color w:val="auto"/>
          <w:sz w:val="32"/>
          <w:lang w:val="en-US" w:eastAsia="zh-CN"/>
        </w:rPr>
        <w:t>5.6完善生态文明绩效评价考核和责任追究制度</w:t>
      </w:r>
      <w:bookmarkEnd w:id="296"/>
    </w:p>
    <w:p w14:paraId="33873C37">
      <w:pPr>
        <w:pStyle w:val="5"/>
        <w:pageBreakBefore w:val="0"/>
        <w:kinsoku/>
        <w:wordWrap/>
        <w:overflowPunct/>
        <w:topLinePunct w:val="0"/>
        <w:autoSpaceDE/>
        <w:autoSpaceDN/>
        <w:bidi w:val="0"/>
        <w:spacing w:before="120" w:after="120" w:line="500" w:lineRule="exact"/>
        <w:ind w:firstLine="0" w:firstLineChars="0"/>
        <w:textAlignment w:val="auto"/>
        <w:rPr>
          <w:rFonts w:eastAsia="仿宋"/>
          <w:snapToGrid w:val="0"/>
          <w:color w:val="auto"/>
          <w:sz w:val="28"/>
        </w:rPr>
      </w:pPr>
      <w:bookmarkStart w:id="297" w:name="_Toc22371"/>
      <w:bookmarkStart w:id="298" w:name="_Toc12751"/>
      <w:bookmarkStart w:id="299" w:name="_Toc25774"/>
      <w:r>
        <w:rPr>
          <w:rFonts w:eastAsia="仿宋"/>
          <w:snapToGrid w:val="0"/>
          <w:color w:val="auto"/>
          <w:sz w:val="28"/>
        </w:rPr>
        <w:t>5.</w:t>
      </w:r>
      <w:r>
        <w:rPr>
          <w:rFonts w:hint="eastAsia" w:eastAsia="仿宋"/>
          <w:snapToGrid w:val="0"/>
          <w:color w:val="auto"/>
          <w:sz w:val="28"/>
          <w:lang w:val="en-US" w:eastAsia="zh-CN"/>
        </w:rPr>
        <w:t>6</w:t>
      </w:r>
      <w:r>
        <w:rPr>
          <w:rFonts w:eastAsia="仿宋"/>
          <w:snapToGrid w:val="0"/>
          <w:color w:val="auto"/>
          <w:sz w:val="28"/>
        </w:rPr>
        <w:t>.1完善生态文明建设目标责任制度</w:t>
      </w:r>
      <w:bookmarkEnd w:id="297"/>
      <w:bookmarkEnd w:id="298"/>
      <w:bookmarkEnd w:id="299"/>
    </w:p>
    <w:p w14:paraId="73C6F09B">
      <w:pPr>
        <w:pStyle w:val="9"/>
        <w:pageBreakBefore w:val="0"/>
        <w:kinsoku/>
        <w:wordWrap/>
        <w:overflowPunct/>
        <w:topLinePunct w:val="0"/>
        <w:autoSpaceDE/>
        <w:autoSpaceDN/>
        <w:bidi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全面落实</w:t>
      </w:r>
      <w:r>
        <w:rPr>
          <w:rFonts w:hint="eastAsia" w:ascii="Times New Roman" w:hAnsi="Times New Roman" w:eastAsia="方正仿宋_GBK" w:cs="方正仿宋_GBK"/>
          <w:b w:val="0"/>
          <w:bCs w:val="0"/>
          <w:color w:val="auto"/>
          <w:kern w:val="2"/>
          <w:sz w:val="28"/>
          <w:szCs w:val="28"/>
          <w:lang w:val="en-US" w:eastAsia="zh-CN" w:bidi="ar-SA"/>
        </w:rPr>
        <w:t>《新平县市级有关部门生态环境保护责任清单》</w:t>
      </w:r>
      <w:r>
        <w:rPr>
          <w:rFonts w:hint="default" w:ascii="Times New Roman" w:hAnsi="Times New Roman" w:eastAsia="方正仿宋_GBK" w:cs="方正仿宋_GBK"/>
          <w:b w:val="0"/>
          <w:bCs w:val="0"/>
          <w:color w:val="auto"/>
          <w:kern w:val="2"/>
          <w:sz w:val="28"/>
          <w:szCs w:val="28"/>
          <w:lang w:val="en-US" w:eastAsia="zh-CN" w:bidi="ar-SA"/>
        </w:rPr>
        <w:t>，实施政府部门生态文明建设目标年度评价、考核机制，完善</w:t>
      </w:r>
      <w:r>
        <w:rPr>
          <w:rFonts w:hint="eastAsia" w:ascii="Times New Roman" w:hAnsi="Times New Roman" w:eastAsia="方正仿宋_GBK" w:cs="方正仿宋_GBK"/>
          <w:b w:val="0"/>
          <w:bCs w:val="0"/>
          <w:color w:val="auto"/>
          <w:kern w:val="2"/>
          <w:sz w:val="28"/>
          <w:szCs w:val="28"/>
          <w:lang w:val="en-US" w:eastAsia="zh-CN" w:bidi="ar-SA"/>
        </w:rPr>
        <w:t>新平县</w:t>
      </w:r>
      <w:r>
        <w:rPr>
          <w:rFonts w:hint="default" w:ascii="Times New Roman" w:hAnsi="Times New Roman" w:eastAsia="方正仿宋_GBK" w:cs="方正仿宋_GBK"/>
          <w:b w:val="0"/>
          <w:bCs w:val="0"/>
          <w:color w:val="auto"/>
          <w:kern w:val="2"/>
          <w:sz w:val="28"/>
          <w:szCs w:val="28"/>
          <w:lang w:val="en-US" w:eastAsia="zh-CN" w:bidi="ar-SA"/>
        </w:rPr>
        <w:t>生态文明综合考评办法和指标体系，推动考评重点向绿色发展和生态建设等高质量发展指标转变。考核结果向社会公布，并作为</w:t>
      </w:r>
      <w:r>
        <w:rPr>
          <w:rFonts w:hint="eastAsia" w:ascii="Times New Roman" w:hAnsi="Times New Roman" w:eastAsia="方正仿宋_GBK" w:cs="方正仿宋_GBK"/>
          <w:b w:val="0"/>
          <w:bCs w:val="0"/>
          <w:color w:val="auto"/>
          <w:kern w:val="2"/>
          <w:sz w:val="28"/>
          <w:szCs w:val="28"/>
          <w:lang w:val="en-US" w:eastAsia="zh-CN" w:bidi="ar-SA"/>
        </w:rPr>
        <w:t>各级</w:t>
      </w:r>
      <w:r>
        <w:rPr>
          <w:rFonts w:hint="default" w:ascii="Times New Roman" w:hAnsi="Times New Roman" w:eastAsia="方正仿宋_GBK" w:cs="方正仿宋_GBK"/>
          <w:b w:val="0"/>
          <w:bCs w:val="0"/>
          <w:color w:val="auto"/>
          <w:kern w:val="2"/>
          <w:sz w:val="28"/>
          <w:szCs w:val="28"/>
          <w:lang w:val="en-US" w:eastAsia="zh-CN" w:bidi="ar-SA"/>
        </w:rPr>
        <w:t>党政领导班子和领导干部综合考核评价、干部奖惩任免的重要依据。完善奖惩分明的工作激励机制，发挥考评的导向和激励作用。提高生态文明建设工作在党政实绩考核中的比例，将资源消耗、环境损害、生态效益等绿色发展指标纳入党政实绩考核范畴，制定生态文明建设的年度计划，分解落实生态文明建设任务，确保规划编制的各项工程和任务顺利落实。将</w:t>
      </w:r>
      <w:r>
        <w:rPr>
          <w:rFonts w:hint="eastAsia" w:ascii="Times New Roman" w:hAnsi="Times New Roman" w:eastAsia="方正仿宋_GBK" w:cs="方正仿宋_GBK"/>
          <w:b w:val="0"/>
          <w:bCs w:val="0"/>
          <w:color w:val="auto"/>
          <w:kern w:val="2"/>
          <w:sz w:val="28"/>
          <w:szCs w:val="28"/>
          <w:lang w:val="en-US" w:eastAsia="zh-CN" w:bidi="ar-SA"/>
        </w:rPr>
        <w:t>全县</w:t>
      </w:r>
      <w:r>
        <w:rPr>
          <w:rFonts w:hint="default" w:ascii="Times New Roman" w:hAnsi="Times New Roman" w:eastAsia="方正仿宋_GBK" w:cs="方正仿宋_GBK"/>
          <w:b w:val="0"/>
          <w:bCs w:val="0"/>
          <w:color w:val="auto"/>
          <w:kern w:val="2"/>
          <w:sz w:val="28"/>
          <w:szCs w:val="28"/>
          <w:lang w:val="en-US" w:eastAsia="zh-CN" w:bidi="ar-SA"/>
        </w:rPr>
        <w:t>生态文明建设目标达标情况以及生态文明建设重点任务、措施完成情况纳入部门考核，确保生态文明建设工作占党政实绩考核的比例达到</w:t>
      </w:r>
      <w:r>
        <w:rPr>
          <w:rFonts w:hint="eastAsia" w:ascii="Times New Roman" w:hAnsi="Times New Roman" w:eastAsia="方正仿宋_GBK" w:cs="方正仿宋_GBK"/>
          <w:b w:val="0"/>
          <w:bCs w:val="0"/>
          <w:color w:val="auto"/>
          <w:kern w:val="2"/>
          <w:sz w:val="28"/>
          <w:szCs w:val="28"/>
          <w:highlight w:val="yellow"/>
          <w:lang w:val="en-US" w:eastAsia="zh-CN" w:bidi="ar-SA"/>
        </w:rPr>
        <w:t>24</w:t>
      </w:r>
      <w:r>
        <w:rPr>
          <w:rFonts w:hint="default" w:ascii="Times New Roman" w:hAnsi="Times New Roman" w:eastAsia="方正仿宋_GBK" w:cs="方正仿宋_GBK"/>
          <w:b w:val="0"/>
          <w:bCs w:val="0"/>
          <w:color w:val="auto"/>
          <w:kern w:val="2"/>
          <w:sz w:val="28"/>
          <w:szCs w:val="28"/>
          <w:highlight w:val="yellow"/>
          <w:lang w:val="en-US" w:eastAsia="zh-CN" w:bidi="ar-SA"/>
        </w:rPr>
        <w:t>%</w:t>
      </w:r>
      <w:r>
        <w:rPr>
          <w:rFonts w:hint="default" w:ascii="Times New Roman" w:hAnsi="Times New Roman" w:eastAsia="方正仿宋_GBK" w:cs="方正仿宋_GBK"/>
          <w:b w:val="0"/>
          <w:bCs w:val="0"/>
          <w:color w:val="auto"/>
          <w:kern w:val="2"/>
          <w:sz w:val="28"/>
          <w:szCs w:val="28"/>
          <w:lang w:val="en-US" w:eastAsia="zh-CN" w:bidi="ar-SA"/>
        </w:rPr>
        <w:t>以上。</w:t>
      </w:r>
    </w:p>
    <w:p w14:paraId="0DB8DB84">
      <w:pPr>
        <w:pStyle w:val="5"/>
        <w:pageBreakBefore w:val="0"/>
        <w:kinsoku/>
        <w:wordWrap/>
        <w:overflowPunct/>
        <w:topLinePunct w:val="0"/>
        <w:autoSpaceDE/>
        <w:autoSpaceDN/>
        <w:bidi w:val="0"/>
        <w:spacing w:before="120" w:after="120" w:line="500" w:lineRule="exact"/>
        <w:ind w:firstLine="0" w:firstLineChars="0"/>
        <w:textAlignment w:val="auto"/>
        <w:rPr>
          <w:rFonts w:eastAsia="仿宋"/>
          <w:snapToGrid w:val="0"/>
          <w:color w:val="auto"/>
          <w:sz w:val="28"/>
        </w:rPr>
      </w:pPr>
      <w:bookmarkStart w:id="300" w:name="_Toc18139"/>
      <w:bookmarkStart w:id="301" w:name="_Toc20342"/>
      <w:bookmarkStart w:id="302" w:name="_Toc28004"/>
      <w:r>
        <w:rPr>
          <w:rFonts w:eastAsia="仿宋"/>
          <w:snapToGrid w:val="0"/>
          <w:color w:val="auto"/>
          <w:sz w:val="28"/>
        </w:rPr>
        <w:t>5.</w:t>
      </w:r>
      <w:r>
        <w:rPr>
          <w:rFonts w:hint="eastAsia" w:eastAsia="仿宋"/>
          <w:snapToGrid w:val="0"/>
          <w:color w:val="auto"/>
          <w:sz w:val="28"/>
          <w:lang w:val="en-US" w:eastAsia="zh-CN"/>
        </w:rPr>
        <w:t>6</w:t>
      </w:r>
      <w:r>
        <w:rPr>
          <w:rFonts w:eastAsia="仿宋"/>
          <w:snapToGrid w:val="0"/>
          <w:color w:val="auto"/>
          <w:sz w:val="28"/>
        </w:rPr>
        <w:t>.2完善生态环境损害责任追究制度</w:t>
      </w:r>
      <w:bookmarkEnd w:id="300"/>
      <w:bookmarkEnd w:id="301"/>
      <w:bookmarkEnd w:id="302"/>
    </w:p>
    <w:p w14:paraId="7889AC25">
      <w:pPr>
        <w:pageBreakBefore w:val="0"/>
        <w:widowControl/>
        <w:kinsoku/>
        <w:wordWrap/>
        <w:overflowPunct/>
        <w:topLinePunct w:val="0"/>
        <w:autoSpaceDE/>
        <w:autoSpaceDN/>
        <w:bidi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完善生态环境损害责任终身追究制度。严格落实《云南省党政领导干部生态环境损害责任追究实施细则（试行）》，严格责任追究，对造成生态环境损害的，依据《党政领导干部生态环境损害责任追究办法（试行）》追究有关领导干部责任，不论是否已调离、提拔或退休，落实终身追责。加强生态文明考核与责任追究的统筹协调，建立落实保障制度。对不顾资源和生态环境盲目决策、造成严重后果的，严肃追究有关人员的领导责任；对履职不力、监管不严、失职渎职的，依纪依法追究有关人员的监管责任。</w:t>
      </w:r>
    </w:p>
    <w:p w14:paraId="6E4F2EDF">
      <w:pPr>
        <w:pStyle w:val="5"/>
        <w:pageBreakBefore w:val="0"/>
        <w:kinsoku/>
        <w:wordWrap/>
        <w:overflowPunct/>
        <w:topLinePunct w:val="0"/>
        <w:autoSpaceDE/>
        <w:autoSpaceDN/>
        <w:bidi w:val="0"/>
        <w:spacing w:before="120" w:after="120" w:line="500" w:lineRule="exact"/>
        <w:ind w:firstLine="0" w:firstLineChars="0"/>
        <w:textAlignment w:val="auto"/>
        <w:rPr>
          <w:rFonts w:eastAsia="仿宋"/>
          <w:snapToGrid w:val="0"/>
          <w:color w:val="auto"/>
          <w:sz w:val="28"/>
        </w:rPr>
      </w:pPr>
      <w:bookmarkStart w:id="303" w:name="_Toc4014"/>
      <w:bookmarkStart w:id="304" w:name="_Toc13592"/>
      <w:bookmarkStart w:id="305" w:name="_Toc31730"/>
      <w:r>
        <w:rPr>
          <w:rFonts w:eastAsia="仿宋"/>
          <w:snapToGrid w:val="0"/>
          <w:color w:val="auto"/>
          <w:sz w:val="28"/>
        </w:rPr>
        <w:t>5.</w:t>
      </w:r>
      <w:r>
        <w:rPr>
          <w:rFonts w:hint="eastAsia" w:eastAsia="仿宋"/>
          <w:snapToGrid w:val="0"/>
          <w:color w:val="auto"/>
          <w:sz w:val="28"/>
          <w:lang w:val="en-US" w:eastAsia="zh-CN"/>
        </w:rPr>
        <w:t>6</w:t>
      </w:r>
      <w:r>
        <w:rPr>
          <w:rFonts w:eastAsia="仿宋"/>
          <w:snapToGrid w:val="0"/>
          <w:color w:val="auto"/>
          <w:sz w:val="28"/>
        </w:rPr>
        <w:t>.3健全自然资源资产离任审计制度</w:t>
      </w:r>
      <w:bookmarkEnd w:id="303"/>
      <w:bookmarkEnd w:id="304"/>
      <w:bookmarkEnd w:id="305"/>
    </w:p>
    <w:p w14:paraId="7DCAFC87">
      <w:pPr>
        <w:pageBreakBefore w:val="0"/>
        <w:widowControl/>
        <w:kinsoku/>
        <w:wordWrap/>
        <w:overflowPunct/>
        <w:topLinePunct w:val="0"/>
        <w:autoSpaceDE/>
        <w:autoSpaceDN/>
        <w:bidi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推进领导干部自然资源资产离任审计。摸清自然资源资产现状，编制资产负债表，建立资产数据档案。以土地、水、矿产、森林等各种自然资源资产为审计对象开展自然资源资产离任审计，以领导干部任期内辖区自然资源资产变化状况为基础，客观评价领导干部履行自然资源资产管理责任情况，依法界定领导干部应当承担的责任，强化领导干部任职期间履行自然资源资产管理和生态环境保护责任，促进自然资源资产节约集约利用和生态环境安全。明确自然资源资产离任审计的工作机制、审计内容、审计评价、审计结果运用。</w:t>
      </w:r>
    </w:p>
    <w:p w14:paraId="60043F81">
      <w:pPr>
        <w:pStyle w:val="5"/>
        <w:pageBreakBefore w:val="0"/>
        <w:kinsoku/>
        <w:wordWrap/>
        <w:overflowPunct/>
        <w:topLinePunct w:val="0"/>
        <w:autoSpaceDE/>
        <w:autoSpaceDN/>
        <w:bidi w:val="0"/>
        <w:spacing w:before="120" w:after="120" w:line="500" w:lineRule="exact"/>
        <w:ind w:firstLine="0" w:firstLineChars="0"/>
        <w:textAlignment w:val="auto"/>
        <w:rPr>
          <w:rFonts w:eastAsia="仿宋"/>
          <w:snapToGrid w:val="0"/>
          <w:color w:val="auto"/>
          <w:sz w:val="28"/>
        </w:rPr>
      </w:pPr>
      <w:bookmarkStart w:id="306" w:name="_Toc86"/>
      <w:bookmarkStart w:id="307" w:name="_Toc10417"/>
      <w:bookmarkStart w:id="308" w:name="_Toc18609"/>
      <w:r>
        <w:rPr>
          <w:rFonts w:eastAsia="仿宋"/>
          <w:snapToGrid w:val="0"/>
          <w:color w:val="auto"/>
          <w:sz w:val="28"/>
        </w:rPr>
        <w:t>5.</w:t>
      </w:r>
      <w:r>
        <w:rPr>
          <w:rFonts w:hint="eastAsia" w:eastAsia="仿宋"/>
          <w:snapToGrid w:val="0"/>
          <w:color w:val="auto"/>
          <w:sz w:val="28"/>
          <w:lang w:val="en-US" w:eastAsia="zh-CN"/>
        </w:rPr>
        <w:t>6</w:t>
      </w:r>
      <w:r>
        <w:rPr>
          <w:rFonts w:eastAsia="仿宋"/>
          <w:snapToGrid w:val="0"/>
          <w:color w:val="auto"/>
          <w:sz w:val="28"/>
        </w:rPr>
        <w:t>.4健全生态环境损害赔偿制度</w:t>
      </w:r>
      <w:bookmarkEnd w:id="306"/>
      <w:bookmarkEnd w:id="307"/>
      <w:bookmarkEnd w:id="308"/>
    </w:p>
    <w:p w14:paraId="6E016264">
      <w:pPr>
        <w:pageBreakBefore w:val="0"/>
        <w:widowControl/>
        <w:kinsoku/>
        <w:wordWrap/>
        <w:overflowPunct/>
        <w:topLinePunct w:val="0"/>
        <w:autoSpaceDE/>
        <w:autoSpaceDN/>
        <w:bidi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严格落实《云南省生态环境损害赔偿制度改革试点工作实施方案》《曲靖市生态环境损害赔偿制度改革实施方案》，持续推进生态环境损害赔偿制度改革，把环境损害纳入</w:t>
      </w:r>
      <w:r>
        <w:rPr>
          <w:rFonts w:hint="eastAsia" w:ascii="Times New Roman" w:hAnsi="Times New Roman" w:eastAsia="方正仿宋_GBK" w:cs="方正仿宋_GBK"/>
          <w:b w:val="0"/>
          <w:bCs w:val="0"/>
          <w:color w:val="auto"/>
          <w:kern w:val="2"/>
          <w:sz w:val="28"/>
          <w:szCs w:val="28"/>
          <w:lang w:val="en-US" w:eastAsia="zh-CN" w:bidi="ar-SA"/>
        </w:rPr>
        <w:t>全县</w:t>
      </w:r>
      <w:r>
        <w:rPr>
          <w:rFonts w:hint="default" w:ascii="Times New Roman" w:hAnsi="Times New Roman" w:eastAsia="方正仿宋_GBK" w:cs="方正仿宋_GBK"/>
          <w:b w:val="0"/>
          <w:bCs w:val="0"/>
          <w:color w:val="auto"/>
          <w:kern w:val="2"/>
          <w:sz w:val="28"/>
          <w:szCs w:val="28"/>
          <w:lang w:val="en-US" w:eastAsia="zh-CN" w:bidi="ar-SA"/>
        </w:rPr>
        <w:t>经济社会发展评价体系，对污染环境、破坏生态行为</w:t>
      </w:r>
      <w:r>
        <w:rPr>
          <w:rFonts w:hint="eastAsia" w:ascii="Times New Roman" w:hAnsi="Times New Roman" w:eastAsia="方正仿宋_GBK" w:cs="方正仿宋_GBK"/>
          <w:b w:val="0"/>
          <w:bCs w:val="0"/>
          <w:color w:val="auto"/>
          <w:kern w:val="2"/>
          <w:sz w:val="28"/>
          <w:szCs w:val="28"/>
          <w:lang w:val="en-US" w:eastAsia="zh-CN" w:bidi="ar-SA"/>
        </w:rPr>
        <w:t>“</w:t>
      </w:r>
      <w:r>
        <w:rPr>
          <w:rFonts w:hint="default" w:ascii="Times New Roman" w:hAnsi="Times New Roman" w:eastAsia="方正仿宋_GBK" w:cs="方正仿宋_GBK"/>
          <w:b w:val="0"/>
          <w:bCs w:val="0"/>
          <w:color w:val="auto"/>
          <w:kern w:val="2"/>
          <w:sz w:val="28"/>
          <w:szCs w:val="28"/>
          <w:lang w:val="en-US" w:eastAsia="zh-CN" w:bidi="ar-SA"/>
        </w:rPr>
        <w:t>零容忍</w:t>
      </w:r>
      <w:r>
        <w:rPr>
          <w:rFonts w:hint="eastAsia" w:ascii="Times New Roman" w:hAnsi="Times New Roman" w:eastAsia="方正仿宋_GBK" w:cs="方正仿宋_GBK"/>
          <w:b w:val="0"/>
          <w:bCs w:val="0"/>
          <w:color w:val="auto"/>
          <w:kern w:val="2"/>
          <w:sz w:val="28"/>
          <w:szCs w:val="28"/>
          <w:lang w:val="en-US" w:eastAsia="zh-CN" w:bidi="ar-SA"/>
        </w:rPr>
        <w:t>”</w:t>
      </w:r>
      <w:r>
        <w:rPr>
          <w:rFonts w:hint="default" w:ascii="Times New Roman" w:hAnsi="Times New Roman" w:eastAsia="方正仿宋_GBK" w:cs="方正仿宋_GBK"/>
          <w:b w:val="0"/>
          <w:bCs w:val="0"/>
          <w:color w:val="auto"/>
          <w:kern w:val="2"/>
          <w:sz w:val="28"/>
          <w:szCs w:val="28"/>
          <w:lang w:val="en-US" w:eastAsia="zh-CN" w:bidi="ar-SA"/>
        </w:rPr>
        <w:t>。加强生态环境损害赔偿能力建设，形成相应的鉴定评估管理和技术体系、资金保障和运行机制。强化生态环境损害者环境保护法律责任，加大造成生态环境损害的企业和个人的违法违规成本，形成环境有价、损害担责的社会氛围，有效遏制环境污染和生态破坏行为。坚持依法推进环境损害司法鉴定评估规范化管理，加大对重特大环境事件的责任追究力度。探索建立环境污染损害赔偿责任风险基金，鼓励推行环境污染损害责任保险制度。构建责任明确、途径畅通、机制完善、技术规范、保障有力、公开透明、赔偿到位、修复有效的生态环境损害赔偿制度。</w:t>
      </w:r>
    </w:p>
    <w:p w14:paraId="24B95CB4">
      <w:pPr>
        <w:pStyle w:val="5"/>
        <w:pageBreakBefore w:val="0"/>
        <w:kinsoku/>
        <w:wordWrap/>
        <w:overflowPunct/>
        <w:topLinePunct w:val="0"/>
        <w:autoSpaceDE/>
        <w:autoSpaceDN/>
        <w:bidi w:val="0"/>
        <w:spacing w:before="120" w:after="120" w:line="500" w:lineRule="exact"/>
        <w:ind w:firstLine="0" w:firstLineChars="0"/>
        <w:textAlignment w:val="auto"/>
        <w:rPr>
          <w:rFonts w:eastAsia="仿宋"/>
          <w:snapToGrid w:val="0"/>
          <w:color w:val="auto"/>
          <w:sz w:val="28"/>
        </w:rPr>
      </w:pPr>
      <w:bookmarkStart w:id="309" w:name="_Toc6057"/>
      <w:bookmarkStart w:id="310" w:name="_Toc23833"/>
      <w:bookmarkStart w:id="311" w:name="_Toc18231"/>
      <w:r>
        <w:rPr>
          <w:rFonts w:eastAsia="仿宋"/>
          <w:snapToGrid w:val="0"/>
          <w:color w:val="auto"/>
          <w:sz w:val="28"/>
        </w:rPr>
        <w:t>5.</w:t>
      </w:r>
      <w:r>
        <w:rPr>
          <w:rFonts w:hint="eastAsia" w:eastAsia="仿宋"/>
          <w:snapToGrid w:val="0"/>
          <w:color w:val="auto"/>
          <w:sz w:val="28"/>
          <w:lang w:val="en-US" w:eastAsia="zh-CN"/>
        </w:rPr>
        <w:t>6</w:t>
      </w:r>
      <w:r>
        <w:rPr>
          <w:rFonts w:eastAsia="仿宋"/>
          <w:snapToGrid w:val="0"/>
          <w:color w:val="auto"/>
          <w:sz w:val="28"/>
        </w:rPr>
        <w:t>.5落实企业生态环境保护责任</w:t>
      </w:r>
      <w:bookmarkEnd w:id="309"/>
      <w:bookmarkEnd w:id="310"/>
      <w:bookmarkEnd w:id="311"/>
    </w:p>
    <w:p w14:paraId="076BCCC0">
      <w:pPr>
        <w:pageBreakBefore w:val="0"/>
        <w:widowControl/>
        <w:kinsoku/>
        <w:wordWrap/>
        <w:overflowPunct/>
        <w:topLinePunct w:val="0"/>
        <w:autoSpaceDE/>
        <w:autoSpaceDN/>
        <w:bidi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企事业单位和其他生产经营者应自觉遵守环境保护法律法规，落实各项环境管理制度，履行环境保护义务，接受社会监督，承担污染治理、损害赔偿和生态修复责任，健全环境治理企业责任体系。</w:t>
      </w:r>
    </w:p>
    <w:p w14:paraId="4C33E2EF">
      <w:pPr>
        <w:pageBreakBefore w:val="0"/>
        <w:widowControl/>
        <w:kinsoku/>
        <w:wordWrap/>
        <w:overflowPunct/>
        <w:topLinePunct w:val="0"/>
        <w:autoSpaceDE/>
        <w:autoSpaceDN/>
        <w:bidi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严格落实排污许可管理制度。排污单位应落实环境治理主体责任，依法申领排污许可证或进行排污登记，不得无证排污，切实履行排污许可的法定责任。排污单位应当遵守排污许可证规定，规范化建设污染物排放口，开展自行监测、建立环境管理台账记录制度并如实记录、填报并提交排污许可证执行报告、公开污染物排放信息，加强证后管理。</w:t>
      </w:r>
    </w:p>
    <w:p w14:paraId="63C7C76C">
      <w:pPr>
        <w:pageBreakBefore w:val="0"/>
        <w:widowControl/>
        <w:kinsoku/>
        <w:wordWrap/>
        <w:overflowPunct/>
        <w:topLinePunct w:val="0"/>
        <w:autoSpaceDE/>
        <w:autoSpaceDN/>
        <w:bidi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推进生产服务绿色化。加快</w:t>
      </w:r>
      <w:r>
        <w:rPr>
          <w:rFonts w:hint="eastAsia" w:ascii="Times New Roman" w:hAnsi="Times New Roman" w:eastAsia="方正仿宋_GBK" w:cs="方正仿宋_GBK"/>
          <w:b w:val="0"/>
          <w:bCs w:val="0"/>
          <w:color w:val="auto"/>
          <w:kern w:val="2"/>
          <w:sz w:val="28"/>
          <w:szCs w:val="28"/>
          <w:lang w:val="en-US" w:eastAsia="zh-CN" w:bidi="ar-SA"/>
        </w:rPr>
        <w:t>新平县</w:t>
      </w:r>
      <w:r>
        <w:rPr>
          <w:rFonts w:hint="default" w:ascii="Times New Roman" w:hAnsi="Times New Roman" w:eastAsia="方正仿宋_GBK" w:cs="方正仿宋_GBK"/>
          <w:b w:val="0"/>
          <w:bCs w:val="0"/>
          <w:color w:val="auto"/>
          <w:kern w:val="2"/>
          <w:sz w:val="28"/>
          <w:szCs w:val="28"/>
          <w:lang w:val="en-US" w:eastAsia="zh-CN" w:bidi="ar-SA"/>
        </w:rPr>
        <w:t>煤炭产业转型升级</w:t>
      </w:r>
      <w:r>
        <w:rPr>
          <w:rFonts w:hint="eastAsia" w:ascii="Times New Roman" w:hAnsi="Times New Roman" w:eastAsia="方正仿宋_GBK" w:cs="方正仿宋_GBK"/>
          <w:b w:val="0"/>
          <w:bCs w:val="0"/>
          <w:color w:val="auto"/>
          <w:kern w:val="2"/>
          <w:sz w:val="28"/>
          <w:szCs w:val="28"/>
          <w:lang w:val="en-US" w:eastAsia="zh-CN" w:bidi="ar-SA"/>
        </w:rPr>
        <w:t>，</w:t>
      </w:r>
      <w:r>
        <w:rPr>
          <w:rFonts w:hint="default" w:ascii="Times New Roman" w:hAnsi="Times New Roman" w:eastAsia="方正仿宋_GBK" w:cs="方正仿宋_GBK"/>
          <w:b w:val="0"/>
          <w:bCs w:val="0"/>
          <w:color w:val="auto"/>
          <w:kern w:val="2"/>
          <w:sz w:val="28"/>
          <w:szCs w:val="28"/>
          <w:lang w:val="en-US" w:eastAsia="zh-CN" w:bidi="ar-SA"/>
        </w:rPr>
        <w:t>落实生产者责任延伸制度，全面推行</w:t>
      </w:r>
      <w:r>
        <w:rPr>
          <w:rFonts w:hint="eastAsia" w:ascii="Times New Roman" w:hAnsi="Times New Roman" w:eastAsia="方正仿宋_GBK" w:cs="方正仿宋_GBK"/>
          <w:b w:val="0"/>
          <w:bCs w:val="0"/>
          <w:color w:val="auto"/>
          <w:kern w:val="2"/>
          <w:sz w:val="28"/>
          <w:szCs w:val="28"/>
          <w:lang w:val="en-US" w:eastAsia="zh-CN" w:bidi="ar-SA"/>
        </w:rPr>
        <w:t>“</w:t>
      </w:r>
      <w:r>
        <w:rPr>
          <w:rFonts w:hint="default" w:ascii="Times New Roman" w:hAnsi="Times New Roman" w:eastAsia="方正仿宋_GBK" w:cs="方正仿宋_GBK"/>
          <w:b w:val="0"/>
          <w:bCs w:val="0"/>
          <w:color w:val="auto"/>
          <w:kern w:val="2"/>
          <w:sz w:val="28"/>
          <w:szCs w:val="28"/>
          <w:lang w:val="en-US" w:eastAsia="zh-CN" w:bidi="ar-SA"/>
        </w:rPr>
        <w:t>源头减量、过程控制、纵向延伸、横向耦合、末端再生</w:t>
      </w:r>
      <w:r>
        <w:rPr>
          <w:rFonts w:hint="eastAsia" w:ascii="Times New Roman" w:hAnsi="Times New Roman" w:eastAsia="方正仿宋_GBK" w:cs="方正仿宋_GBK"/>
          <w:b w:val="0"/>
          <w:bCs w:val="0"/>
          <w:color w:val="auto"/>
          <w:kern w:val="2"/>
          <w:sz w:val="28"/>
          <w:szCs w:val="28"/>
          <w:lang w:val="en-US" w:eastAsia="zh-CN" w:bidi="ar-SA"/>
        </w:rPr>
        <w:t>”</w:t>
      </w:r>
      <w:r>
        <w:rPr>
          <w:rFonts w:hint="default" w:ascii="Times New Roman" w:hAnsi="Times New Roman" w:eastAsia="方正仿宋_GBK" w:cs="方正仿宋_GBK"/>
          <w:b w:val="0"/>
          <w:bCs w:val="0"/>
          <w:color w:val="auto"/>
          <w:kern w:val="2"/>
          <w:sz w:val="28"/>
          <w:szCs w:val="28"/>
          <w:lang w:val="en-US" w:eastAsia="zh-CN" w:bidi="ar-SA"/>
        </w:rPr>
        <w:t>的绿色生产方式，加大清洁生产力度，落实节能减排任务和措施，加强全过程管理，提供生产和服务过程清洁化、消费模式绿色化的产品及服务，减少资源消耗和污染物排放。大力开展技术创新，特别是现代化产业体系和绿色技术创新，引导</w:t>
      </w:r>
      <w:r>
        <w:rPr>
          <w:rFonts w:hint="eastAsia" w:ascii="Times New Roman" w:hAnsi="Times New Roman" w:eastAsia="方正仿宋_GBK" w:cs="方正仿宋_GBK"/>
          <w:b w:val="0"/>
          <w:bCs w:val="0"/>
          <w:color w:val="auto"/>
          <w:kern w:val="2"/>
          <w:sz w:val="28"/>
          <w:szCs w:val="28"/>
          <w:lang w:val="en-US" w:eastAsia="zh-CN" w:bidi="ar-SA"/>
        </w:rPr>
        <w:t>新平县及经开区各工业</w:t>
      </w:r>
      <w:r>
        <w:rPr>
          <w:rFonts w:hint="default" w:ascii="Times New Roman" w:hAnsi="Times New Roman" w:eastAsia="方正仿宋_GBK" w:cs="方正仿宋_GBK"/>
          <w:b w:val="0"/>
          <w:bCs w:val="0"/>
          <w:color w:val="auto"/>
          <w:kern w:val="2"/>
          <w:sz w:val="28"/>
          <w:szCs w:val="28"/>
          <w:lang w:val="en-US" w:eastAsia="zh-CN" w:bidi="ar-SA"/>
        </w:rPr>
        <w:t>企业推动生产工艺技术和装备升级改造。大力推广</w:t>
      </w:r>
      <w:r>
        <w:rPr>
          <w:rFonts w:hint="eastAsia" w:ascii="Times New Roman" w:hAnsi="Times New Roman" w:eastAsia="方正仿宋_GBK" w:cs="方正仿宋_GBK"/>
          <w:b w:val="0"/>
          <w:bCs w:val="0"/>
          <w:color w:val="auto"/>
          <w:kern w:val="2"/>
          <w:sz w:val="28"/>
          <w:szCs w:val="28"/>
          <w:lang w:val="en-US" w:eastAsia="zh-CN" w:bidi="ar-SA"/>
        </w:rPr>
        <w:t>企业开展清洁生产及成效评估，针对集中产业集群和用能相对较高的磷化工、煤焦等行业开展</w:t>
      </w:r>
      <w:r>
        <w:rPr>
          <w:rFonts w:hint="default" w:ascii="Times New Roman" w:hAnsi="Times New Roman" w:eastAsia="方正仿宋_GBK" w:cs="方正仿宋_GBK"/>
          <w:b w:val="0"/>
          <w:bCs w:val="0"/>
          <w:color w:val="auto"/>
          <w:kern w:val="2"/>
          <w:sz w:val="28"/>
          <w:szCs w:val="28"/>
          <w:lang w:val="en-US" w:eastAsia="zh-CN" w:bidi="ar-SA"/>
        </w:rPr>
        <w:t>节能技术</w:t>
      </w:r>
      <w:r>
        <w:rPr>
          <w:rFonts w:hint="eastAsia" w:ascii="Times New Roman" w:hAnsi="Times New Roman" w:eastAsia="方正仿宋_GBK" w:cs="方正仿宋_GBK"/>
          <w:b w:val="0"/>
          <w:bCs w:val="0"/>
          <w:color w:val="auto"/>
          <w:kern w:val="2"/>
          <w:sz w:val="28"/>
          <w:szCs w:val="28"/>
          <w:lang w:val="en-US" w:eastAsia="zh-CN" w:bidi="ar-SA"/>
        </w:rPr>
        <w:t>试点</w:t>
      </w:r>
      <w:r>
        <w:rPr>
          <w:rFonts w:hint="default" w:ascii="Times New Roman" w:hAnsi="Times New Roman" w:eastAsia="方正仿宋_GBK" w:cs="方正仿宋_GBK"/>
          <w:b w:val="0"/>
          <w:bCs w:val="0"/>
          <w:color w:val="auto"/>
          <w:kern w:val="2"/>
          <w:sz w:val="28"/>
          <w:szCs w:val="28"/>
          <w:lang w:val="en-US" w:eastAsia="zh-CN" w:bidi="ar-SA"/>
        </w:rPr>
        <w:t>，实施碳减排示范重点工程。支持企业开展资源能源节约、超低排放等绿色化改造，推进绿色工厂、绿色园区创建，培育企业绿色发展示范典型。</w:t>
      </w:r>
    </w:p>
    <w:p w14:paraId="02D1AF80">
      <w:pPr>
        <w:pageBreakBefore w:val="0"/>
        <w:widowControl/>
        <w:kinsoku/>
        <w:wordWrap/>
        <w:overflowPunct/>
        <w:topLinePunct w:val="0"/>
        <w:autoSpaceDE/>
        <w:autoSpaceDN/>
        <w:bidi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提高治污能力和水平。强化企业环境治理责任，建立环境管理制度，健全排污管理责任制，按照生态环境管理要求运行和维护污染防治设施，严格控制污染物排放。把环境风险防范纳入环境管理体系，逐步实现污染管理向风险管理转变，构建以预防为主的环境风险管理体系，主动防范和化解环境风险。</w:t>
      </w:r>
    </w:p>
    <w:p w14:paraId="250363F8">
      <w:pPr>
        <w:pageBreakBefore w:val="0"/>
        <w:widowControl/>
        <w:kinsoku/>
        <w:wordWrap/>
        <w:overflowPunct/>
        <w:topLinePunct w:val="0"/>
        <w:autoSpaceDE/>
        <w:autoSpaceDN/>
        <w:bidi w:val="0"/>
        <w:spacing w:line="500" w:lineRule="exact"/>
        <w:ind w:firstLine="560" w:firstLineChars="200"/>
        <w:textAlignment w:val="auto"/>
        <w:rPr>
          <w:rFonts w:ascii="Times New Roman" w:hAnsi="Times New Roman" w:eastAsia="仿宋" w:cs="Times New Roman"/>
          <w:color w:val="auto"/>
          <w:sz w:val="24"/>
        </w:rPr>
      </w:pPr>
      <w:r>
        <w:rPr>
          <w:rFonts w:hint="default" w:ascii="Times New Roman" w:hAnsi="Times New Roman" w:eastAsia="方正仿宋_GBK" w:cs="方正仿宋_GBK"/>
          <w:b w:val="0"/>
          <w:bCs w:val="0"/>
          <w:color w:val="auto"/>
          <w:kern w:val="2"/>
          <w:sz w:val="28"/>
          <w:szCs w:val="28"/>
          <w:lang w:val="en-US" w:eastAsia="zh-CN" w:bidi="ar-SA"/>
        </w:rPr>
        <w:t>主动公开环境信息。完善企业环境治理信息主动公开机制，排污单位应当通过全国排污许可管理信息平台、企业网站等途径依法公开建设项目环境影响评价、污染防治设施建设运行情况、污染物排放种类、浓度及排放量、自行监测数据等环境信息，并对信息真实性负责，自觉主动接受社会公众监督</w:t>
      </w:r>
      <w:r>
        <w:rPr>
          <w:rFonts w:hint="default" w:ascii="Times New Roman" w:hAnsi="Times New Roman" w:eastAsia="方正仿宋_GBK" w:cs="Times New Roman"/>
          <w:color w:val="auto"/>
          <w:kern w:val="2"/>
          <w:sz w:val="32"/>
          <w:szCs w:val="32"/>
          <w:lang w:val="en-US" w:eastAsia="zh-CN" w:bidi="ar-SA"/>
        </w:rPr>
        <w:t>。</w:t>
      </w:r>
    </w:p>
    <w:p w14:paraId="18746A4F">
      <w:pPr>
        <w:widowControl/>
        <w:jc w:val="center"/>
        <w:rPr>
          <w:rFonts w:ascii="Times New Roman" w:hAnsi="Times New Roman" w:eastAsia="仿宋" w:cs="Times New Roman"/>
          <w:b/>
          <w:bCs/>
          <w:color w:val="auto"/>
          <w:sz w:val="24"/>
        </w:rPr>
      </w:pPr>
      <w:r>
        <w:rPr>
          <w:rFonts w:ascii="Times New Roman" w:hAnsi="Times New Roman" w:eastAsia="仿宋" w:cs="Times New Roman"/>
          <w:b/>
          <w:bCs/>
          <w:color w:val="auto"/>
          <w:sz w:val="24"/>
        </w:rPr>
        <w:t>表5.</w:t>
      </w:r>
      <w:r>
        <w:rPr>
          <w:rFonts w:hint="eastAsia" w:ascii="Times New Roman" w:hAnsi="Times New Roman" w:eastAsia="仿宋" w:cs="Times New Roman"/>
          <w:b/>
          <w:bCs/>
          <w:color w:val="auto"/>
          <w:sz w:val="24"/>
          <w:lang w:val="en-US" w:eastAsia="zh-CN"/>
        </w:rPr>
        <w:t>6</w:t>
      </w:r>
      <w:r>
        <w:rPr>
          <w:rFonts w:ascii="Times New Roman" w:hAnsi="Times New Roman" w:eastAsia="仿宋" w:cs="Times New Roman"/>
          <w:b/>
          <w:bCs/>
          <w:color w:val="auto"/>
          <w:sz w:val="24"/>
        </w:rPr>
        <w:t>-1生态环境制度分类</w:t>
      </w:r>
    </w:p>
    <w:tbl>
      <w:tblPr>
        <w:tblStyle w:val="2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1"/>
        <w:gridCol w:w="1696"/>
        <w:gridCol w:w="5991"/>
      </w:tblGrid>
      <w:tr w14:paraId="78E27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493" w:type="pct"/>
            <w:shd w:val="clear" w:color="auto" w:fill="BEBEBE"/>
            <w:noWrap w:val="0"/>
            <w:vAlign w:val="center"/>
          </w:tcPr>
          <w:p w14:paraId="049CA135">
            <w:pPr>
              <w:widowControl/>
              <w:spacing w:line="320" w:lineRule="exact"/>
              <w:jc w:val="center"/>
              <w:rPr>
                <w:rFonts w:ascii="Times New Roman" w:hAnsi="Times New Roman" w:eastAsia="仿宋" w:cs="Times New Roman"/>
                <w:b/>
                <w:bCs/>
                <w:color w:val="auto"/>
                <w:sz w:val="21"/>
                <w:szCs w:val="20"/>
              </w:rPr>
            </w:pPr>
            <w:r>
              <w:rPr>
                <w:rFonts w:ascii="Times New Roman" w:hAnsi="Times New Roman" w:eastAsia="仿宋" w:cs="Times New Roman"/>
                <w:b/>
                <w:bCs/>
                <w:color w:val="auto"/>
                <w:sz w:val="21"/>
                <w:szCs w:val="20"/>
              </w:rPr>
              <w:t>序号</w:t>
            </w:r>
          </w:p>
        </w:tc>
        <w:tc>
          <w:tcPr>
            <w:tcW w:w="994" w:type="pct"/>
            <w:shd w:val="clear" w:color="auto" w:fill="BEBEBE"/>
            <w:noWrap w:val="0"/>
            <w:vAlign w:val="center"/>
          </w:tcPr>
          <w:p w14:paraId="548182B0">
            <w:pPr>
              <w:widowControl/>
              <w:spacing w:line="320" w:lineRule="exact"/>
              <w:jc w:val="center"/>
              <w:rPr>
                <w:rFonts w:ascii="Times New Roman" w:hAnsi="Times New Roman" w:eastAsia="仿宋" w:cs="Times New Roman"/>
                <w:b/>
                <w:bCs/>
                <w:color w:val="auto"/>
                <w:sz w:val="21"/>
                <w:szCs w:val="20"/>
              </w:rPr>
            </w:pPr>
            <w:r>
              <w:rPr>
                <w:rFonts w:ascii="Times New Roman" w:hAnsi="Times New Roman" w:eastAsia="仿宋" w:cs="Times New Roman"/>
                <w:b/>
                <w:bCs/>
                <w:color w:val="auto"/>
                <w:sz w:val="21"/>
                <w:szCs w:val="20"/>
              </w:rPr>
              <w:t>制度分类</w:t>
            </w:r>
          </w:p>
        </w:tc>
        <w:tc>
          <w:tcPr>
            <w:tcW w:w="3512" w:type="pct"/>
            <w:shd w:val="clear" w:color="auto" w:fill="BEBEBE"/>
            <w:noWrap w:val="0"/>
            <w:vAlign w:val="center"/>
          </w:tcPr>
          <w:p w14:paraId="458395E9">
            <w:pPr>
              <w:widowControl/>
              <w:spacing w:line="320" w:lineRule="exact"/>
              <w:jc w:val="center"/>
              <w:rPr>
                <w:rFonts w:ascii="Times New Roman" w:hAnsi="Times New Roman" w:eastAsia="仿宋" w:cs="Times New Roman"/>
                <w:b/>
                <w:bCs/>
                <w:color w:val="auto"/>
                <w:sz w:val="21"/>
                <w:szCs w:val="20"/>
              </w:rPr>
            </w:pPr>
            <w:r>
              <w:rPr>
                <w:rFonts w:ascii="Times New Roman" w:hAnsi="Times New Roman" w:eastAsia="仿宋" w:cs="Times New Roman"/>
                <w:b/>
                <w:bCs/>
                <w:color w:val="auto"/>
                <w:sz w:val="21"/>
                <w:szCs w:val="20"/>
              </w:rPr>
              <w:t>制度名称</w:t>
            </w:r>
          </w:p>
        </w:tc>
      </w:tr>
      <w:tr w14:paraId="28CDA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3" w:type="pct"/>
            <w:noWrap w:val="0"/>
            <w:vAlign w:val="center"/>
          </w:tcPr>
          <w:p w14:paraId="447EFFEF">
            <w:pPr>
              <w:widowControl/>
              <w:spacing w:line="320" w:lineRule="exact"/>
              <w:jc w:val="center"/>
              <w:rPr>
                <w:rFonts w:ascii="Times New Roman" w:hAnsi="Times New Roman" w:eastAsia="仿宋" w:cs="Times New Roman"/>
                <w:color w:val="auto"/>
                <w:sz w:val="21"/>
                <w:szCs w:val="20"/>
              </w:rPr>
            </w:pPr>
            <w:r>
              <w:rPr>
                <w:rFonts w:ascii="Times New Roman" w:hAnsi="Times New Roman" w:eastAsia="仿宋" w:cs="Times New Roman"/>
                <w:color w:val="auto"/>
                <w:sz w:val="21"/>
                <w:szCs w:val="20"/>
              </w:rPr>
              <w:t>1</w:t>
            </w:r>
          </w:p>
        </w:tc>
        <w:tc>
          <w:tcPr>
            <w:tcW w:w="994" w:type="pct"/>
            <w:vMerge w:val="restart"/>
            <w:noWrap w:val="0"/>
            <w:vAlign w:val="center"/>
          </w:tcPr>
          <w:p w14:paraId="11FEA2FC">
            <w:pPr>
              <w:widowControl/>
              <w:spacing w:line="320" w:lineRule="exact"/>
              <w:jc w:val="center"/>
              <w:rPr>
                <w:rFonts w:ascii="Times New Roman" w:hAnsi="Times New Roman" w:eastAsia="仿宋" w:cs="Times New Roman"/>
                <w:color w:val="auto"/>
                <w:sz w:val="21"/>
                <w:szCs w:val="20"/>
              </w:rPr>
            </w:pPr>
            <w:r>
              <w:rPr>
                <w:rFonts w:ascii="Times New Roman" w:hAnsi="Times New Roman" w:eastAsia="仿宋" w:cs="Times New Roman"/>
                <w:color w:val="auto"/>
                <w:sz w:val="21"/>
                <w:szCs w:val="20"/>
              </w:rPr>
              <w:t>需落实制度</w:t>
            </w:r>
          </w:p>
        </w:tc>
        <w:tc>
          <w:tcPr>
            <w:tcW w:w="3512" w:type="pct"/>
            <w:noWrap w:val="0"/>
            <w:vAlign w:val="center"/>
          </w:tcPr>
          <w:p w14:paraId="4272A553">
            <w:pPr>
              <w:widowControl/>
              <w:spacing w:line="320" w:lineRule="exact"/>
              <w:jc w:val="center"/>
              <w:rPr>
                <w:rFonts w:ascii="Times New Roman" w:hAnsi="Times New Roman" w:eastAsia="仿宋" w:cs="Times New Roman"/>
                <w:color w:val="auto"/>
                <w:sz w:val="21"/>
                <w:szCs w:val="20"/>
              </w:rPr>
            </w:pPr>
            <w:r>
              <w:rPr>
                <w:rFonts w:ascii="Times New Roman" w:hAnsi="Times New Roman" w:eastAsia="仿宋" w:cs="Times New Roman"/>
                <w:color w:val="auto"/>
                <w:sz w:val="21"/>
                <w:szCs w:val="20"/>
              </w:rPr>
              <w:t>环境影响评价制度</w:t>
            </w:r>
          </w:p>
        </w:tc>
      </w:tr>
      <w:tr w14:paraId="494E7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93" w:type="pct"/>
            <w:noWrap w:val="0"/>
            <w:vAlign w:val="center"/>
          </w:tcPr>
          <w:p w14:paraId="0015FF0C">
            <w:pPr>
              <w:widowControl/>
              <w:spacing w:line="320" w:lineRule="exact"/>
              <w:jc w:val="center"/>
              <w:rPr>
                <w:rFonts w:ascii="Times New Roman" w:hAnsi="Times New Roman" w:eastAsia="仿宋" w:cs="Times New Roman"/>
                <w:color w:val="auto"/>
                <w:sz w:val="21"/>
                <w:szCs w:val="20"/>
              </w:rPr>
            </w:pPr>
            <w:r>
              <w:rPr>
                <w:rFonts w:ascii="Times New Roman" w:hAnsi="Times New Roman" w:eastAsia="仿宋" w:cs="Times New Roman"/>
                <w:color w:val="auto"/>
                <w:sz w:val="21"/>
                <w:szCs w:val="20"/>
              </w:rPr>
              <w:t>2</w:t>
            </w:r>
          </w:p>
        </w:tc>
        <w:tc>
          <w:tcPr>
            <w:tcW w:w="994" w:type="pct"/>
            <w:vMerge w:val="continue"/>
            <w:noWrap w:val="0"/>
            <w:vAlign w:val="center"/>
          </w:tcPr>
          <w:p w14:paraId="6F47BEA7">
            <w:pPr>
              <w:widowControl/>
              <w:spacing w:line="320" w:lineRule="exact"/>
              <w:jc w:val="center"/>
              <w:rPr>
                <w:rFonts w:ascii="Times New Roman" w:hAnsi="Times New Roman" w:eastAsia="仿宋" w:cs="Times New Roman"/>
                <w:color w:val="auto"/>
                <w:sz w:val="21"/>
                <w:szCs w:val="20"/>
              </w:rPr>
            </w:pPr>
          </w:p>
        </w:tc>
        <w:tc>
          <w:tcPr>
            <w:tcW w:w="3512" w:type="pct"/>
            <w:noWrap w:val="0"/>
            <w:vAlign w:val="center"/>
          </w:tcPr>
          <w:p w14:paraId="584D1152">
            <w:pPr>
              <w:widowControl/>
              <w:spacing w:line="320" w:lineRule="exact"/>
              <w:jc w:val="center"/>
              <w:rPr>
                <w:rFonts w:ascii="Times New Roman" w:hAnsi="Times New Roman" w:eastAsia="仿宋" w:cs="Times New Roman"/>
                <w:color w:val="auto"/>
                <w:sz w:val="21"/>
                <w:szCs w:val="20"/>
              </w:rPr>
            </w:pPr>
            <w:r>
              <w:rPr>
                <w:rFonts w:ascii="Times New Roman" w:hAnsi="Times New Roman" w:eastAsia="仿宋" w:cs="Times New Roman"/>
                <w:color w:val="auto"/>
                <w:sz w:val="21"/>
                <w:szCs w:val="20"/>
              </w:rPr>
              <w:t>排污许可制</w:t>
            </w:r>
          </w:p>
        </w:tc>
      </w:tr>
      <w:tr w14:paraId="63209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3" w:type="pct"/>
            <w:noWrap w:val="0"/>
            <w:vAlign w:val="center"/>
          </w:tcPr>
          <w:p w14:paraId="10B30660">
            <w:pPr>
              <w:widowControl/>
              <w:spacing w:line="320" w:lineRule="exact"/>
              <w:jc w:val="center"/>
              <w:rPr>
                <w:rFonts w:ascii="Times New Roman" w:hAnsi="Times New Roman" w:eastAsia="仿宋" w:cs="Times New Roman"/>
                <w:color w:val="auto"/>
                <w:sz w:val="21"/>
                <w:szCs w:val="20"/>
              </w:rPr>
            </w:pPr>
            <w:r>
              <w:rPr>
                <w:rFonts w:ascii="Times New Roman" w:hAnsi="Times New Roman" w:eastAsia="仿宋" w:cs="Times New Roman"/>
                <w:color w:val="auto"/>
                <w:sz w:val="21"/>
                <w:szCs w:val="20"/>
              </w:rPr>
              <w:t>3</w:t>
            </w:r>
          </w:p>
        </w:tc>
        <w:tc>
          <w:tcPr>
            <w:tcW w:w="994" w:type="pct"/>
            <w:vMerge w:val="continue"/>
            <w:noWrap w:val="0"/>
            <w:vAlign w:val="center"/>
          </w:tcPr>
          <w:p w14:paraId="27FE7265">
            <w:pPr>
              <w:widowControl/>
              <w:spacing w:line="320" w:lineRule="exact"/>
              <w:jc w:val="center"/>
              <w:rPr>
                <w:rFonts w:ascii="Times New Roman" w:hAnsi="Times New Roman" w:eastAsia="仿宋" w:cs="Times New Roman"/>
                <w:color w:val="auto"/>
                <w:sz w:val="21"/>
                <w:szCs w:val="20"/>
              </w:rPr>
            </w:pPr>
          </w:p>
        </w:tc>
        <w:tc>
          <w:tcPr>
            <w:tcW w:w="3512" w:type="pct"/>
            <w:noWrap w:val="0"/>
            <w:vAlign w:val="center"/>
          </w:tcPr>
          <w:p w14:paraId="6B84ED12">
            <w:pPr>
              <w:widowControl/>
              <w:spacing w:line="320" w:lineRule="exact"/>
              <w:jc w:val="center"/>
              <w:rPr>
                <w:rFonts w:ascii="Times New Roman" w:hAnsi="Times New Roman" w:eastAsia="仿宋" w:cs="Times New Roman"/>
                <w:color w:val="auto"/>
                <w:sz w:val="21"/>
                <w:szCs w:val="20"/>
              </w:rPr>
            </w:pPr>
            <w:r>
              <w:rPr>
                <w:rFonts w:ascii="Times New Roman" w:hAnsi="Times New Roman" w:eastAsia="仿宋" w:cs="Times New Roman"/>
                <w:color w:val="auto"/>
                <w:sz w:val="21"/>
                <w:szCs w:val="20"/>
              </w:rPr>
              <w:t>环境信息公开制度</w:t>
            </w:r>
          </w:p>
        </w:tc>
      </w:tr>
      <w:tr w14:paraId="4D1C8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3" w:type="pct"/>
            <w:noWrap w:val="0"/>
            <w:vAlign w:val="center"/>
          </w:tcPr>
          <w:p w14:paraId="628F6E50">
            <w:pPr>
              <w:widowControl/>
              <w:spacing w:line="320" w:lineRule="exact"/>
              <w:jc w:val="center"/>
              <w:rPr>
                <w:rFonts w:ascii="Times New Roman" w:hAnsi="Times New Roman" w:eastAsia="仿宋" w:cs="Times New Roman"/>
                <w:color w:val="auto"/>
                <w:sz w:val="21"/>
                <w:szCs w:val="20"/>
              </w:rPr>
            </w:pPr>
            <w:r>
              <w:rPr>
                <w:rFonts w:ascii="Times New Roman" w:hAnsi="Times New Roman" w:eastAsia="仿宋" w:cs="Times New Roman"/>
                <w:color w:val="auto"/>
                <w:sz w:val="21"/>
                <w:szCs w:val="20"/>
              </w:rPr>
              <w:t>4</w:t>
            </w:r>
          </w:p>
        </w:tc>
        <w:tc>
          <w:tcPr>
            <w:tcW w:w="994" w:type="pct"/>
            <w:vMerge w:val="continue"/>
            <w:noWrap w:val="0"/>
            <w:vAlign w:val="center"/>
          </w:tcPr>
          <w:p w14:paraId="702F923C">
            <w:pPr>
              <w:widowControl/>
              <w:spacing w:line="320" w:lineRule="exact"/>
              <w:jc w:val="center"/>
              <w:rPr>
                <w:rFonts w:ascii="Times New Roman" w:hAnsi="Times New Roman" w:eastAsia="仿宋" w:cs="Times New Roman"/>
                <w:color w:val="auto"/>
                <w:sz w:val="21"/>
                <w:szCs w:val="20"/>
              </w:rPr>
            </w:pPr>
          </w:p>
        </w:tc>
        <w:tc>
          <w:tcPr>
            <w:tcW w:w="3512" w:type="pct"/>
            <w:noWrap w:val="0"/>
            <w:vAlign w:val="center"/>
          </w:tcPr>
          <w:p w14:paraId="2B8828B8">
            <w:pPr>
              <w:widowControl/>
              <w:spacing w:line="320" w:lineRule="exact"/>
              <w:jc w:val="center"/>
              <w:rPr>
                <w:rFonts w:ascii="Times New Roman" w:hAnsi="Times New Roman" w:eastAsia="仿宋" w:cs="Times New Roman"/>
                <w:color w:val="auto"/>
                <w:sz w:val="21"/>
                <w:szCs w:val="20"/>
              </w:rPr>
            </w:pPr>
            <w:r>
              <w:rPr>
                <w:rFonts w:ascii="Times New Roman" w:hAnsi="Times New Roman" w:eastAsia="仿宋" w:cs="Times New Roman"/>
                <w:color w:val="auto"/>
                <w:sz w:val="21"/>
                <w:szCs w:val="20"/>
              </w:rPr>
              <w:t>河（湖）长制</w:t>
            </w:r>
          </w:p>
        </w:tc>
      </w:tr>
      <w:tr w14:paraId="50E44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3" w:type="pct"/>
            <w:noWrap w:val="0"/>
            <w:vAlign w:val="center"/>
          </w:tcPr>
          <w:p w14:paraId="73CBFB16">
            <w:pPr>
              <w:widowControl/>
              <w:spacing w:line="320" w:lineRule="exact"/>
              <w:jc w:val="center"/>
              <w:rPr>
                <w:rFonts w:ascii="Times New Roman" w:hAnsi="Times New Roman" w:eastAsia="仿宋" w:cs="Times New Roman"/>
                <w:color w:val="auto"/>
                <w:sz w:val="21"/>
                <w:szCs w:val="20"/>
              </w:rPr>
            </w:pPr>
            <w:r>
              <w:rPr>
                <w:rFonts w:ascii="Times New Roman" w:hAnsi="Times New Roman" w:eastAsia="仿宋" w:cs="Times New Roman"/>
                <w:color w:val="auto"/>
                <w:sz w:val="21"/>
                <w:szCs w:val="20"/>
              </w:rPr>
              <w:t>5</w:t>
            </w:r>
          </w:p>
        </w:tc>
        <w:tc>
          <w:tcPr>
            <w:tcW w:w="994" w:type="pct"/>
            <w:vMerge w:val="continue"/>
            <w:noWrap w:val="0"/>
            <w:vAlign w:val="center"/>
          </w:tcPr>
          <w:p w14:paraId="31FA4F57">
            <w:pPr>
              <w:widowControl/>
              <w:spacing w:line="320" w:lineRule="exact"/>
              <w:jc w:val="center"/>
              <w:rPr>
                <w:rFonts w:ascii="Times New Roman" w:hAnsi="Times New Roman" w:eastAsia="仿宋" w:cs="Times New Roman"/>
                <w:color w:val="auto"/>
                <w:sz w:val="21"/>
                <w:szCs w:val="20"/>
              </w:rPr>
            </w:pPr>
          </w:p>
        </w:tc>
        <w:tc>
          <w:tcPr>
            <w:tcW w:w="3512" w:type="pct"/>
            <w:noWrap w:val="0"/>
            <w:vAlign w:val="center"/>
          </w:tcPr>
          <w:p w14:paraId="655DA1E4">
            <w:pPr>
              <w:widowControl/>
              <w:spacing w:line="320" w:lineRule="exact"/>
              <w:jc w:val="center"/>
              <w:rPr>
                <w:rFonts w:ascii="Times New Roman" w:hAnsi="Times New Roman" w:eastAsia="仿宋" w:cs="Times New Roman"/>
                <w:color w:val="auto"/>
                <w:sz w:val="21"/>
                <w:szCs w:val="20"/>
              </w:rPr>
            </w:pPr>
            <w:r>
              <w:rPr>
                <w:rFonts w:ascii="Times New Roman" w:hAnsi="Times New Roman" w:eastAsia="仿宋" w:cs="Times New Roman"/>
                <w:color w:val="auto"/>
                <w:sz w:val="21"/>
                <w:szCs w:val="20"/>
              </w:rPr>
              <w:t>林长制</w:t>
            </w:r>
          </w:p>
        </w:tc>
      </w:tr>
      <w:tr w14:paraId="3F50D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3" w:type="pct"/>
            <w:noWrap w:val="0"/>
            <w:vAlign w:val="center"/>
          </w:tcPr>
          <w:p w14:paraId="07AF38A0">
            <w:pPr>
              <w:widowControl/>
              <w:spacing w:line="320" w:lineRule="exact"/>
              <w:jc w:val="center"/>
              <w:rPr>
                <w:rFonts w:ascii="Times New Roman" w:hAnsi="Times New Roman" w:eastAsia="仿宋" w:cs="Times New Roman"/>
                <w:color w:val="auto"/>
                <w:sz w:val="21"/>
                <w:szCs w:val="20"/>
              </w:rPr>
            </w:pPr>
            <w:r>
              <w:rPr>
                <w:rFonts w:ascii="Times New Roman" w:hAnsi="Times New Roman" w:eastAsia="仿宋" w:cs="Times New Roman"/>
                <w:color w:val="auto"/>
                <w:sz w:val="21"/>
                <w:szCs w:val="20"/>
              </w:rPr>
              <w:t>6</w:t>
            </w:r>
          </w:p>
        </w:tc>
        <w:tc>
          <w:tcPr>
            <w:tcW w:w="994" w:type="pct"/>
            <w:vMerge w:val="continue"/>
            <w:noWrap w:val="0"/>
            <w:vAlign w:val="center"/>
          </w:tcPr>
          <w:p w14:paraId="23CA3CE5">
            <w:pPr>
              <w:widowControl/>
              <w:spacing w:line="320" w:lineRule="exact"/>
              <w:jc w:val="center"/>
              <w:rPr>
                <w:rFonts w:ascii="Times New Roman" w:hAnsi="Times New Roman" w:eastAsia="仿宋" w:cs="Times New Roman"/>
                <w:color w:val="auto"/>
                <w:sz w:val="21"/>
                <w:szCs w:val="20"/>
              </w:rPr>
            </w:pPr>
          </w:p>
        </w:tc>
        <w:tc>
          <w:tcPr>
            <w:tcW w:w="3512" w:type="pct"/>
            <w:noWrap w:val="0"/>
            <w:vAlign w:val="center"/>
          </w:tcPr>
          <w:p w14:paraId="19435C69">
            <w:pPr>
              <w:widowControl/>
              <w:spacing w:line="320" w:lineRule="exact"/>
              <w:jc w:val="center"/>
              <w:rPr>
                <w:rFonts w:ascii="Times New Roman" w:hAnsi="Times New Roman" w:eastAsia="仿宋" w:cs="Times New Roman"/>
                <w:color w:val="auto"/>
                <w:sz w:val="21"/>
                <w:szCs w:val="20"/>
              </w:rPr>
            </w:pPr>
            <w:r>
              <w:rPr>
                <w:rFonts w:ascii="Times New Roman" w:hAnsi="Times New Roman" w:eastAsia="仿宋" w:cs="Times New Roman"/>
                <w:color w:val="auto"/>
                <w:sz w:val="21"/>
                <w:szCs w:val="20"/>
              </w:rPr>
              <w:t>自然资源资产产权制度和用途管制制度</w:t>
            </w:r>
          </w:p>
        </w:tc>
      </w:tr>
      <w:tr w14:paraId="13C1C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3" w:type="pct"/>
            <w:noWrap w:val="0"/>
            <w:vAlign w:val="center"/>
          </w:tcPr>
          <w:p w14:paraId="79175658">
            <w:pPr>
              <w:widowControl/>
              <w:spacing w:line="320" w:lineRule="exact"/>
              <w:jc w:val="center"/>
              <w:rPr>
                <w:rFonts w:ascii="Times New Roman" w:hAnsi="Times New Roman" w:eastAsia="仿宋" w:cs="Times New Roman"/>
                <w:color w:val="auto"/>
                <w:sz w:val="21"/>
                <w:szCs w:val="20"/>
              </w:rPr>
            </w:pPr>
            <w:r>
              <w:rPr>
                <w:rFonts w:ascii="Times New Roman" w:hAnsi="Times New Roman" w:eastAsia="仿宋" w:cs="Times New Roman"/>
                <w:color w:val="auto"/>
                <w:sz w:val="21"/>
                <w:szCs w:val="20"/>
              </w:rPr>
              <w:t>7</w:t>
            </w:r>
          </w:p>
        </w:tc>
        <w:tc>
          <w:tcPr>
            <w:tcW w:w="994" w:type="pct"/>
            <w:vMerge w:val="continue"/>
            <w:noWrap w:val="0"/>
            <w:vAlign w:val="center"/>
          </w:tcPr>
          <w:p w14:paraId="1698889A">
            <w:pPr>
              <w:widowControl/>
              <w:spacing w:line="320" w:lineRule="exact"/>
              <w:jc w:val="center"/>
              <w:rPr>
                <w:rFonts w:ascii="Times New Roman" w:hAnsi="Times New Roman" w:eastAsia="仿宋" w:cs="Times New Roman"/>
                <w:color w:val="auto"/>
                <w:sz w:val="21"/>
                <w:szCs w:val="20"/>
              </w:rPr>
            </w:pPr>
          </w:p>
        </w:tc>
        <w:tc>
          <w:tcPr>
            <w:tcW w:w="3512" w:type="pct"/>
            <w:noWrap w:val="0"/>
            <w:vAlign w:val="center"/>
          </w:tcPr>
          <w:p w14:paraId="06E667D3">
            <w:pPr>
              <w:widowControl/>
              <w:spacing w:line="320" w:lineRule="exact"/>
              <w:jc w:val="center"/>
              <w:rPr>
                <w:rFonts w:ascii="Times New Roman" w:hAnsi="Times New Roman" w:eastAsia="仿宋" w:cs="Times New Roman"/>
                <w:color w:val="auto"/>
                <w:sz w:val="21"/>
                <w:szCs w:val="20"/>
              </w:rPr>
            </w:pPr>
            <w:r>
              <w:rPr>
                <w:rFonts w:ascii="Times New Roman" w:hAnsi="Times New Roman" w:eastAsia="仿宋" w:cs="Times New Roman"/>
                <w:color w:val="auto"/>
                <w:sz w:val="21"/>
                <w:szCs w:val="20"/>
              </w:rPr>
              <w:t>自然资源资产离任审计制度</w:t>
            </w:r>
          </w:p>
        </w:tc>
      </w:tr>
      <w:tr w14:paraId="580BB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3" w:type="pct"/>
            <w:noWrap w:val="0"/>
            <w:vAlign w:val="center"/>
          </w:tcPr>
          <w:p w14:paraId="10E465B7">
            <w:pPr>
              <w:widowControl/>
              <w:spacing w:line="320" w:lineRule="exact"/>
              <w:jc w:val="center"/>
              <w:rPr>
                <w:rFonts w:ascii="Times New Roman" w:hAnsi="Times New Roman" w:eastAsia="仿宋" w:cs="Times New Roman"/>
                <w:color w:val="auto"/>
                <w:sz w:val="21"/>
                <w:szCs w:val="20"/>
              </w:rPr>
            </w:pPr>
            <w:r>
              <w:rPr>
                <w:rFonts w:ascii="Times New Roman" w:hAnsi="Times New Roman" w:eastAsia="仿宋" w:cs="Times New Roman"/>
                <w:color w:val="auto"/>
                <w:sz w:val="21"/>
                <w:szCs w:val="20"/>
              </w:rPr>
              <w:t>8</w:t>
            </w:r>
          </w:p>
        </w:tc>
        <w:tc>
          <w:tcPr>
            <w:tcW w:w="994" w:type="pct"/>
            <w:vMerge w:val="continue"/>
            <w:noWrap w:val="0"/>
            <w:vAlign w:val="center"/>
          </w:tcPr>
          <w:p w14:paraId="04C3121A">
            <w:pPr>
              <w:widowControl/>
              <w:spacing w:line="320" w:lineRule="exact"/>
              <w:jc w:val="center"/>
              <w:rPr>
                <w:rFonts w:ascii="Times New Roman" w:hAnsi="Times New Roman" w:eastAsia="仿宋" w:cs="Times New Roman"/>
                <w:color w:val="auto"/>
                <w:sz w:val="21"/>
                <w:szCs w:val="20"/>
              </w:rPr>
            </w:pPr>
          </w:p>
        </w:tc>
        <w:tc>
          <w:tcPr>
            <w:tcW w:w="3512" w:type="pct"/>
            <w:noWrap w:val="0"/>
            <w:vAlign w:val="center"/>
          </w:tcPr>
          <w:p w14:paraId="011ADA1D">
            <w:pPr>
              <w:widowControl/>
              <w:spacing w:line="320" w:lineRule="exact"/>
              <w:jc w:val="center"/>
              <w:rPr>
                <w:rFonts w:ascii="Times New Roman" w:hAnsi="Times New Roman" w:eastAsia="仿宋" w:cs="Times New Roman"/>
                <w:color w:val="auto"/>
                <w:sz w:val="21"/>
                <w:szCs w:val="20"/>
              </w:rPr>
            </w:pPr>
            <w:r>
              <w:rPr>
                <w:rFonts w:ascii="Times New Roman" w:hAnsi="Times New Roman" w:eastAsia="仿宋" w:cs="Times New Roman"/>
                <w:color w:val="auto"/>
                <w:sz w:val="21"/>
                <w:szCs w:val="20"/>
              </w:rPr>
              <w:t>编制自然资源资产负债表</w:t>
            </w:r>
          </w:p>
        </w:tc>
      </w:tr>
      <w:tr w14:paraId="465F5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3" w:type="pct"/>
            <w:noWrap w:val="0"/>
            <w:vAlign w:val="center"/>
          </w:tcPr>
          <w:p w14:paraId="37D0E0B0">
            <w:pPr>
              <w:widowControl/>
              <w:spacing w:line="320" w:lineRule="exact"/>
              <w:jc w:val="center"/>
              <w:rPr>
                <w:rFonts w:ascii="Times New Roman" w:hAnsi="Times New Roman" w:eastAsia="仿宋" w:cs="Times New Roman"/>
                <w:color w:val="auto"/>
                <w:sz w:val="21"/>
                <w:szCs w:val="20"/>
              </w:rPr>
            </w:pPr>
            <w:r>
              <w:rPr>
                <w:rFonts w:ascii="Times New Roman" w:hAnsi="Times New Roman" w:eastAsia="仿宋" w:cs="Times New Roman"/>
                <w:color w:val="auto"/>
                <w:sz w:val="21"/>
                <w:szCs w:val="20"/>
              </w:rPr>
              <w:t>9</w:t>
            </w:r>
          </w:p>
        </w:tc>
        <w:tc>
          <w:tcPr>
            <w:tcW w:w="994" w:type="pct"/>
            <w:vMerge w:val="continue"/>
            <w:noWrap w:val="0"/>
            <w:vAlign w:val="center"/>
          </w:tcPr>
          <w:p w14:paraId="19F564E3">
            <w:pPr>
              <w:widowControl/>
              <w:spacing w:line="320" w:lineRule="exact"/>
              <w:jc w:val="center"/>
              <w:rPr>
                <w:rFonts w:ascii="Times New Roman" w:hAnsi="Times New Roman" w:eastAsia="仿宋" w:cs="Times New Roman"/>
                <w:color w:val="auto"/>
                <w:sz w:val="21"/>
                <w:szCs w:val="20"/>
              </w:rPr>
            </w:pPr>
          </w:p>
        </w:tc>
        <w:tc>
          <w:tcPr>
            <w:tcW w:w="3512" w:type="pct"/>
            <w:noWrap w:val="0"/>
            <w:vAlign w:val="center"/>
          </w:tcPr>
          <w:p w14:paraId="7EF0F987">
            <w:pPr>
              <w:widowControl/>
              <w:spacing w:line="320" w:lineRule="exact"/>
              <w:jc w:val="center"/>
              <w:rPr>
                <w:rFonts w:ascii="Times New Roman" w:hAnsi="Times New Roman" w:eastAsia="仿宋" w:cs="Times New Roman"/>
                <w:color w:val="auto"/>
                <w:sz w:val="21"/>
                <w:szCs w:val="20"/>
              </w:rPr>
            </w:pPr>
            <w:r>
              <w:rPr>
                <w:rFonts w:ascii="Times New Roman" w:hAnsi="Times New Roman" w:eastAsia="仿宋" w:cs="Times New Roman"/>
                <w:color w:val="auto"/>
                <w:sz w:val="21"/>
                <w:szCs w:val="20"/>
              </w:rPr>
              <w:t>土地节约集约使用制度</w:t>
            </w:r>
          </w:p>
        </w:tc>
      </w:tr>
      <w:tr w14:paraId="53CC3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3" w:type="pct"/>
            <w:noWrap w:val="0"/>
            <w:vAlign w:val="center"/>
          </w:tcPr>
          <w:p w14:paraId="4483204F">
            <w:pPr>
              <w:widowControl/>
              <w:spacing w:line="320" w:lineRule="exact"/>
              <w:jc w:val="center"/>
              <w:rPr>
                <w:rFonts w:ascii="Times New Roman" w:hAnsi="Times New Roman" w:eastAsia="仿宋" w:cs="Times New Roman"/>
                <w:color w:val="auto"/>
                <w:sz w:val="21"/>
                <w:szCs w:val="20"/>
              </w:rPr>
            </w:pPr>
            <w:r>
              <w:rPr>
                <w:rFonts w:ascii="Times New Roman" w:hAnsi="Times New Roman" w:eastAsia="仿宋" w:cs="Times New Roman"/>
                <w:color w:val="auto"/>
                <w:sz w:val="21"/>
                <w:szCs w:val="20"/>
              </w:rPr>
              <w:t>10</w:t>
            </w:r>
          </w:p>
        </w:tc>
        <w:tc>
          <w:tcPr>
            <w:tcW w:w="994" w:type="pct"/>
            <w:vMerge w:val="continue"/>
            <w:noWrap w:val="0"/>
            <w:vAlign w:val="center"/>
          </w:tcPr>
          <w:p w14:paraId="3FC55644">
            <w:pPr>
              <w:widowControl/>
              <w:spacing w:line="320" w:lineRule="exact"/>
              <w:jc w:val="center"/>
              <w:rPr>
                <w:rFonts w:ascii="Times New Roman" w:hAnsi="Times New Roman" w:eastAsia="仿宋" w:cs="Times New Roman"/>
                <w:color w:val="auto"/>
                <w:sz w:val="21"/>
                <w:szCs w:val="20"/>
              </w:rPr>
            </w:pPr>
          </w:p>
        </w:tc>
        <w:tc>
          <w:tcPr>
            <w:tcW w:w="3512" w:type="pct"/>
            <w:noWrap w:val="0"/>
            <w:vAlign w:val="center"/>
          </w:tcPr>
          <w:p w14:paraId="4B322097">
            <w:pPr>
              <w:widowControl/>
              <w:spacing w:line="320" w:lineRule="exact"/>
              <w:jc w:val="center"/>
              <w:rPr>
                <w:rFonts w:ascii="Times New Roman" w:hAnsi="Times New Roman" w:eastAsia="仿宋" w:cs="Times New Roman"/>
                <w:color w:val="auto"/>
                <w:sz w:val="21"/>
                <w:szCs w:val="20"/>
              </w:rPr>
            </w:pPr>
            <w:r>
              <w:rPr>
                <w:rFonts w:ascii="Times New Roman" w:hAnsi="Times New Roman" w:eastAsia="仿宋" w:cs="Times New Roman"/>
                <w:color w:val="auto"/>
                <w:sz w:val="21"/>
                <w:szCs w:val="20"/>
              </w:rPr>
              <w:t>最严格水资源管理制度</w:t>
            </w:r>
          </w:p>
        </w:tc>
      </w:tr>
      <w:tr w14:paraId="707A8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3" w:type="pct"/>
            <w:noWrap w:val="0"/>
            <w:vAlign w:val="center"/>
          </w:tcPr>
          <w:p w14:paraId="764DDB47">
            <w:pPr>
              <w:widowControl/>
              <w:spacing w:line="320" w:lineRule="exact"/>
              <w:jc w:val="center"/>
              <w:rPr>
                <w:rFonts w:ascii="Times New Roman" w:hAnsi="Times New Roman" w:eastAsia="仿宋" w:cs="Times New Roman"/>
                <w:color w:val="auto"/>
                <w:sz w:val="21"/>
                <w:szCs w:val="20"/>
              </w:rPr>
            </w:pPr>
            <w:r>
              <w:rPr>
                <w:rFonts w:ascii="Times New Roman" w:hAnsi="Times New Roman" w:eastAsia="仿宋" w:cs="Times New Roman"/>
                <w:color w:val="auto"/>
                <w:sz w:val="21"/>
                <w:szCs w:val="20"/>
              </w:rPr>
              <w:t>11</w:t>
            </w:r>
          </w:p>
        </w:tc>
        <w:tc>
          <w:tcPr>
            <w:tcW w:w="994" w:type="pct"/>
            <w:vMerge w:val="continue"/>
            <w:noWrap w:val="0"/>
            <w:vAlign w:val="center"/>
          </w:tcPr>
          <w:p w14:paraId="09ABCAD0">
            <w:pPr>
              <w:widowControl/>
              <w:spacing w:line="320" w:lineRule="exact"/>
              <w:jc w:val="center"/>
              <w:rPr>
                <w:rFonts w:ascii="Times New Roman" w:hAnsi="Times New Roman" w:eastAsia="仿宋" w:cs="Times New Roman"/>
                <w:color w:val="auto"/>
                <w:sz w:val="21"/>
                <w:szCs w:val="20"/>
              </w:rPr>
            </w:pPr>
          </w:p>
        </w:tc>
        <w:tc>
          <w:tcPr>
            <w:tcW w:w="3512" w:type="pct"/>
            <w:noWrap w:val="0"/>
            <w:vAlign w:val="center"/>
          </w:tcPr>
          <w:p w14:paraId="648CF7CE">
            <w:pPr>
              <w:widowControl/>
              <w:spacing w:line="320" w:lineRule="exact"/>
              <w:jc w:val="center"/>
              <w:rPr>
                <w:rFonts w:ascii="Times New Roman" w:hAnsi="Times New Roman" w:eastAsia="仿宋" w:cs="Times New Roman"/>
                <w:color w:val="auto"/>
                <w:sz w:val="21"/>
                <w:szCs w:val="20"/>
              </w:rPr>
            </w:pPr>
            <w:r>
              <w:rPr>
                <w:rFonts w:ascii="Times New Roman" w:hAnsi="Times New Roman" w:eastAsia="仿宋" w:cs="Times New Roman"/>
                <w:color w:val="auto"/>
                <w:sz w:val="21"/>
                <w:szCs w:val="20"/>
              </w:rPr>
              <w:t>能源消费管控制度</w:t>
            </w:r>
          </w:p>
        </w:tc>
      </w:tr>
      <w:tr w14:paraId="1551F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3" w:type="pct"/>
            <w:noWrap w:val="0"/>
            <w:vAlign w:val="center"/>
          </w:tcPr>
          <w:p w14:paraId="7964698D">
            <w:pPr>
              <w:widowControl/>
              <w:spacing w:line="320" w:lineRule="exact"/>
              <w:jc w:val="center"/>
              <w:rPr>
                <w:rFonts w:ascii="Times New Roman" w:hAnsi="Times New Roman" w:eastAsia="仿宋" w:cs="Times New Roman"/>
                <w:color w:val="auto"/>
                <w:sz w:val="21"/>
                <w:szCs w:val="20"/>
              </w:rPr>
            </w:pPr>
            <w:r>
              <w:rPr>
                <w:rFonts w:ascii="Times New Roman" w:hAnsi="Times New Roman" w:eastAsia="仿宋" w:cs="Times New Roman"/>
                <w:color w:val="auto"/>
                <w:sz w:val="21"/>
                <w:szCs w:val="20"/>
              </w:rPr>
              <w:t>12</w:t>
            </w:r>
          </w:p>
        </w:tc>
        <w:tc>
          <w:tcPr>
            <w:tcW w:w="994" w:type="pct"/>
            <w:vMerge w:val="continue"/>
            <w:noWrap w:val="0"/>
            <w:vAlign w:val="center"/>
          </w:tcPr>
          <w:p w14:paraId="02E61452">
            <w:pPr>
              <w:widowControl/>
              <w:spacing w:line="320" w:lineRule="exact"/>
              <w:jc w:val="center"/>
              <w:rPr>
                <w:rFonts w:ascii="Times New Roman" w:hAnsi="Times New Roman" w:eastAsia="仿宋" w:cs="Times New Roman"/>
                <w:color w:val="auto"/>
                <w:sz w:val="21"/>
                <w:szCs w:val="20"/>
              </w:rPr>
            </w:pPr>
          </w:p>
        </w:tc>
        <w:tc>
          <w:tcPr>
            <w:tcW w:w="3512" w:type="pct"/>
            <w:noWrap w:val="0"/>
            <w:vAlign w:val="center"/>
          </w:tcPr>
          <w:p w14:paraId="4E7BC778">
            <w:pPr>
              <w:widowControl/>
              <w:spacing w:line="320" w:lineRule="exact"/>
              <w:jc w:val="center"/>
              <w:rPr>
                <w:rFonts w:ascii="Times New Roman" w:hAnsi="Times New Roman" w:eastAsia="仿宋" w:cs="Times New Roman"/>
                <w:color w:val="auto"/>
                <w:sz w:val="21"/>
                <w:szCs w:val="20"/>
              </w:rPr>
            </w:pPr>
            <w:r>
              <w:rPr>
                <w:rFonts w:ascii="Times New Roman" w:hAnsi="Times New Roman" w:eastAsia="仿宋" w:cs="Times New Roman"/>
                <w:color w:val="auto"/>
                <w:sz w:val="21"/>
                <w:szCs w:val="20"/>
              </w:rPr>
              <w:t>资源循环利用制度</w:t>
            </w:r>
          </w:p>
        </w:tc>
      </w:tr>
      <w:tr w14:paraId="7AF56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3" w:type="pct"/>
            <w:noWrap w:val="0"/>
            <w:vAlign w:val="center"/>
          </w:tcPr>
          <w:p w14:paraId="34D673D2">
            <w:pPr>
              <w:widowControl/>
              <w:spacing w:line="320" w:lineRule="exact"/>
              <w:jc w:val="center"/>
              <w:rPr>
                <w:rFonts w:ascii="Times New Roman" w:hAnsi="Times New Roman" w:eastAsia="仿宋" w:cs="Times New Roman"/>
                <w:color w:val="auto"/>
                <w:sz w:val="21"/>
                <w:szCs w:val="20"/>
              </w:rPr>
            </w:pPr>
            <w:r>
              <w:rPr>
                <w:rFonts w:ascii="Times New Roman" w:hAnsi="Times New Roman" w:eastAsia="仿宋" w:cs="Times New Roman"/>
                <w:color w:val="auto"/>
                <w:sz w:val="21"/>
                <w:szCs w:val="20"/>
              </w:rPr>
              <w:t>13</w:t>
            </w:r>
          </w:p>
        </w:tc>
        <w:tc>
          <w:tcPr>
            <w:tcW w:w="994" w:type="pct"/>
            <w:vMerge w:val="continue"/>
            <w:noWrap w:val="0"/>
            <w:vAlign w:val="center"/>
          </w:tcPr>
          <w:p w14:paraId="679F3AF8">
            <w:pPr>
              <w:widowControl/>
              <w:spacing w:line="320" w:lineRule="exact"/>
              <w:jc w:val="center"/>
              <w:rPr>
                <w:rFonts w:ascii="Times New Roman" w:hAnsi="Times New Roman" w:eastAsia="仿宋" w:cs="Times New Roman"/>
                <w:color w:val="auto"/>
                <w:sz w:val="21"/>
                <w:szCs w:val="20"/>
              </w:rPr>
            </w:pPr>
          </w:p>
        </w:tc>
        <w:tc>
          <w:tcPr>
            <w:tcW w:w="3512" w:type="pct"/>
            <w:noWrap w:val="0"/>
            <w:vAlign w:val="center"/>
          </w:tcPr>
          <w:p w14:paraId="1C38F611">
            <w:pPr>
              <w:widowControl/>
              <w:spacing w:line="320" w:lineRule="exact"/>
              <w:jc w:val="center"/>
              <w:rPr>
                <w:rFonts w:ascii="Times New Roman" w:hAnsi="Times New Roman" w:eastAsia="仿宋" w:cs="Times New Roman"/>
                <w:color w:val="auto"/>
                <w:sz w:val="21"/>
                <w:szCs w:val="20"/>
              </w:rPr>
            </w:pPr>
            <w:r>
              <w:rPr>
                <w:rFonts w:ascii="Times New Roman" w:hAnsi="Times New Roman" w:eastAsia="仿宋" w:cs="Times New Roman"/>
                <w:color w:val="auto"/>
                <w:sz w:val="21"/>
                <w:szCs w:val="20"/>
              </w:rPr>
              <w:t>生态保护红线、耕地红线管控制度</w:t>
            </w:r>
          </w:p>
        </w:tc>
      </w:tr>
      <w:tr w14:paraId="2AF78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3" w:type="pct"/>
            <w:noWrap w:val="0"/>
            <w:vAlign w:val="center"/>
          </w:tcPr>
          <w:p w14:paraId="79BA1446">
            <w:pPr>
              <w:widowControl/>
              <w:spacing w:line="320" w:lineRule="exact"/>
              <w:jc w:val="center"/>
              <w:rPr>
                <w:rFonts w:ascii="Times New Roman" w:hAnsi="Times New Roman" w:eastAsia="仿宋" w:cs="Times New Roman"/>
                <w:color w:val="auto"/>
                <w:sz w:val="21"/>
                <w:szCs w:val="20"/>
              </w:rPr>
            </w:pPr>
            <w:r>
              <w:rPr>
                <w:rFonts w:ascii="Times New Roman" w:hAnsi="Times New Roman" w:eastAsia="仿宋" w:cs="Times New Roman"/>
                <w:color w:val="auto"/>
                <w:sz w:val="21"/>
                <w:szCs w:val="20"/>
              </w:rPr>
              <w:t>14</w:t>
            </w:r>
          </w:p>
        </w:tc>
        <w:tc>
          <w:tcPr>
            <w:tcW w:w="994" w:type="pct"/>
            <w:vMerge w:val="continue"/>
            <w:noWrap w:val="0"/>
            <w:vAlign w:val="center"/>
          </w:tcPr>
          <w:p w14:paraId="2066E654">
            <w:pPr>
              <w:widowControl/>
              <w:spacing w:line="320" w:lineRule="exact"/>
              <w:jc w:val="center"/>
              <w:rPr>
                <w:rFonts w:ascii="Times New Roman" w:hAnsi="Times New Roman" w:eastAsia="仿宋" w:cs="Times New Roman"/>
                <w:color w:val="auto"/>
                <w:sz w:val="21"/>
                <w:szCs w:val="20"/>
              </w:rPr>
            </w:pPr>
          </w:p>
        </w:tc>
        <w:tc>
          <w:tcPr>
            <w:tcW w:w="3512" w:type="pct"/>
            <w:noWrap w:val="0"/>
            <w:vAlign w:val="center"/>
          </w:tcPr>
          <w:p w14:paraId="34814D85">
            <w:pPr>
              <w:widowControl/>
              <w:spacing w:line="320" w:lineRule="exact"/>
              <w:jc w:val="center"/>
              <w:rPr>
                <w:rFonts w:ascii="Times New Roman" w:hAnsi="Times New Roman" w:eastAsia="仿宋" w:cs="Times New Roman"/>
                <w:color w:val="auto"/>
                <w:sz w:val="21"/>
                <w:szCs w:val="20"/>
              </w:rPr>
            </w:pPr>
            <w:r>
              <w:rPr>
                <w:rFonts w:ascii="Times New Roman" w:hAnsi="Times New Roman" w:eastAsia="仿宋" w:cs="Times New Roman"/>
                <w:color w:val="auto"/>
                <w:sz w:val="21"/>
                <w:szCs w:val="20"/>
              </w:rPr>
              <w:t>河湖岸线保护与修复机制</w:t>
            </w:r>
          </w:p>
        </w:tc>
      </w:tr>
      <w:tr w14:paraId="4CE21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3" w:type="pct"/>
            <w:noWrap w:val="0"/>
            <w:vAlign w:val="center"/>
          </w:tcPr>
          <w:p w14:paraId="09003DB1">
            <w:pPr>
              <w:widowControl/>
              <w:spacing w:line="320" w:lineRule="exact"/>
              <w:jc w:val="center"/>
              <w:rPr>
                <w:rFonts w:ascii="Times New Roman" w:hAnsi="Times New Roman" w:eastAsia="仿宋" w:cs="Times New Roman"/>
                <w:color w:val="auto"/>
                <w:sz w:val="21"/>
                <w:szCs w:val="20"/>
              </w:rPr>
            </w:pPr>
            <w:r>
              <w:rPr>
                <w:rFonts w:ascii="Times New Roman" w:hAnsi="Times New Roman" w:eastAsia="仿宋" w:cs="Times New Roman"/>
                <w:color w:val="auto"/>
                <w:sz w:val="21"/>
                <w:szCs w:val="20"/>
              </w:rPr>
              <w:t>15</w:t>
            </w:r>
          </w:p>
        </w:tc>
        <w:tc>
          <w:tcPr>
            <w:tcW w:w="994" w:type="pct"/>
            <w:vMerge w:val="continue"/>
            <w:noWrap w:val="0"/>
            <w:vAlign w:val="center"/>
          </w:tcPr>
          <w:p w14:paraId="5D68058F">
            <w:pPr>
              <w:widowControl/>
              <w:spacing w:line="320" w:lineRule="exact"/>
              <w:jc w:val="center"/>
              <w:rPr>
                <w:rFonts w:ascii="Times New Roman" w:hAnsi="Times New Roman" w:eastAsia="仿宋" w:cs="Times New Roman"/>
                <w:color w:val="auto"/>
                <w:sz w:val="21"/>
                <w:szCs w:val="20"/>
              </w:rPr>
            </w:pPr>
          </w:p>
        </w:tc>
        <w:tc>
          <w:tcPr>
            <w:tcW w:w="3512" w:type="pct"/>
            <w:noWrap w:val="0"/>
            <w:vAlign w:val="center"/>
          </w:tcPr>
          <w:p w14:paraId="6CB5BF86">
            <w:pPr>
              <w:widowControl/>
              <w:spacing w:line="320" w:lineRule="exact"/>
              <w:jc w:val="center"/>
              <w:rPr>
                <w:rFonts w:ascii="Times New Roman" w:hAnsi="Times New Roman" w:eastAsia="仿宋" w:cs="Times New Roman"/>
                <w:color w:val="auto"/>
                <w:sz w:val="21"/>
                <w:szCs w:val="20"/>
              </w:rPr>
            </w:pPr>
            <w:r>
              <w:rPr>
                <w:rFonts w:ascii="Times New Roman" w:hAnsi="Times New Roman" w:eastAsia="仿宋" w:cs="Times New Roman"/>
                <w:color w:val="auto"/>
                <w:sz w:val="21"/>
                <w:szCs w:val="20"/>
              </w:rPr>
              <w:t>党委政府生态环境管理领导责任制度</w:t>
            </w:r>
          </w:p>
        </w:tc>
      </w:tr>
      <w:tr w14:paraId="22CC6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3" w:type="pct"/>
            <w:noWrap w:val="0"/>
            <w:vAlign w:val="center"/>
          </w:tcPr>
          <w:p w14:paraId="0054E6A7">
            <w:pPr>
              <w:widowControl/>
              <w:spacing w:line="320" w:lineRule="exact"/>
              <w:jc w:val="center"/>
              <w:rPr>
                <w:rFonts w:ascii="Times New Roman" w:hAnsi="Times New Roman" w:eastAsia="仿宋" w:cs="Times New Roman"/>
                <w:color w:val="auto"/>
                <w:sz w:val="21"/>
                <w:szCs w:val="20"/>
              </w:rPr>
            </w:pPr>
            <w:r>
              <w:rPr>
                <w:rFonts w:ascii="Times New Roman" w:hAnsi="Times New Roman" w:eastAsia="仿宋" w:cs="Times New Roman"/>
                <w:color w:val="auto"/>
                <w:sz w:val="21"/>
                <w:szCs w:val="20"/>
              </w:rPr>
              <w:t>16</w:t>
            </w:r>
          </w:p>
        </w:tc>
        <w:tc>
          <w:tcPr>
            <w:tcW w:w="994" w:type="pct"/>
            <w:vMerge w:val="continue"/>
            <w:noWrap w:val="0"/>
            <w:vAlign w:val="center"/>
          </w:tcPr>
          <w:p w14:paraId="2DE08AAC">
            <w:pPr>
              <w:widowControl/>
              <w:spacing w:line="320" w:lineRule="exact"/>
              <w:jc w:val="center"/>
              <w:rPr>
                <w:rFonts w:ascii="Times New Roman" w:hAnsi="Times New Roman" w:eastAsia="仿宋" w:cs="Times New Roman"/>
                <w:color w:val="auto"/>
                <w:sz w:val="21"/>
                <w:szCs w:val="20"/>
              </w:rPr>
            </w:pPr>
          </w:p>
        </w:tc>
        <w:tc>
          <w:tcPr>
            <w:tcW w:w="3512" w:type="pct"/>
            <w:noWrap w:val="0"/>
            <w:vAlign w:val="center"/>
          </w:tcPr>
          <w:p w14:paraId="2CA6734B">
            <w:pPr>
              <w:widowControl/>
              <w:spacing w:line="320" w:lineRule="exact"/>
              <w:jc w:val="center"/>
              <w:rPr>
                <w:rFonts w:ascii="Times New Roman" w:hAnsi="Times New Roman" w:eastAsia="仿宋" w:cs="Times New Roman"/>
                <w:color w:val="auto"/>
                <w:sz w:val="21"/>
                <w:szCs w:val="20"/>
              </w:rPr>
            </w:pPr>
            <w:r>
              <w:rPr>
                <w:rFonts w:ascii="Times New Roman" w:hAnsi="Times New Roman" w:eastAsia="仿宋" w:cs="Times New Roman"/>
                <w:color w:val="auto"/>
                <w:sz w:val="21"/>
                <w:szCs w:val="20"/>
              </w:rPr>
              <w:t>生态环境损害责任追究制度</w:t>
            </w:r>
          </w:p>
        </w:tc>
      </w:tr>
      <w:tr w14:paraId="60F44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3" w:type="pct"/>
            <w:noWrap w:val="0"/>
            <w:vAlign w:val="center"/>
          </w:tcPr>
          <w:p w14:paraId="46F08458">
            <w:pPr>
              <w:widowControl/>
              <w:spacing w:line="320" w:lineRule="exact"/>
              <w:jc w:val="center"/>
              <w:rPr>
                <w:rFonts w:ascii="Times New Roman" w:hAnsi="Times New Roman" w:eastAsia="仿宋" w:cs="Times New Roman"/>
                <w:color w:val="auto"/>
                <w:sz w:val="21"/>
                <w:szCs w:val="20"/>
              </w:rPr>
            </w:pPr>
            <w:r>
              <w:rPr>
                <w:rFonts w:ascii="Times New Roman" w:hAnsi="Times New Roman" w:eastAsia="仿宋" w:cs="Times New Roman"/>
                <w:color w:val="auto"/>
                <w:sz w:val="21"/>
                <w:szCs w:val="20"/>
              </w:rPr>
              <w:t>17</w:t>
            </w:r>
          </w:p>
        </w:tc>
        <w:tc>
          <w:tcPr>
            <w:tcW w:w="994" w:type="pct"/>
            <w:vMerge w:val="continue"/>
            <w:noWrap w:val="0"/>
            <w:vAlign w:val="center"/>
          </w:tcPr>
          <w:p w14:paraId="7A116DD0">
            <w:pPr>
              <w:widowControl/>
              <w:spacing w:line="320" w:lineRule="exact"/>
              <w:jc w:val="center"/>
              <w:rPr>
                <w:rFonts w:ascii="Times New Roman" w:hAnsi="Times New Roman" w:eastAsia="仿宋" w:cs="Times New Roman"/>
                <w:color w:val="auto"/>
                <w:sz w:val="21"/>
                <w:szCs w:val="20"/>
              </w:rPr>
            </w:pPr>
          </w:p>
        </w:tc>
        <w:tc>
          <w:tcPr>
            <w:tcW w:w="3512" w:type="pct"/>
            <w:noWrap w:val="0"/>
            <w:vAlign w:val="center"/>
          </w:tcPr>
          <w:p w14:paraId="5EEEBE10">
            <w:pPr>
              <w:widowControl/>
              <w:spacing w:line="320" w:lineRule="exact"/>
              <w:jc w:val="center"/>
              <w:rPr>
                <w:rFonts w:ascii="Times New Roman" w:hAnsi="Times New Roman" w:eastAsia="仿宋" w:cs="Times New Roman"/>
                <w:color w:val="auto"/>
                <w:sz w:val="21"/>
                <w:szCs w:val="20"/>
              </w:rPr>
            </w:pPr>
            <w:r>
              <w:rPr>
                <w:rFonts w:ascii="Times New Roman" w:hAnsi="Times New Roman" w:eastAsia="仿宋" w:cs="Times New Roman"/>
                <w:color w:val="auto"/>
                <w:sz w:val="21"/>
                <w:szCs w:val="20"/>
              </w:rPr>
              <w:t>生态环境损害赔偿制度</w:t>
            </w:r>
          </w:p>
        </w:tc>
      </w:tr>
      <w:tr w14:paraId="1EAFE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3" w:type="pct"/>
            <w:noWrap w:val="0"/>
            <w:vAlign w:val="center"/>
          </w:tcPr>
          <w:p w14:paraId="0BBE4818">
            <w:pPr>
              <w:widowControl/>
              <w:spacing w:line="320" w:lineRule="exact"/>
              <w:jc w:val="center"/>
              <w:rPr>
                <w:rFonts w:ascii="Times New Roman" w:hAnsi="Times New Roman" w:eastAsia="仿宋" w:cs="Times New Roman"/>
                <w:color w:val="auto"/>
                <w:sz w:val="21"/>
                <w:szCs w:val="20"/>
              </w:rPr>
            </w:pPr>
            <w:r>
              <w:rPr>
                <w:rFonts w:ascii="Times New Roman" w:hAnsi="Times New Roman" w:eastAsia="仿宋" w:cs="Times New Roman"/>
                <w:color w:val="auto"/>
                <w:sz w:val="21"/>
                <w:szCs w:val="20"/>
              </w:rPr>
              <w:t>18</w:t>
            </w:r>
          </w:p>
        </w:tc>
        <w:tc>
          <w:tcPr>
            <w:tcW w:w="994" w:type="pct"/>
            <w:vMerge w:val="continue"/>
            <w:noWrap w:val="0"/>
            <w:vAlign w:val="center"/>
          </w:tcPr>
          <w:p w14:paraId="0C0216D2">
            <w:pPr>
              <w:widowControl/>
              <w:spacing w:line="320" w:lineRule="exact"/>
              <w:jc w:val="center"/>
              <w:rPr>
                <w:rFonts w:ascii="Times New Roman" w:hAnsi="Times New Roman" w:eastAsia="仿宋" w:cs="Times New Roman"/>
                <w:color w:val="auto"/>
                <w:sz w:val="21"/>
                <w:szCs w:val="20"/>
              </w:rPr>
            </w:pPr>
          </w:p>
        </w:tc>
        <w:tc>
          <w:tcPr>
            <w:tcW w:w="3512" w:type="pct"/>
            <w:noWrap w:val="0"/>
            <w:vAlign w:val="center"/>
          </w:tcPr>
          <w:p w14:paraId="6F8C80B8">
            <w:pPr>
              <w:widowControl/>
              <w:spacing w:line="320" w:lineRule="exact"/>
              <w:jc w:val="center"/>
              <w:rPr>
                <w:rFonts w:ascii="Times New Roman" w:hAnsi="Times New Roman" w:eastAsia="仿宋" w:cs="Times New Roman"/>
                <w:color w:val="auto"/>
                <w:sz w:val="21"/>
                <w:szCs w:val="20"/>
              </w:rPr>
            </w:pPr>
            <w:r>
              <w:rPr>
                <w:rFonts w:ascii="Times New Roman" w:hAnsi="Times New Roman" w:eastAsia="仿宋" w:cs="Times New Roman"/>
                <w:color w:val="auto"/>
                <w:sz w:val="21"/>
                <w:szCs w:val="20"/>
              </w:rPr>
              <w:t>生态环境保护督察制度</w:t>
            </w:r>
          </w:p>
        </w:tc>
      </w:tr>
      <w:tr w14:paraId="3DE94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3" w:type="pct"/>
            <w:noWrap w:val="0"/>
            <w:vAlign w:val="center"/>
          </w:tcPr>
          <w:p w14:paraId="038B01D8">
            <w:pPr>
              <w:widowControl/>
              <w:spacing w:line="320" w:lineRule="exact"/>
              <w:jc w:val="center"/>
              <w:rPr>
                <w:rFonts w:ascii="Times New Roman" w:hAnsi="Times New Roman" w:eastAsia="仿宋" w:cs="Times New Roman"/>
                <w:color w:val="auto"/>
                <w:sz w:val="21"/>
                <w:szCs w:val="20"/>
              </w:rPr>
            </w:pPr>
            <w:r>
              <w:rPr>
                <w:rFonts w:ascii="Times New Roman" w:hAnsi="Times New Roman" w:eastAsia="仿宋" w:cs="Times New Roman"/>
                <w:color w:val="auto"/>
                <w:sz w:val="21"/>
                <w:szCs w:val="20"/>
              </w:rPr>
              <w:t>19</w:t>
            </w:r>
          </w:p>
        </w:tc>
        <w:tc>
          <w:tcPr>
            <w:tcW w:w="994" w:type="pct"/>
            <w:vMerge w:val="continue"/>
            <w:noWrap w:val="0"/>
            <w:vAlign w:val="center"/>
          </w:tcPr>
          <w:p w14:paraId="4BF92554">
            <w:pPr>
              <w:widowControl/>
              <w:spacing w:line="320" w:lineRule="exact"/>
              <w:jc w:val="center"/>
              <w:rPr>
                <w:rFonts w:ascii="Times New Roman" w:hAnsi="Times New Roman" w:eastAsia="仿宋" w:cs="Times New Roman"/>
                <w:color w:val="auto"/>
                <w:sz w:val="21"/>
                <w:szCs w:val="20"/>
              </w:rPr>
            </w:pPr>
          </w:p>
        </w:tc>
        <w:tc>
          <w:tcPr>
            <w:tcW w:w="3512" w:type="pct"/>
            <w:noWrap w:val="0"/>
            <w:vAlign w:val="center"/>
          </w:tcPr>
          <w:p w14:paraId="1411460A">
            <w:pPr>
              <w:widowControl/>
              <w:spacing w:line="320" w:lineRule="exact"/>
              <w:jc w:val="center"/>
              <w:rPr>
                <w:rFonts w:ascii="Times New Roman" w:hAnsi="Times New Roman" w:eastAsia="仿宋" w:cs="Times New Roman"/>
                <w:color w:val="auto"/>
                <w:sz w:val="21"/>
                <w:szCs w:val="20"/>
              </w:rPr>
            </w:pPr>
            <w:r>
              <w:rPr>
                <w:rFonts w:ascii="Times New Roman" w:hAnsi="Times New Roman" w:eastAsia="仿宋" w:cs="Times New Roman"/>
                <w:color w:val="auto"/>
                <w:sz w:val="21"/>
                <w:szCs w:val="20"/>
              </w:rPr>
              <w:t>生态产品价值实现机制</w:t>
            </w:r>
          </w:p>
        </w:tc>
      </w:tr>
      <w:tr w14:paraId="1F17F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3" w:type="pct"/>
            <w:noWrap w:val="0"/>
            <w:vAlign w:val="center"/>
          </w:tcPr>
          <w:p w14:paraId="07F9938A">
            <w:pPr>
              <w:widowControl/>
              <w:spacing w:line="320" w:lineRule="exact"/>
              <w:jc w:val="center"/>
              <w:rPr>
                <w:rFonts w:ascii="Times New Roman" w:hAnsi="Times New Roman" w:eastAsia="仿宋" w:cs="Times New Roman"/>
                <w:color w:val="auto"/>
                <w:sz w:val="21"/>
                <w:szCs w:val="20"/>
              </w:rPr>
            </w:pPr>
            <w:r>
              <w:rPr>
                <w:rFonts w:ascii="Times New Roman" w:hAnsi="Times New Roman" w:eastAsia="仿宋" w:cs="Times New Roman"/>
                <w:color w:val="auto"/>
                <w:sz w:val="21"/>
                <w:szCs w:val="20"/>
              </w:rPr>
              <w:t>20</w:t>
            </w:r>
          </w:p>
        </w:tc>
        <w:tc>
          <w:tcPr>
            <w:tcW w:w="994" w:type="pct"/>
            <w:noWrap w:val="0"/>
            <w:vAlign w:val="center"/>
          </w:tcPr>
          <w:p w14:paraId="03DBB8DE">
            <w:pPr>
              <w:widowControl/>
              <w:spacing w:line="320" w:lineRule="exact"/>
              <w:jc w:val="center"/>
              <w:rPr>
                <w:rFonts w:ascii="Times New Roman" w:hAnsi="Times New Roman" w:eastAsia="仿宋" w:cs="Times New Roman"/>
                <w:color w:val="auto"/>
                <w:sz w:val="21"/>
                <w:szCs w:val="20"/>
              </w:rPr>
            </w:pPr>
            <w:r>
              <w:rPr>
                <w:rFonts w:ascii="Times New Roman" w:hAnsi="Times New Roman" w:eastAsia="仿宋" w:cs="Times New Roman"/>
                <w:color w:val="auto"/>
                <w:sz w:val="21"/>
                <w:szCs w:val="20"/>
              </w:rPr>
              <w:t>创新型制度</w:t>
            </w:r>
          </w:p>
        </w:tc>
        <w:tc>
          <w:tcPr>
            <w:tcW w:w="3512" w:type="pct"/>
            <w:noWrap w:val="0"/>
            <w:vAlign w:val="center"/>
          </w:tcPr>
          <w:p w14:paraId="2B6F3F94">
            <w:pPr>
              <w:widowControl/>
              <w:spacing w:line="320" w:lineRule="exact"/>
              <w:jc w:val="center"/>
              <w:rPr>
                <w:rFonts w:ascii="Times New Roman" w:hAnsi="Times New Roman" w:eastAsia="仿宋" w:cs="Times New Roman"/>
                <w:color w:val="auto"/>
                <w:sz w:val="21"/>
                <w:szCs w:val="20"/>
              </w:rPr>
            </w:pPr>
            <w:r>
              <w:rPr>
                <w:rFonts w:hint="eastAsia" w:ascii="Times New Roman" w:hAnsi="Times New Roman" w:eastAsia="仿宋" w:cs="Times New Roman"/>
                <w:color w:val="auto"/>
                <w:sz w:val="21"/>
                <w:szCs w:val="20"/>
                <w:lang w:val="en-US" w:eastAsia="zh-CN"/>
              </w:rPr>
              <w:t>元江</w:t>
            </w:r>
            <w:r>
              <w:rPr>
                <w:rFonts w:hint="eastAsia" w:ascii="Times New Roman" w:hAnsi="Times New Roman" w:eastAsia="仿宋" w:cs="Times New Roman"/>
                <w:color w:val="auto"/>
                <w:sz w:val="21"/>
                <w:szCs w:val="20"/>
              </w:rPr>
              <w:t>流域生态补偿机制</w:t>
            </w:r>
          </w:p>
        </w:tc>
      </w:tr>
      <w:tr w14:paraId="34E0F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 w:hRule="atLeast"/>
        </w:trPr>
        <w:tc>
          <w:tcPr>
            <w:tcW w:w="493" w:type="pct"/>
            <w:noWrap w:val="0"/>
            <w:vAlign w:val="center"/>
          </w:tcPr>
          <w:p w14:paraId="5BCD1804">
            <w:pPr>
              <w:widowControl/>
              <w:spacing w:line="320" w:lineRule="exact"/>
              <w:jc w:val="center"/>
              <w:rPr>
                <w:rFonts w:ascii="Times New Roman" w:hAnsi="Times New Roman" w:eastAsia="仿宋" w:cs="Times New Roman"/>
                <w:color w:val="auto"/>
                <w:sz w:val="21"/>
                <w:szCs w:val="20"/>
              </w:rPr>
            </w:pPr>
            <w:r>
              <w:rPr>
                <w:rFonts w:ascii="Times New Roman" w:hAnsi="Times New Roman" w:eastAsia="仿宋" w:cs="Times New Roman"/>
                <w:color w:val="auto"/>
                <w:sz w:val="21"/>
                <w:szCs w:val="20"/>
              </w:rPr>
              <w:t>21</w:t>
            </w:r>
          </w:p>
        </w:tc>
        <w:tc>
          <w:tcPr>
            <w:tcW w:w="994" w:type="pct"/>
            <w:vMerge w:val="restart"/>
            <w:noWrap w:val="0"/>
            <w:vAlign w:val="center"/>
          </w:tcPr>
          <w:p w14:paraId="68E40BC6">
            <w:pPr>
              <w:widowControl/>
              <w:spacing w:line="320" w:lineRule="exact"/>
              <w:jc w:val="center"/>
              <w:rPr>
                <w:rFonts w:ascii="Times New Roman" w:hAnsi="Times New Roman" w:eastAsia="仿宋" w:cs="Times New Roman"/>
                <w:color w:val="auto"/>
                <w:sz w:val="21"/>
                <w:szCs w:val="20"/>
              </w:rPr>
            </w:pPr>
            <w:r>
              <w:rPr>
                <w:rFonts w:ascii="Times New Roman" w:hAnsi="Times New Roman" w:eastAsia="仿宋" w:cs="Times New Roman"/>
                <w:color w:val="auto"/>
                <w:sz w:val="21"/>
                <w:szCs w:val="20"/>
              </w:rPr>
              <w:t>探索制度</w:t>
            </w:r>
          </w:p>
        </w:tc>
        <w:tc>
          <w:tcPr>
            <w:tcW w:w="3512" w:type="pct"/>
            <w:noWrap w:val="0"/>
            <w:vAlign w:val="center"/>
          </w:tcPr>
          <w:p w14:paraId="7EC0600B">
            <w:pPr>
              <w:widowControl/>
              <w:spacing w:line="320" w:lineRule="exact"/>
              <w:jc w:val="center"/>
              <w:rPr>
                <w:rFonts w:ascii="Times New Roman" w:hAnsi="Times New Roman" w:eastAsia="仿宋" w:cs="Times New Roman"/>
                <w:color w:val="auto"/>
                <w:sz w:val="21"/>
                <w:szCs w:val="20"/>
              </w:rPr>
            </w:pPr>
            <w:r>
              <w:rPr>
                <w:rFonts w:ascii="Times New Roman" w:hAnsi="Times New Roman" w:eastAsia="仿宋" w:cs="Times New Roman"/>
                <w:color w:val="auto"/>
                <w:sz w:val="21"/>
                <w:szCs w:val="20"/>
              </w:rPr>
              <w:t>环境污染损害责任保险制度</w:t>
            </w:r>
          </w:p>
        </w:tc>
      </w:tr>
      <w:tr w14:paraId="46B13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 w:hRule="atLeast"/>
        </w:trPr>
        <w:tc>
          <w:tcPr>
            <w:tcW w:w="493" w:type="pct"/>
            <w:noWrap w:val="0"/>
            <w:vAlign w:val="center"/>
          </w:tcPr>
          <w:p w14:paraId="195B3BCB">
            <w:pPr>
              <w:widowControl/>
              <w:spacing w:line="320" w:lineRule="exact"/>
              <w:jc w:val="center"/>
              <w:rPr>
                <w:rFonts w:ascii="Times New Roman" w:hAnsi="Times New Roman" w:eastAsia="仿宋" w:cs="Times New Roman"/>
                <w:color w:val="auto"/>
                <w:sz w:val="21"/>
                <w:szCs w:val="20"/>
              </w:rPr>
            </w:pPr>
            <w:r>
              <w:rPr>
                <w:rFonts w:ascii="Times New Roman" w:hAnsi="Times New Roman" w:eastAsia="仿宋" w:cs="Times New Roman"/>
                <w:color w:val="auto"/>
                <w:sz w:val="21"/>
                <w:szCs w:val="20"/>
              </w:rPr>
              <w:t>22</w:t>
            </w:r>
          </w:p>
        </w:tc>
        <w:tc>
          <w:tcPr>
            <w:tcW w:w="994" w:type="pct"/>
            <w:vMerge w:val="continue"/>
            <w:noWrap w:val="0"/>
            <w:vAlign w:val="center"/>
          </w:tcPr>
          <w:p w14:paraId="6006B9F9">
            <w:pPr>
              <w:widowControl/>
              <w:spacing w:line="320" w:lineRule="exact"/>
              <w:jc w:val="center"/>
              <w:rPr>
                <w:rFonts w:ascii="Times New Roman" w:hAnsi="Times New Roman" w:eastAsia="仿宋" w:cs="Times New Roman"/>
                <w:color w:val="auto"/>
                <w:sz w:val="21"/>
                <w:szCs w:val="20"/>
              </w:rPr>
            </w:pPr>
          </w:p>
        </w:tc>
        <w:tc>
          <w:tcPr>
            <w:tcW w:w="3512" w:type="pct"/>
            <w:noWrap w:val="0"/>
            <w:vAlign w:val="center"/>
          </w:tcPr>
          <w:p w14:paraId="54E3E6D0">
            <w:pPr>
              <w:widowControl/>
              <w:spacing w:line="320" w:lineRule="exact"/>
              <w:jc w:val="center"/>
              <w:rPr>
                <w:rFonts w:ascii="Times New Roman" w:hAnsi="Times New Roman" w:eastAsia="仿宋" w:cs="Times New Roman"/>
                <w:color w:val="auto"/>
                <w:sz w:val="21"/>
                <w:szCs w:val="20"/>
              </w:rPr>
            </w:pPr>
            <w:r>
              <w:rPr>
                <w:rFonts w:ascii="Times New Roman" w:hAnsi="Times New Roman" w:eastAsia="仿宋" w:cs="Times New Roman"/>
                <w:color w:val="auto"/>
                <w:sz w:val="21"/>
                <w:szCs w:val="20"/>
              </w:rPr>
              <w:t>生态产品价值核算及应用机制</w:t>
            </w:r>
          </w:p>
        </w:tc>
      </w:tr>
    </w:tbl>
    <w:p w14:paraId="3643454F">
      <w:pPr>
        <w:bidi w:val="0"/>
      </w:pPr>
    </w:p>
    <w:p w14:paraId="71550017">
      <w:pPr>
        <w:bidi w:val="0"/>
      </w:pPr>
    </w:p>
    <w:p w14:paraId="672F6911">
      <w:pPr>
        <w:bidi w:val="0"/>
        <w:sectPr>
          <w:headerReference r:id="rId9" w:type="default"/>
          <w:footerReference r:id="rId10" w:type="default"/>
          <w:pgSz w:w="11906" w:h="16838"/>
          <w:pgMar w:top="1440" w:right="1797" w:bottom="1440" w:left="1797" w:header="851" w:footer="992" w:gutter="0"/>
          <w:pgBorders>
            <w:top w:val="none" w:sz="0" w:space="0"/>
            <w:left w:val="none" w:sz="0" w:space="0"/>
            <w:bottom w:val="none" w:sz="0" w:space="0"/>
            <w:right w:val="none" w:sz="0" w:space="0"/>
          </w:pgBorders>
          <w:pgNumType w:fmt="decimal"/>
          <w:cols w:space="425" w:num="1"/>
          <w:docGrid w:linePitch="312" w:charSpace="0"/>
        </w:sectPr>
      </w:pPr>
    </w:p>
    <w:bookmarkEnd w:id="237"/>
    <w:bookmarkEnd w:id="238"/>
    <w:bookmarkEnd w:id="239"/>
    <w:bookmarkEnd w:id="240"/>
    <w:p w14:paraId="2CA7C1C8">
      <w:pPr>
        <w:pStyle w:val="3"/>
        <w:pageBreakBefore w:val="0"/>
        <w:kinsoku/>
        <w:wordWrap/>
        <w:overflowPunct/>
        <w:topLinePunct w:val="0"/>
        <w:autoSpaceDE/>
        <w:autoSpaceDN/>
        <w:bidi w:val="0"/>
        <w:spacing w:before="0" w:after="0" w:line="500" w:lineRule="exact"/>
        <w:jc w:val="center"/>
        <w:textAlignment w:val="auto"/>
        <w:rPr>
          <w:rFonts w:hint="default" w:ascii="Times New Roman" w:hAnsi="Times New Roman" w:eastAsia="仿宋" w:cs="Times New Roman"/>
          <w:color w:val="auto"/>
          <w:sz w:val="44"/>
          <w:lang w:val="en-US" w:eastAsia="zh-CN"/>
        </w:rPr>
      </w:pPr>
      <w:bookmarkStart w:id="312" w:name="_Toc7226"/>
      <w:bookmarkStart w:id="313" w:name="_Toc35697786"/>
      <w:bookmarkStart w:id="314" w:name="_Toc9516127"/>
      <w:bookmarkStart w:id="315" w:name="_Toc514661276"/>
      <w:bookmarkStart w:id="316" w:name="_Toc112155889"/>
      <w:r>
        <w:rPr>
          <w:rFonts w:hint="default" w:ascii="Times New Roman" w:hAnsi="Times New Roman" w:eastAsia="仿宋" w:cs="Times New Roman"/>
          <w:color w:val="auto"/>
          <w:sz w:val="44"/>
          <w:lang w:val="en-US" w:eastAsia="zh-CN"/>
        </w:rPr>
        <w:t>6坚持全面统筹，建设生态安全体系</w:t>
      </w:r>
      <w:bookmarkEnd w:id="312"/>
    </w:p>
    <w:p w14:paraId="42B001F9">
      <w:pPr>
        <w:pStyle w:val="4"/>
        <w:pageBreakBefore w:val="0"/>
        <w:kinsoku/>
        <w:wordWrap/>
        <w:overflowPunct/>
        <w:topLinePunct w:val="0"/>
        <w:autoSpaceDE/>
        <w:autoSpaceDN/>
        <w:bidi w:val="0"/>
        <w:spacing w:before="260" w:after="260" w:line="500" w:lineRule="exact"/>
        <w:ind w:firstLine="0"/>
        <w:textAlignment w:val="auto"/>
        <w:rPr>
          <w:rFonts w:hint="default" w:ascii="Times New Roman" w:hAnsi="Times New Roman" w:eastAsia="仿宋" w:cs="Times New Roman"/>
          <w:color w:val="auto"/>
          <w:sz w:val="32"/>
          <w:lang w:val="en-US" w:eastAsia="zh-CN"/>
        </w:rPr>
      </w:pPr>
      <w:bookmarkStart w:id="317" w:name="_Toc23359"/>
      <w:bookmarkStart w:id="318" w:name="_Toc31659"/>
      <w:bookmarkStart w:id="319" w:name="_Toc12926"/>
      <w:bookmarkStart w:id="320" w:name="_Toc4192"/>
      <w:bookmarkStart w:id="321" w:name="_Toc89"/>
      <w:bookmarkStart w:id="322" w:name="_Toc10663"/>
      <w:bookmarkStart w:id="323" w:name="_Toc15149"/>
      <w:bookmarkStart w:id="324" w:name="_Toc27641"/>
      <w:bookmarkStart w:id="325" w:name="_Toc10514"/>
      <w:bookmarkStart w:id="326" w:name="_Toc2711"/>
      <w:r>
        <w:rPr>
          <w:rFonts w:hint="eastAsia" w:ascii="Times New Roman" w:hAnsi="Times New Roman" w:eastAsia="仿宋" w:cs="Times New Roman"/>
          <w:color w:val="auto"/>
          <w:sz w:val="32"/>
          <w:lang w:val="en-US" w:eastAsia="zh-CN"/>
        </w:rPr>
        <w:t>6.1</w:t>
      </w:r>
      <w:r>
        <w:rPr>
          <w:rFonts w:hint="default" w:ascii="Times New Roman" w:hAnsi="Times New Roman" w:eastAsia="仿宋" w:cs="Times New Roman"/>
          <w:color w:val="auto"/>
          <w:sz w:val="32"/>
          <w:lang w:val="en-US" w:eastAsia="zh-CN"/>
        </w:rPr>
        <w:t>稳定保持水生态环境质量</w:t>
      </w:r>
      <w:bookmarkEnd w:id="317"/>
      <w:bookmarkEnd w:id="318"/>
      <w:bookmarkEnd w:id="319"/>
      <w:bookmarkEnd w:id="320"/>
      <w:bookmarkEnd w:id="321"/>
      <w:bookmarkEnd w:id="322"/>
      <w:bookmarkEnd w:id="323"/>
      <w:bookmarkEnd w:id="324"/>
      <w:bookmarkEnd w:id="325"/>
      <w:bookmarkEnd w:id="326"/>
    </w:p>
    <w:p w14:paraId="2A28AC62">
      <w:pPr>
        <w:keepNext w:val="0"/>
        <w:keepLines w:val="0"/>
        <w:pageBreakBefore w:val="0"/>
        <w:numPr>
          <w:ilvl w:val="0"/>
          <w:numId w:val="0"/>
        </w:numPr>
        <w:kinsoku/>
        <w:wordWrap/>
        <w:overflowPunct/>
        <w:topLinePunct w:val="0"/>
        <w:autoSpaceDE/>
        <w:autoSpaceDN/>
        <w:bidi w:val="0"/>
        <w:snapToGrid w:val="0"/>
        <w:spacing w:before="157" w:beforeLines="50" w:after="157" w:afterLines="50" w:line="500" w:lineRule="exact"/>
        <w:textAlignment w:val="auto"/>
        <w:outlineLvl w:val="2"/>
        <w:rPr>
          <w:rFonts w:hint="default" w:ascii="Times New Roman" w:hAnsi="Times New Roman" w:eastAsia="宋体" w:cs="Times New Roman"/>
          <w:b/>
          <w:bCs/>
          <w:snapToGrid w:val="0"/>
          <w:color w:val="auto"/>
          <w:kern w:val="2"/>
          <w:sz w:val="28"/>
          <w:szCs w:val="28"/>
          <w:highlight w:val="none"/>
          <w:lang w:val="en-US" w:eastAsia="zh-CN" w:bidi="ar-SA"/>
        </w:rPr>
      </w:pPr>
      <w:bookmarkStart w:id="327" w:name="_Toc19064"/>
      <w:bookmarkStart w:id="328" w:name="_Toc15136"/>
      <w:bookmarkStart w:id="329" w:name="_Toc3789"/>
      <w:bookmarkStart w:id="330" w:name="_Toc4553"/>
      <w:bookmarkStart w:id="331" w:name="_Toc1978"/>
      <w:r>
        <w:rPr>
          <w:rFonts w:hint="eastAsia" w:ascii="Times New Roman" w:hAnsi="Times New Roman" w:eastAsia="宋体" w:cs="Times New Roman"/>
          <w:b/>
          <w:bCs/>
          <w:snapToGrid w:val="0"/>
          <w:color w:val="auto"/>
          <w:kern w:val="2"/>
          <w:sz w:val="28"/>
          <w:szCs w:val="28"/>
          <w:highlight w:val="none"/>
          <w:lang w:val="en-US" w:eastAsia="zh-CN" w:bidi="ar-SA"/>
        </w:rPr>
        <w:t>6.1</w:t>
      </w:r>
      <w:r>
        <w:rPr>
          <w:rFonts w:hint="default" w:ascii="Times New Roman" w:hAnsi="Times New Roman" w:eastAsia="宋体" w:cs="Times New Roman"/>
          <w:b/>
          <w:bCs/>
          <w:snapToGrid w:val="0"/>
          <w:color w:val="auto"/>
          <w:kern w:val="2"/>
          <w:sz w:val="28"/>
          <w:szCs w:val="28"/>
          <w:highlight w:val="none"/>
          <w:lang w:val="en-US" w:eastAsia="zh-CN" w:bidi="ar-SA"/>
        </w:rPr>
        <w:t>.1保障水环境安全</w:t>
      </w:r>
      <w:bookmarkEnd w:id="327"/>
      <w:bookmarkEnd w:id="328"/>
      <w:bookmarkEnd w:id="329"/>
    </w:p>
    <w:p w14:paraId="6E5B811E">
      <w:pPr>
        <w:pStyle w:val="6"/>
        <w:pageBreakBefore w:val="0"/>
        <w:kinsoku/>
        <w:wordWrap/>
        <w:overflowPunct/>
        <w:topLinePunct w:val="0"/>
        <w:autoSpaceDE/>
        <w:autoSpaceDN/>
        <w:bidi w:val="0"/>
        <w:spacing w:line="500" w:lineRule="exact"/>
        <w:textAlignment w:val="auto"/>
        <w:rPr>
          <w:rFonts w:hint="default" w:ascii="Times New Roman" w:hAnsi="Times New Roman" w:eastAsia="仿宋" w:cs="Times New Roman"/>
          <w:b/>
          <w:bCs/>
          <w:snapToGrid w:val="0"/>
          <w:color w:val="auto"/>
          <w:kern w:val="2"/>
          <w:sz w:val="28"/>
          <w:szCs w:val="32"/>
          <w:lang w:val="en-US" w:eastAsia="zh-CN" w:bidi="ar-SA"/>
        </w:rPr>
      </w:pPr>
      <w:r>
        <w:rPr>
          <w:rFonts w:hint="eastAsia" w:ascii="Times New Roman" w:hAnsi="Times New Roman" w:eastAsia="仿宋" w:cs="Times New Roman"/>
          <w:b/>
          <w:bCs/>
          <w:snapToGrid w:val="0"/>
          <w:color w:val="auto"/>
          <w:kern w:val="2"/>
          <w:sz w:val="28"/>
          <w:szCs w:val="32"/>
          <w:lang w:val="en-US" w:eastAsia="zh-CN" w:bidi="ar-SA"/>
        </w:rPr>
        <w:t>6.1</w:t>
      </w:r>
      <w:r>
        <w:rPr>
          <w:rFonts w:hint="default" w:ascii="Times New Roman" w:hAnsi="Times New Roman" w:eastAsia="仿宋" w:cs="Times New Roman"/>
          <w:b/>
          <w:bCs/>
          <w:snapToGrid w:val="0"/>
          <w:color w:val="auto"/>
          <w:kern w:val="2"/>
          <w:sz w:val="28"/>
          <w:szCs w:val="32"/>
          <w:lang w:val="en-US" w:eastAsia="zh-CN" w:bidi="ar-SA"/>
        </w:rPr>
        <w:t>.1.</w:t>
      </w:r>
      <w:r>
        <w:rPr>
          <w:rFonts w:hint="eastAsia" w:ascii="Times New Roman" w:hAnsi="Times New Roman" w:eastAsia="仿宋" w:cs="Times New Roman"/>
          <w:b/>
          <w:bCs/>
          <w:snapToGrid w:val="0"/>
          <w:color w:val="auto"/>
          <w:kern w:val="2"/>
          <w:sz w:val="28"/>
          <w:szCs w:val="32"/>
          <w:lang w:val="en-US" w:eastAsia="zh-CN" w:bidi="ar-SA"/>
        </w:rPr>
        <w:t>1</w:t>
      </w:r>
      <w:r>
        <w:rPr>
          <w:rFonts w:hint="default" w:ascii="Times New Roman" w:hAnsi="Times New Roman" w:eastAsia="仿宋" w:cs="Times New Roman"/>
          <w:b/>
          <w:bCs/>
          <w:snapToGrid w:val="0"/>
          <w:color w:val="auto"/>
          <w:kern w:val="2"/>
          <w:sz w:val="28"/>
          <w:szCs w:val="32"/>
          <w:lang w:val="en-US" w:eastAsia="zh-CN" w:bidi="ar-SA"/>
        </w:rPr>
        <w:t>协同推进红河水系元江流域水污染防治</w:t>
      </w:r>
    </w:p>
    <w:p w14:paraId="60246681">
      <w:pPr>
        <w:keepNext w:val="0"/>
        <w:keepLines w:val="0"/>
        <w:pageBreakBefore w:val="0"/>
        <w:widowControl/>
        <w:kinsoku/>
        <w:wordWrap/>
        <w:overflowPunct/>
        <w:topLinePunct w:val="0"/>
        <w:autoSpaceDE/>
        <w:autoSpaceDN/>
        <w:bidi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探索实施红河水系元江流域污水回用新方式，以减轻红河水系元江流域污染负荷。坚持上下游协调联动，统筹推进红河水系水污染综合防治工作。流域上游积极推进水源地保护和水源涵养林修复工程，抓好小流域治理；着力完善“两污”设施，及推进面山水土流失防治。加强工矿污染控制和脆弱生态修复。平甸河、戛洒江等主要流域实施村镇生活治理、畜禽养殖污染控制、农田面源污染治理和滨河生态修复</w:t>
      </w:r>
      <w:r>
        <w:rPr>
          <w:rFonts w:hint="eastAsia" w:ascii="Times New Roman" w:hAnsi="Times New Roman" w:eastAsia="方正仿宋_GBK" w:cs="方正仿宋_GBK"/>
          <w:b w:val="0"/>
          <w:bCs w:val="0"/>
          <w:color w:val="auto"/>
          <w:kern w:val="2"/>
          <w:sz w:val="28"/>
          <w:szCs w:val="28"/>
          <w:lang w:val="en-US" w:eastAsia="zh-CN" w:bidi="ar-SA"/>
        </w:rPr>
        <w:t>。加大入河排污口的排查整改力度，依法查处各类生态环境违法行为。同时积极向上争取专项资金，开展流域农村环境综合整治。</w:t>
      </w:r>
    </w:p>
    <w:p w14:paraId="59AF593C">
      <w:pPr>
        <w:pStyle w:val="6"/>
        <w:pageBreakBefore w:val="0"/>
        <w:kinsoku/>
        <w:wordWrap/>
        <w:overflowPunct/>
        <w:topLinePunct w:val="0"/>
        <w:autoSpaceDE/>
        <w:autoSpaceDN/>
        <w:bidi w:val="0"/>
        <w:spacing w:line="500" w:lineRule="exact"/>
        <w:textAlignment w:val="auto"/>
        <w:rPr>
          <w:rFonts w:hint="default" w:ascii="Times New Roman" w:hAnsi="Times New Roman" w:eastAsia="仿宋" w:cs="Times New Roman"/>
          <w:b/>
          <w:bCs/>
          <w:snapToGrid w:val="0"/>
          <w:color w:val="auto"/>
          <w:kern w:val="2"/>
          <w:sz w:val="28"/>
          <w:szCs w:val="32"/>
          <w:lang w:val="en-US" w:eastAsia="zh-CN" w:bidi="ar-SA"/>
        </w:rPr>
      </w:pPr>
      <w:r>
        <w:rPr>
          <w:rFonts w:hint="eastAsia" w:ascii="Times New Roman" w:hAnsi="Times New Roman" w:eastAsia="仿宋" w:cs="Times New Roman"/>
          <w:b/>
          <w:bCs/>
          <w:snapToGrid w:val="0"/>
          <w:color w:val="auto"/>
          <w:kern w:val="2"/>
          <w:sz w:val="28"/>
          <w:szCs w:val="32"/>
          <w:lang w:val="en-US" w:eastAsia="zh-CN" w:bidi="ar-SA"/>
        </w:rPr>
        <w:t>6.1</w:t>
      </w:r>
      <w:r>
        <w:rPr>
          <w:rFonts w:hint="default" w:ascii="Times New Roman" w:hAnsi="Times New Roman" w:eastAsia="仿宋" w:cs="Times New Roman"/>
          <w:b/>
          <w:bCs/>
          <w:snapToGrid w:val="0"/>
          <w:color w:val="auto"/>
          <w:kern w:val="2"/>
          <w:sz w:val="28"/>
          <w:szCs w:val="32"/>
          <w:lang w:val="en-US" w:eastAsia="zh-CN" w:bidi="ar-SA"/>
        </w:rPr>
        <w:t>.1.</w:t>
      </w:r>
      <w:r>
        <w:rPr>
          <w:rFonts w:hint="eastAsia" w:ascii="Times New Roman" w:hAnsi="Times New Roman" w:eastAsia="仿宋" w:cs="Times New Roman"/>
          <w:b/>
          <w:bCs/>
          <w:snapToGrid w:val="0"/>
          <w:color w:val="auto"/>
          <w:kern w:val="2"/>
          <w:sz w:val="28"/>
          <w:szCs w:val="32"/>
          <w:lang w:val="en-US" w:eastAsia="zh-CN" w:bidi="ar-SA"/>
        </w:rPr>
        <w:t>2</w:t>
      </w:r>
      <w:r>
        <w:rPr>
          <w:rFonts w:hint="default" w:ascii="Times New Roman" w:hAnsi="Times New Roman" w:eastAsia="仿宋" w:cs="Times New Roman"/>
          <w:b/>
          <w:bCs/>
          <w:snapToGrid w:val="0"/>
          <w:color w:val="auto"/>
          <w:kern w:val="2"/>
          <w:sz w:val="28"/>
          <w:szCs w:val="32"/>
          <w:lang w:val="en-US" w:eastAsia="zh-CN" w:bidi="ar-SA"/>
        </w:rPr>
        <w:t>加大饮用水水源保护力度</w:t>
      </w:r>
    </w:p>
    <w:p w14:paraId="59180BD3">
      <w:pPr>
        <w:keepNext w:val="0"/>
        <w:keepLines w:val="0"/>
        <w:pageBreakBefore w:val="0"/>
        <w:widowControl/>
        <w:kinsoku/>
        <w:wordWrap/>
        <w:overflowPunct/>
        <w:topLinePunct w:val="0"/>
        <w:autoSpaceDE/>
        <w:autoSpaceDN/>
        <w:bidi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确保饮用水源水质稳定保持。以清水河水库、他拉河水库2个集中式饮用水源地为重点，严格水源保护。全面推进水源地环境整治，加强供水全过程管理，严格执行水资源开发利用控制红线、用水效率控制红线和水功能区限制纳污控制红线，保障水资源可持续利用；实现一级保护区的封闭管理，减少人员活动对水源的污染；保护水源涵养林，治理水土流失，实施小流域农村“两污”和人畜粪便污染治理等工程，建立沿河自上而下系统的、多层次的拦截防控体系，构建污染防治与生态建设工程体系，将流域建设成“有水则清、无水则绿”的良好生态系统；强化水源地保护规划落实和定期评估工作。重点对水源所在地的基础环境状况、水质情况、污染源信息以及环境管理情况进行评估，针对存在的问题提出</w:t>
      </w:r>
      <w:r>
        <w:rPr>
          <w:rFonts w:hint="eastAsia" w:ascii="Times New Roman" w:hAnsi="Times New Roman" w:eastAsia="方正仿宋_GBK" w:cs="方正仿宋_GBK"/>
          <w:b w:val="0"/>
          <w:bCs w:val="0"/>
          <w:color w:val="auto"/>
          <w:kern w:val="2"/>
          <w:sz w:val="28"/>
          <w:szCs w:val="28"/>
          <w:lang w:val="en-US" w:eastAsia="zh-CN" w:bidi="ar-SA"/>
        </w:rPr>
        <w:t>有针对性的整改措施</w:t>
      </w:r>
      <w:r>
        <w:rPr>
          <w:rFonts w:hint="default" w:ascii="Times New Roman" w:hAnsi="Times New Roman" w:eastAsia="方正仿宋_GBK" w:cs="方正仿宋_GBK"/>
          <w:b w:val="0"/>
          <w:bCs w:val="0"/>
          <w:color w:val="auto"/>
          <w:kern w:val="2"/>
          <w:sz w:val="28"/>
          <w:szCs w:val="28"/>
          <w:lang w:val="en-US" w:eastAsia="zh-CN" w:bidi="ar-SA"/>
        </w:rPr>
        <w:t>；完善水源地管理制度，进一步研究提出可操作性强的水源地监管措施，制定出台水源地监督巡查制度、综合执法制度、应急保障制度，保证饮用水水源地水源安全。确保县城以上集中式饮用水源地水质达标率稳定保持100%。</w:t>
      </w:r>
    </w:p>
    <w:p w14:paraId="16128BEF">
      <w:pPr>
        <w:keepNext w:val="0"/>
        <w:keepLines w:val="0"/>
        <w:pageBreakBefore w:val="0"/>
        <w:widowControl/>
        <w:kinsoku/>
        <w:wordWrap/>
        <w:overflowPunct/>
        <w:topLinePunct w:val="0"/>
        <w:autoSpaceDE/>
        <w:autoSpaceDN/>
        <w:bidi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建立水资源补偿和监督机制。加强集中式供水水源地的保护和监督管理，确保供水水源地水环境质量达到水功能区和水资源保护目标，对各集中式供水水资源地保护区必须采取一定的保护、监督和管理措施。</w:t>
      </w:r>
    </w:p>
    <w:p w14:paraId="185DD1B7">
      <w:pPr>
        <w:keepNext w:val="0"/>
        <w:keepLines w:val="0"/>
        <w:pageBreakBefore w:val="0"/>
        <w:widowControl/>
        <w:kinsoku/>
        <w:wordWrap/>
        <w:overflowPunct/>
        <w:topLinePunct w:val="0"/>
        <w:autoSpaceDE/>
        <w:autoSpaceDN/>
        <w:bidi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加强饮用水源地环境监管，禁止在水源保护区建设有污染物排放和破坏生态的项目。调整水源保护区的农业产业结构，推广生态农业，实施测土配方施肥，大力推广运用有机肥，最大限度减少化肥农药的施用量，提高农业废弃物综合利用率。限制畜禽养殖规模，根据水源保护区划分，一级保护区和二级保护区分别划定为禁养区和限养区。因地制宜，建设村庄生活污水及生活垃圾处理设施，实现水源保护区一、二级保护区内80%以上的村庄有生活污水及垃圾处理设施。加强水源保护区建设，提高水源涵养林效益。加大水源涵养林的抚育、更新、补种补植力度，提高适宜本地区的水源涵养效益好的混交林、阔叶林的比重。完善饮用水源地保护设施，主要集中式饮用水源地水质控制在Ⅱ类地表水标准范围内，主要集中式饮用水源地水质达标率达到100%。</w:t>
      </w:r>
    </w:p>
    <w:p w14:paraId="22332CF0">
      <w:pPr>
        <w:pStyle w:val="6"/>
        <w:pageBreakBefore w:val="0"/>
        <w:kinsoku/>
        <w:wordWrap/>
        <w:overflowPunct/>
        <w:topLinePunct w:val="0"/>
        <w:autoSpaceDE/>
        <w:autoSpaceDN/>
        <w:bidi w:val="0"/>
        <w:spacing w:line="500" w:lineRule="exact"/>
        <w:textAlignment w:val="auto"/>
        <w:rPr>
          <w:rFonts w:hint="default" w:ascii="Times New Roman" w:hAnsi="Times New Roman" w:eastAsia="仿宋" w:cs="Times New Roman"/>
          <w:b/>
          <w:bCs/>
          <w:snapToGrid w:val="0"/>
          <w:color w:val="auto"/>
          <w:kern w:val="2"/>
          <w:sz w:val="28"/>
          <w:szCs w:val="32"/>
          <w:lang w:val="en-US" w:eastAsia="zh-CN" w:bidi="ar-SA"/>
        </w:rPr>
      </w:pPr>
      <w:r>
        <w:rPr>
          <w:rFonts w:hint="eastAsia" w:ascii="Times New Roman" w:hAnsi="Times New Roman" w:eastAsia="仿宋" w:cs="Times New Roman"/>
          <w:b/>
          <w:bCs/>
          <w:snapToGrid w:val="0"/>
          <w:color w:val="auto"/>
          <w:kern w:val="2"/>
          <w:sz w:val="28"/>
          <w:szCs w:val="32"/>
          <w:lang w:val="en-US" w:eastAsia="zh-CN" w:bidi="ar-SA"/>
        </w:rPr>
        <w:t>6.1</w:t>
      </w:r>
      <w:r>
        <w:rPr>
          <w:rFonts w:hint="default" w:ascii="Times New Roman" w:hAnsi="Times New Roman" w:eastAsia="仿宋" w:cs="Times New Roman"/>
          <w:b/>
          <w:bCs/>
          <w:snapToGrid w:val="0"/>
          <w:color w:val="auto"/>
          <w:kern w:val="2"/>
          <w:sz w:val="28"/>
          <w:szCs w:val="32"/>
          <w:lang w:val="en-US" w:eastAsia="zh-CN" w:bidi="ar-SA"/>
        </w:rPr>
        <w:t>.1.</w:t>
      </w:r>
      <w:r>
        <w:rPr>
          <w:rFonts w:hint="eastAsia" w:ascii="Times New Roman" w:hAnsi="Times New Roman" w:eastAsia="仿宋" w:cs="Times New Roman"/>
          <w:b/>
          <w:bCs/>
          <w:snapToGrid w:val="0"/>
          <w:color w:val="auto"/>
          <w:kern w:val="2"/>
          <w:sz w:val="28"/>
          <w:szCs w:val="32"/>
          <w:lang w:val="en-US" w:eastAsia="zh-CN" w:bidi="ar-SA"/>
        </w:rPr>
        <w:t>3</w:t>
      </w:r>
      <w:r>
        <w:rPr>
          <w:rFonts w:hint="default" w:ascii="Times New Roman" w:hAnsi="Times New Roman" w:eastAsia="仿宋" w:cs="Times New Roman"/>
          <w:b/>
          <w:bCs/>
          <w:snapToGrid w:val="0"/>
          <w:color w:val="auto"/>
          <w:kern w:val="2"/>
          <w:sz w:val="28"/>
          <w:szCs w:val="32"/>
          <w:lang w:val="en-US" w:eastAsia="zh-CN" w:bidi="ar-SA"/>
        </w:rPr>
        <w:t>持续深化水污染治理</w:t>
      </w:r>
    </w:p>
    <w:p w14:paraId="00B317C8">
      <w:pPr>
        <w:keepNext w:val="0"/>
        <w:keepLines w:val="0"/>
        <w:pageBreakBefore w:val="0"/>
        <w:widowControl/>
        <w:kinsoku/>
        <w:wordWrap/>
        <w:overflowPunct/>
        <w:topLinePunct w:val="0"/>
        <w:autoSpaceDE/>
        <w:autoSpaceDN/>
        <w:bidi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落实河（湖）长制，构建流域控制单元精细化管理体系，加大南薅、居拉里大桥等断面流域内城镇生活污染及农业面源污染治理力度，加强仙福钢铁、瀛洲水泥等重点企业水污染监管，坚持上下游协调联动，统筹推进红河水系水污染综合防治工作。严格地下水水量和水位双控制，开展地下水取水专项执法检查和综合整治。实施饮用水水源保护区环境综合整治工程，加强清水河水库、他拉河水库等重要饮用水水源保护区应急监管，强化饮用水水源水质监测和动态跟踪。</w:t>
      </w:r>
      <w:r>
        <w:rPr>
          <w:rFonts w:hint="eastAsia" w:ascii="Times New Roman" w:hAnsi="Times New Roman" w:eastAsia="方正仿宋_GBK" w:cs="方正仿宋_GBK"/>
          <w:b w:val="0"/>
          <w:bCs w:val="0"/>
          <w:color w:val="auto"/>
          <w:kern w:val="2"/>
          <w:sz w:val="28"/>
          <w:szCs w:val="28"/>
          <w:lang w:val="en-US" w:eastAsia="zh-CN" w:bidi="ar-SA"/>
        </w:rPr>
        <w:t>加强流域</w:t>
      </w:r>
      <w:r>
        <w:rPr>
          <w:rFonts w:hint="default" w:ascii="Times New Roman" w:hAnsi="Times New Roman" w:eastAsia="方正仿宋_GBK" w:cs="方正仿宋_GBK"/>
          <w:b w:val="0"/>
          <w:bCs w:val="0"/>
          <w:color w:val="auto"/>
          <w:kern w:val="2"/>
          <w:sz w:val="28"/>
          <w:szCs w:val="28"/>
          <w:lang w:val="en-US" w:eastAsia="zh-CN" w:bidi="ar-SA"/>
        </w:rPr>
        <w:t>村庄生活垃圾收集、清运和村庄生活污水资源化利用，定期组织开展群众清河行动。</w:t>
      </w:r>
    </w:p>
    <w:p w14:paraId="4A5284F6">
      <w:pPr>
        <w:keepNext w:val="0"/>
        <w:keepLines w:val="0"/>
        <w:pageBreakBefore w:val="0"/>
        <w:widowControl/>
        <w:kinsoku/>
        <w:wordWrap/>
        <w:overflowPunct/>
        <w:topLinePunct w:val="0"/>
        <w:autoSpaceDE/>
        <w:autoSpaceDN/>
        <w:bidi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强化生活污水污染防治。持续深化水污染治理。进一步扩大县城污水管网的覆盖区域，使县城污水设施物尽其用，服务区域尽可能涵盖县城周边村落。现有合流制排水系统应加快实施雨污分流改造。鼓励县城开展初期雨水收集处理体系建设，建设人工湿地水质</w:t>
      </w:r>
      <w:r>
        <w:rPr>
          <w:rFonts w:hint="eastAsia" w:ascii="Times New Roman" w:hAnsi="Times New Roman" w:eastAsia="方正仿宋_GBK" w:cs="方正仿宋_GBK"/>
          <w:b w:val="0"/>
          <w:bCs w:val="0"/>
          <w:color w:val="auto"/>
          <w:kern w:val="2"/>
          <w:sz w:val="28"/>
          <w:szCs w:val="28"/>
          <w:lang w:val="en-US" w:eastAsia="zh-CN" w:bidi="ar-SA"/>
        </w:rPr>
        <w:t>净化</w:t>
      </w:r>
      <w:r>
        <w:rPr>
          <w:rFonts w:hint="default" w:ascii="Times New Roman" w:hAnsi="Times New Roman" w:eastAsia="方正仿宋_GBK" w:cs="方正仿宋_GBK"/>
          <w:b w:val="0"/>
          <w:bCs w:val="0"/>
          <w:color w:val="auto"/>
          <w:kern w:val="2"/>
          <w:sz w:val="28"/>
          <w:szCs w:val="28"/>
          <w:lang w:val="en-US" w:eastAsia="zh-CN" w:bidi="ar-SA"/>
        </w:rPr>
        <w:t>水泥程，对处理达标后的尾水进一步净化，实现县城建成区污水“零直排”，污水处理厂出水用于绿化、农灌等用途的，合理确定管控要求达到相应污水再生利用标准。加强开展已建设乡镇污水管网排查升级改造和推动集镇污水处理厂提标改造，将县城排放标准从B标提升到一级A标，并逐步完善其余乡镇污水处理设施建设，逐步实施提标改造工程，实现城集镇生活污水处理设施全覆盖。大力推进污泥处理设施建设，健全污泥转移联单制度，确保规划期间，污泥无害化处理处置率达100%。</w:t>
      </w:r>
    </w:p>
    <w:p w14:paraId="24501497">
      <w:pPr>
        <w:keepNext w:val="0"/>
        <w:keepLines w:val="0"/>
        <w:pageBreakBefore w:val="0"/>
        <w:widowControl/>
        <w:kinsoku/>
        <w:wordWrap/>
        <w:overflowPunct/>
        <w:topLinePunct w:val="0"/>
        <w:autoSpaceDE/>
        <w:autoSpaceDN/>
        <w:bidi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推进农业农村污染防治。大力推行生猪、山羊等规模化养殖场实施标准化规模养殖，配套建设粪便污水贮存、处理、利用设施，改进设施养殖工艺，完善技术装备条件；鼓励和支持散养密集区实行畜禽粪污分户收集、集中处理。推广畜禽粪便污水综合利用技术模式，规范和引导畜禽养殖场（小区）做好养殖废弃物资源化利用。制定实施农业面源污染综合防治方案。推广低毒、低残留农药使用补助试点经验，开展农作物病虫害绿色防控和统防统治，农作物病虫害统防统治覆盖率逐年提高。实行测土配方施肥，推广精准施肥技术和机具。新建高标准农田要达到相关环保要求。加快农村环境综合整治。实行农村污水处理统一规划、统一建设、统一管理，有条件的地区积极推进城镇污水处理设施和服务向农村延伸。深化“以奖促治”政策，实施农村清洁工程，开展河道清淤疏浚，推进农村环境连片整治。</w:t>
      </w:r>
    </w:p>
    <w:p w14:paraId="661AC12C">
      <w:pPr>
        <w:keepNext w:val="0"/>
        <w:keepLines w:val="0"/>
        <w:pageBreakBefore w:val="0"/>
        <w:widowControl/>
        <w:kinsoku/>
        <w:wordWrap/>
        <w:overflowPunct/>
        <w:topLinePunct w:val="0"/>
        <w:autoSpaceDE/>
        <w:autoSpaceDN/>
        <w:bidi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加强工业污染防治。加快推进新平产业园区桂山片区、大开门片区污水集中收集处理设施建设。推动钢铁、水泥等重点行业及元江流域等重点区域绿色发展，制定差别化的流域性环境标准和管控要求，加快推进流域产业布局调整升级。</w:t>
      </w:r>
    </w:p>
    <w:p w14:paraId="5C56B18C">
      <w:pPr>
        <w:keepNext w:val="0"/>
        <w:keepLines w:val="0"/>
        <w:pageBreakBefore w:val="0"/>
        <w:widowControl/>
        <w:kinsoku/>
        <w:wordWrap/>
        <w:overflowPunct/>
        <w:topLinePunct w:val="0"/>
        <w:autoSpaceDE/>
        <w:autoSpaceDN/>
        <w:bidi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打好城市黑臭水体治理攻坚战。坚持“节约优先、保护优先、自然恢复”的方针，适时开展黑臭水体整治工作。在全面排查黑臭水体基础上，采取控源截污、垃圾清理、清淤疏浚、生态修复等措施，加大黑臭水体治理力度。加快推进生活污水处理及人居环境提升工程建设，完善城区截污工程建设，加快城区雨污分流工程改造，同时启动集镇、村庄污水收集工程建设，强化污水处理厂运营管理。</w:t>
      </w:r>
    </w:p>
    <w:p w14:paraId="7984829E">
      <w:pPr>
        <w:keepNext w:val="0"/>
        <w:keepLines w:val="0"/>
        <w:pageBreakBefore w:val="0"/>
        <w:numPr>
          <w:ilvl w:val="0"/>
          <w:numId w:val="0"/>
        </w:numPr>
        <w:kinsoku/>
        <w:wordWrap/>
        <w:overflowPunct/>
        <w:topLinePunct w:val="0"/>
        <w:autoSpaceDE/>
        <w:autoSpaceDN/>
        <w:bidi w:val="0"/>
        <w:snapToGrid w:val="0"/>
        <w:spacing w:before="157" w:beforeLines="50" w:after="157" w:afterLines="50" w:line="500" w:lineRule="exact"/>
        <w:textAlignment w:val="auto"/>
        <w:outlineLvl w:val="2"/>
        <w:rPr>
          <w:rFonts w:hint="default" w:ascii="Times New Roman" w:hAnsi="Times New Roman" w:eastAsia="宋体" w:cs="Times New Roman"/>
          <w:b/>
          <w:bCs/>
          <w:snapToGrid w:val="0"/>
          <w:color w:val="auto"/>
          <w:kern w:val="2"/>
          <w:sz w:val="28"/>
          <w:szCs w:val="28"/>
          <w:highlight w:val="none"/>
          <w:lang w:val="en-US" w:eastAsia="zh-CN" w:bidi="ar-SA"/>
        </w:rPr>
      </w:pPr>
      <w:bookmarkStart w:id="332" w:name="_Toc973"/>
      <w:bookmarkStart w:id="333" w:name="_Toc28450"/>
      <w:bookmarkStart w:id="334" w:name="_Toc2404"/>
      <w:r>
        <w:rPr>
          <w:rFonts w:hint="eastAsia" w:ascii="Times New Roman" w:hAnsi="Times New Roman" w:eastAsia="宋体" w:cs="Times New Roman"/>
          <w:b/>
          <w:bCs/>
          <w:snapToGrid w:val="0"/>
          <w:color w:val="auto"/>
          <w:kern w:val="2"/>
          <w:sz w:val="28"/>
          <w:szCs w:val="28"/>
          <w:highlight w:val="none"/>
          <w:lang w:val="en-US" w:eastAsia="zh-CN" w:bidi="ar-SA"/>
        </w:rPr>
        <w:t>6.1</w:t>
      </w:r>
      <w:r>
        <w:rPr>
          <w:rFonts w:hint="default" w:ascii="Times New Roman" w:hAnsi="Times New Roman" w:eastAsia="宋体" w:cs="Times New Roman"/>
          <w:b/>
          <w:bCs/>
          <w:snapToGrid w:val="0"/>
          <w:color w:val="auto"/>
          <w:kern w:val="2"/>
          <w:sz w:val="28"/>
          <w:szCs w:val="28"/>
          <w:highlight w:val="none"/>
          <w:lang w:val="en-US" w:eastAsia="zh-CN" w:bidi="ar-SA"/>
        </w:rPr>
        <w:t>.2积极推动水生态保护与修复</w:t>
      </w:r>
      <w:bookmarkEnd w:id="332"/>
      <w:bookmarkEnd w:id="333"/>
      <w:bookmarkEnd w:id="334"/>
    </w:p>
    <w:p w14:paraId="4E7CCAEC">
      <w:pPr>
        <w:keepNext w:val="0"/>
        <w:keepLines w:val="0"/>
        <w:pageBreakBefore w:val="0"/>
        <w:widowControl/>
        <w:kinsoku/>
        <w:wordWrap/>
        <w:overflowPunct/>
        <w:topLinePunct w:val="0"/>
        <w:autoSpaceDE/>
        <w:autoSpaceDN/>
        <w:bidi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bookmarkStart w:id="335" w:name="_Toc44264136"/>
      <w:bookmarkStart w:id="336" w:name="_Toc43374888"/>
      <w:bookmarkStart w:id="337" w:name="_Toc45889563"/>
      <w:bookmarkStart w:id="338" w:name="_Toc60664805"/>
      <w:bookmarkStart w:id="339" w:name="_Toc63194610"/>
      <w:r>
        <w:rPr>
          <w:rFonts w:hint="eastAsia" w:ascii="Times New Roman" w:hAnsi="Times New Roman" w:eastAsia="方正仿宋_GBK" w:cs="方正仿宋_GBK"/>
          <w:b w:val="0"/>
          <w:bCs w:val="0"/>
          <w:color w:val="auto"/>
          <w:kern w:val="2"/>
          <w:sz w:val="28"/>
          <w:szCs w:val="28"/>
          <w:lang w:val="en-US" w:eastAsia="zh-CN" w:bidi="ar-SA"/>
        </w:rPr>
        <w:t>推进</w:t>
      </w:r>
      <w:r>
        <w:rPr>
          <w:rFonts w:hint="default" w:ascii="Times New Roman" w:hAnsi="Times New Roman" w:eastAsia="方正仿宋_GBK" w:cs="方正仿宋_GBK"/>
          <w:b w:val="0"/>
          <w:bCs w:val="0"/>
          <w:color w:val="auto"/>
          <w:kern w:val="2"/>
          <w:sz w:val="28"/>
          <w:szCs w:val="28"/>
          <w:lang w:val="en-US" w:eastAsia="zh-CN" w:bidi="ar-SA"/>
        </w:rPr>
        <w:t>重点流域治理工程。实施挖窖河、大春河、新平河、南恩河、班东河、依施河等流域综合治理工程；推进入库河道生态净化、农村生活污水治理和农业面源污染综合治理；开展戛洒镇红河（戛洒江）流域矿区生态恢复治理示范。</w:t>
      </w:r>
      <w:r>
        <w:rPr>
          <w:rFonts w:hint="eastAsia" w:ascii="Times New Roman" w:hAnsi="Times New Roman" w:eastAsia="方正仿宋_GBK" w:cs="方正仿宋_GBK"/>
          <w:b w:val="0"/>
          <w:bCs w:val="0"/>
          <w:color w:val="auto"/>
          <w:kern w:val="2"/>
          <w:sz w:val="28"/>
          <w:szCs w:val="28"/>
          <w:lang w:val="en-US" w:eastAsia="zh-CN" w:bidi="ar-SA"/>
        </w:rPr>
        <w:t>规划掐尖</w:t>
      </w:r>
      <w:r>
        <w:rPr>
          <w:rFonts w:hint="default" w:ascii="Times New Roman" w:hAnsi="Times New Roman" w:eastAsia="方正仿宋_GBK" w:cs="方正仿宋_GBK"/>
          <w:b w:val="0"/>
          <w:bCs w:val="0"/>
          <w:color w:val="auto"/>
          <w:kern w:val="2"/>
          <w:sz w:val="28"/>
          <w:szCs w:val="28"/>
          <w:lang w:val="en-US" w:eastAsia="zh-CN" w:bidi="ar-SA"/>
        </w:rPr>
        <w:t>，戛洒江、平甸河地表水水环境功能分别</w:t>
      </w:r>
      <w:r>
        <w:rPr>
          <w:rFonts w:hint="eastAsia" w:ascii="Times New Roman" w:hAnsi="Times New Roman" w:eastAsia="方正仿宋_GBK" w:cs="方正仿宋_GBK"/>
          <w:b w:val="0"/>
          <w:bCs w:val="0"/>
          <w:color w:val="auto"/>
          <w:kern w:val="2"/>
          <w:sz w:val="28"/>
          <w:szCs w:val="28"/>
          <w:lang w:val="en-US" w:eastAsia="zh-CN" w:bidi="ar-SA"/>
        </w:rPr>
        <w:t>稳定</w:t>
      </w:r>
      <w:r>
        <w:rPr>
          <w:rFonts w:hint="default" w:ascii="Times New Roman" w:hAnsi="Times New Roman" w:eastAsia="方正仿宋_GBK" w:cs="方正仿宋_GBK"/>
          <w:b w:val="0"/>
          <w:bCs w:val="0"/>
          <w:color w:val="auto"/>
          <w:kern w:val="2"/>
          <w:sz w:val="28"/>
          <w:szCs w:val="28"/>
          <w:lang w:val="en-US" w:eastAsia="zh-CN" w:bidi="ar-SA"/>
        </w:rPr>
        <w:t>达Ⅳ类、Ⅲ类。</w:t>
      </w:r>
    </w:p>
    <w:p w14:paraId="118E8E62">
      <w:pPr>
        <w:keepNext w:val="0"/>
        <w:keepLines w:val="0"/>
        <w:pageBreakBefore w:val="0"/>
        <w:widowControl/>
        <w:kinsoku/>
        <w:wordWrap/>
        <w:overflowPunct/>
        <w:topLinePunct w:val="0"/>
        <w:autoSpaceDE/>
        <w:autoSpaceDN/>
        <w:bidi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加强元江、麻大江河等水生态保护力度，深入开展污染连片综合整治，实施河道截污、清淤工程，建设生态湿地，恢复植被及生物多样性，减少水土流失；采用生态驳岸形式，增加水陆交替带绿化面积，恢复两岸生态绿地及生态林地，促进水景建设以及旅游开发；完善河道堤防修筑工程，进行河道两岸桥台加固防护，完善防洪工程。</w:t>
      </w:r>
    </w:p>
    <w:p w14:paraId="5057EBAA">
      <w:pPr>
        <w:keepNext w:val="0"/>
        <w:keepLines w:val="0"/>
        <w:pageBreakBefore w:val="0"/>
        <w:widowControl/>
        <w:kinsoku/>
        <w:wordWrap/>
        <w:overflowPunct/>
        <w:topLinePunct w:val="0"/>
        <w:autoSpaceDE/>
        <w:autoSpaceDN/>
        <w:bidi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加大流域水土保持生态建设。实施新平县西尼河、白沙河、依施河、玉租河等小流域水土流失综合治理工程。到2025年，水土流失治理率达50%。通过保土耕作、梯田工程、坡面防洪工程、水土保持与防洪生物防治等工程措施进行综合防治。保土耕作布置在村庄7°-15°以下的坡耕地上，通过采取各类微地形，增加地面植被覆盖，增加土壤入渗，提高土壤抗蚀能力，以达到保水保土，提高作物产量。应大力推广适合本流域的地膜覆盖技术、间套种植、沟垄栽培，适当少耕或免耕种植，横坡耕作等保土措施。梯田工程应根据各村农地的实际，选择坡度较缓、土质较好、距村庄近、水源及交通条件方便，并照顾保持农户生产用地的均衡性。田面平整度一般应小于5°，土壤粘性重的个别地类的旱作梯田最大坡度不超过8°。梯坎类型为石坎坡，并沿等高线呈长条带状布设梯田田块，坡沟交错面大，地形较破碎的坡面，田块布设应做到大弯就势，小弯取直。根据面积、用途，结合降雨和原有水源条件，在坡面的横向和纵向规划设计水系、道路、植物护埂等工程。分层布设沿山沟、排洪沟、引水沟，沟中及梯田边沟、背沟出水处分段设沉沙凼、纵向沟与横向沟交汇处规划布设蓄水池，蓄水池的进水口前配置沉沙凼，纵向沟坡度大或转弯处修建消力设施。</w:t>
      </w:r>
    </w:p>
    <w:bookmarkEnd w:id="335"/>
    <w:bookmarkEnd w:id="336"/>
    <w:bookmarkEnd w:id="337"/>
    <w:bookmarkEnd w:id="338"/>
    <w:bookmarkEnd w:id="339"/>
    <w:p w14:paraId="600F6BA2">
      <w:pPr>
        <w:keepNext w:val="0"/>
        <w:keepLines w:val="0"/>
        <w:pageBreakBefore w:val="0"/>
        <w:widowControl/>
        <w:kinsoku/>
        <w:wordWrap/>
        <w:overflowPunct/>
        <w:topLinePunct w:val="0"/>
        <w:autoSpaceDE/>
        <w:autoSpaceDN/>
        <w:bidi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加强涉水生态空间管控及保护措施。涉水生态空间依据其自然生态特征分为以水体为主的河流、湖泊等水域空间，以水陆交错为主的岸线空间，以及与水资源保护密切关联的涉水陆域空间等。主要包括河流、湖泊等水域、岸线空间；水源涵养、饮用水水源保护、水土保持、行蓄洪水等陆域涉水生态空间。其中，河湖岸线是指河流两侧、湖泊周边一定范围内水陆相交的带状区域，是河流、湖泊自然生态空间的重要组成部分。按照以水而定、量水而行和强化水资源承载能力刚性约束要求，提出水资源开发利用管控措施。以划定的涉水生态空间为基础，以维护和改善河湖水生态系统功能为目标，从涉水生态空间面积不减少、生态功能不降低的要求出发，针对不同类型的空间，提出差异化的管控和保护措施。对于规划提出的重点水利基础设施用地空间，以保障水利基础设施建设为重点，提出预留和管控要求。</w:t>
      </w:r>
    </w:p>
    <w:p w14:paraId="5E88EA99">
      <w:pPr>
        <w:keepNext w:val="0"/>
        <w:keepLines w:val="0"/>
        <w:pageBreakBefore w:val="0"/>
        <w:numPr>
          <w:ilvl w:val="0"/>
          <w:numId w:val="0"/>
        </w:numPr>
        <w:kinsoku/>
        <w:wordWrap/>
        <w:overflowPunct/>
        <w:topLinePunct w:val="0"/>
        <w:autoSpaceDE/>
        <w:autoSpaceDN/>
        <w:bidi w:val="0"/>
        <w:snapToGrid w:val="0"/>
        <w:spacing w:before="157" w:beforeLines="50" w:after="157" w:afterLines="50" w:line="500" w:lineRule="exact"/>
        <w:textAlignment w:val="auto"/>
        <w:outlineLvl w:val="2"/>
        <w:rPr>
          <w:rFonts w:hint="default" w:ascii="Times New Roman" w:hAnsi="Times New Roman" w:eastAsia="宋体" w:cs="Times New Roman"/>
          <w:b/>
          <w:bCs/>
          <w:snapToGrid w:val="0"/>
          <w:color w:val="auto"/>
          <w:kern w:val="2"/>
          <w:sz w:val="28"/>
          <w:szCs w:val="28"/>
          <w:highlight w:val="none"/>
          <w:lang w:val="en-US" w:eastAsia="zh-CN" w:bidi="ar-SA"/>
        </w:rPr>
      </w:pPr>
      <w:bookmarkStart w:id="340" w:name="_Toc1925"/>
      <w:bookmarkStart w:id="341" w:name="_Toc28086"/>
      <w:bookmarkStart w:id="342" w:name="_Toc4421"/>
      <w:r>
        <w:rPr>
          <w:rFonts w:hint="eastAsia" w:ascii="Times New Roman" w:hAnsi="Times New Roman" w:eastAsia="宋体" w:cs="Times New Roman"/>
          <w:b/>
          <w:bCs/>
          <w:snapToGrid w:val="0"/>
          <w:color w:val="auto"/>
          <w:kern w:val="2"/>
          <w:sz w:val="28"/>
          <w:szCs w:val="28"/>
          <w:highlight w:val="none"/>
          <w:lang w:val="en-US" w:eastAsia="zh-CN" w:bidi="ar-SA"/>
        </w:rPr>
        <w:t>6.1</w:t>
      </w:r>
      <w:r>
        <w:rPr>
          <w:rFonts w:hint="default" w:ascii="Times New Roman" w:hAnsi="Times New Roman" w:eastAsia="宋体" w:cs="Times New Roman"/>
          <w:b/>
          <w:bCs/>
          <w:snapToGrid w:val="0"/>
          <w:color w:val="auto"/>
          <w:kern w:val="2"/>
          <w:sz w:val="28"/>
          <w:szCs w:val="28"/>
          <w:highlight w:val="none"/>
          <w:lang w:val="en-US" w:eastAsia="zh-CN" w:bidi="ar-SA"/>
        </w:rPr>
        <w:t>.3强化水资源保护与管理</w:t>
      </w:r>
      <w:bookmarkEnd w:id="340"/>
      <w:bookmarkEnd w:id="341"/>
      <w:bookmarkEnd w:id="342"/>
    </w:p>
    <w:p w14:paraId="3722781E">
      <w:pPr>
        <w:keepNext w:val="0"/>
        <w:keepLines w:val="0"/>
        <w:pageBreakBefore w:val="0"/>
        <w:widowControl/>
        <w:kinsoku/>
        <w:wordWrap/>
        <w:overflowPunct/>
        <w:topLinePunct w:val="0"/>
        <w:autoSpaceDE/>
        <w:autoSpaceDN/>
        <w:bidi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实施最严格的水资源管理。一是强化节水约束性指标管理。严格落实水资源开发利用“三条红线”，实施水资源消耗总量和强度双控行动，编制水资源资产负债表，加强最严格水资源管理考核。二是强化水资源承载能力刚性约束。全面落实建设项目水资源论证制度和规划水资源论证制度，加强用水效率管理，落实超计划用水累进加价征收水资源费制度。三是建立水资源安全风险识别和预警体系。围绕经济安全、资源安全、生态安全，加强水资源风险防控。开展水资源承载能力评价，建立水资源安全风险识别和预警机制。</w:t>
      </w:r>
    </w:p>
    <w:p w14:paraId="78B2E0FD">
      <w:pPr>
        <w:keepNext w:val="0"/>
        <w:keepLines w:val="0"/>
        <w:pageBreakBefore w:val="0"/>
        <w:widowControl/>
        <w:kinsoku/>
        <w:wordWrap/>
        <w:overflowPunct/>
        <w:topLinePunct w:val="0"/>
        <w:autoSpaceDE/>
        <w:autoSpaceDN/>
        <w:bidi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加强水资源保护与利用。对新平县饮用水源地保护提出了相应的工程措施和非工程措施；对水功能区进行分区保护和管理，保护区管理突出保护工作，禁止新建、改建、扩建与保护水资源无关的建设项目和涉水活动，原有影响水资源保护的项目，应督促项目业主增强保护措施，逐步降低、消除对水功能区的影响。保留区原则上维持现状，严格控制在保留区内从事大规模或者可能对其水量、水质、水生态造成重大影响的开发利用活动。开发利用区要兼顾多种开发利用功能，突出主要功能，按水质、水量要求最高的功能管理保护。加强水资源保护监测体系建设，逐步增加各类监测站点，提高水质监测能力，及时了解水质状况，保障供水安全，为水资源保护提供基础依据。加强监测能力建设，主要包括实验室装备、自动监测设备、应急移动监测设备、水生态监测设备和遥感监测系统建设等内容。</w:t>
      </w:r>
    </w:p>
    <w:p w14:paraId="279B1787">
      <w:pPr>
        <w:keepNext w:val="0"/>
        <w:keepLines w:val="0"/>
        <w:pageBreakBefore w:val="0"/>
        <w:widowControl/>
        <w:kinsoku/>
        <w:wordWrap/>
        <w:overflowPunct/>
        <w:topLinePunct w:val="0"/>
        <w:autoSpaceDE/>
        <w:autoSpaceDN/>
        <w:bidi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提高水资源保护意识。大力宣传节水和洁水观念，树立节约用水就是保护生态、保护水源就是保护家园的意识，营造亲水、惜水、节水的良好氛围，消除水龙头上的浪费，倡导节约每一滴水，使爱护水、节约水成为全社会的良好风尚和自觉行动。强化公民环境意识，倡导勤俭节约、绿色低碳消费，推广节能、节水用品和绿色环保家具、建材等，推广绿色低碳出行，鼓励引导消费者购买节能环保再生产品，推动形成节约适度、绿色低碳、文明健康的生活方式和消费模式。</w:t>
      </w:r>
    </w:p>
    <w:bookmarkEnd w:id="330"/>
    <w:bookmarkEnd w:id="331"/>
    <w:p w14:paraId="1B5C54DD">
      <w:pPr>
        <w:pStyle w:val="4"/>
        <w:pageBreakBefore w:val="0"/>
        <w:kinsoku/>
        <w:wordWrap/>
        <w:overflowPunct/>
        <w:topLinePunct w:val="0"/>
        <w:autoSpaceDE/>
        <w:autoSpaceDN/>
        <w:bidi w:val="0"/>
        <w:spacing w:before="260" w:after="260" w:line="500" w:lineRule="exact"/>
        <w:ind w:firstLine="0"/>
        <w:textAlignment w:val="auto"/>
        <w:rPr>
          <w:rFonts w:hint="default" w:ascii="Times New Roman" w:hAnsi="Times New Roman" w:eastAsia="仿宋" w:cs="Times New Roman"/>
          <w:color w:val="auto"/>
          <w:sz w:val="32"/>
          <w:lang w:val="en-US" w:eastAsia="zh-CN"/>
        </w:rPr>
      </w:pPr>
      <w:bookmarkStart w:id="343" w:name="_Toc9516138"/>
      <w:bookmarkStart w:id="344" w:name="_Toc35697801"/>
      <w:bookmarkStart w:id="345" w:name="_Toc514661300"/>
      <w:bookmarkStart w:id="346" w:name="_Toc5705"/>
      <w:bookmarkStart w:id="347" w:name="_Toc21662"/>
      <w:bookmarkStart w:id="348" w:name="_Toc11366"/>
      <w:bookmarkStart w:id="349" w:name="_Toc23327"/>
      <w:bookmarkStart w:id="350" w:name="_Toc32305"/>
      <w:bookmarkStart w:id="351" w:name="_Toc18544"/>
      <w:bookmarkStart w:id="352" w:name="_Toc24289"/>
      <w:bookmarkStart w:id="353" w:name="_Toc30457"/>
      <w:bookmarkStart w:id="354" w:name="_Toc28052"/>
      <w:bookmarkStart w:id="355" w:name="_Toc12981"/>
      <w:r>
        <w:rPr>
          <w:rFonts w:hint="eastAsia" w:ascii="Times New Roman" w:hAnsi="Times New Roman" w:eastAsia="仿宋" w:cs="Times New Roman"/>
          <w:color w:val="auto"/>
          <w:sz w:val="32"/>
          <w:lang w:val="en-US" w:eastAsia="zh-CN"/>
        </w:rPr>
        <w:t>6.2</w:t>
      </w:r>
      <w:r>
        <w:rPr>
          <w:rFonts w:hint="default" w:ascii="Times New Roman" w:hAnsi="Times New Roman" w:eastAsia="仿宋" w:cs="Times New Roman"/>
          <w:color w:val="auto"/>
          <w:sz w:val="32"/>
          <w:lang w:val="en-US" w:eastAsia="zh-CN"/>
        </w:rPr>
        <w:t>持续改善大气环境</w:t>
      </w:r>
      <w:bookmarkEnd w:id="343"/>
      <w:bookmarkEnd w:id="344"/>
      <w:bookmarkEnd w:id="345"/>
      <w:r>
        <w:rPr>
          <w:rFonts w:hint="default" w:ascii="Times New Roman" w:hAnsi="Times New Roman" w:eastAsia="仿宋" w:cs="Times New Roman"/>
          <w:color w:val="auto"/>
          <w:sz w:val="32"/>
          <w:lang w:val="en-US" w:eastAsia="zh-CN"/>
        </w:rPr>
        <w:t>质量</w:t>
      </w:r>
      <w:bookmarkEnd w:id="346"/>
      <w:bookmarkEnd w:id="347"/>
      <w:bookmarkEnd w:id="348"/>
      <w:bookmarkEnd w:id="349"/>
      <w:bookmarkEnd w:id="350"/>
      <w:bookmarkEnd w:id="351"/>
      <w:bookmarkEnd w:id="352"/>
      <w:bookmarkEnd w:id="353"/>
      <w:bookmarkEnd w:id="354"/>
      <w:bookmarkEnd w:id="355"/>
    </w:p>
    <w:p w14:paraId="3ED42F81">
      <w:pPr>
        <w:keepNext w:val="0"/>
        <w:keepLines w:val="0"/>
        <w:pageBreakBefore w:val="0"/>
        <w:numPr>
          <w:ilvl w:val="0"/>
          <w:numId w:val="0"/>
        </w:numPr>
        <w:kinsoku/>
        <w:wordWrap/>
        <w:overflowPunct/>
        <w:topLinePunct w:val="0"/>
        <w:autoSpaceDE/>
        <w:autoSpaceDN/>
        <w:bidi w:val="0"/>
        <w:snapToGrid w:val="0"/>
        <w:spacing w:before="157" w:beforeLines="50" w:after="157" w:afterLines="50" w:line="500" w:lineRule="exact"/>
        <w:textAlignment w:val="auto"/>
        <w:outlineLvl w:val="2"/>
        <w:rPr>
          <w:rFonts w:hint="default" w:ascii="Times New Roman" w:hAnsi="Times New Roman" w:eastAsia="宋体" w:cs="Times New Roman"/>
          <w:b/>
          <w:bCs/>
          <w:snapToGrid w:val="0"/>
          <w:color w:val="auto"/>
          <w:kern w:val="2"/>
          <w:sz w:val="28"/>
          <w:szCs w:val="28"/>
          <w:highlight w:val="none"/>
          <w:lang w:val="en-US" w:eastAsia="zh-CN" w:bidi="ar-SA"/>
        </w:rPr>
      </w:pPr>
      <w:bookmarkStart w:id="356" w:name="_Toc2162"/>
      <w:bookmarkStart w:id="357" w:name="_Toc29635"/>
      <w:bookmarkStart w:id="358" w:name="_Toc5608"/>
      <w:bookmarkStart w:id="359" w:name="_Toc20038"/>
      <w:bookmarkStart w:id="360" w:name="_Toc2689"/>
      <w:bookmarkStart w:id="361" w:name="_Toc21347"/>
      <w:bookmarkStart w:id="362" w:name="_Toc18405"/>
      <w:bookmarkStart w:id="363" w:name="_Toc28660"/>
      <w:bookmarkStart w:id="364" w:name="_Toc16242"/>
      <w:bookmarkStart w:id="365" w:name="_Toc21614"/>
      <w:bookmarkStart w:id="366" w:name="_Toc27621"/>
      <w:bookmarkStart w:id="367" w:name="_Toc3652"/>
      <w:bookmarkStart w:id="368" w:name="_Toc23479"/>
      <w:bookmarkStart w:id="369" w:name="_Toc18763"/>
      <w:bookmarkStart w:id="370" w:name="_Toc30825"/>
      <w:bookmarkStart w:id="371" w:name="_Toc24387"/>
      <w:bookmarkStart w:id="372" w:name="_Toc32584"/>
      <w:r>
        <w:rPr>
          <w:rFonts w:hint="eastAsia" w:ascii="Times New Roman" w:hAnsi="Times New Roman" w:eastAsia="宋体" w:cs="Times New Roman"/>
          <w:b/>
          <w:bCs/>
          <w:snapToGrid w:val="0"/>
          <w:color w:val="auto"/>
          <w:kern w:val="2"/>
          <w:sz w:val="28"/>
          <w:szCs w:val="28"/>
          <w:highlight w:val="none"/>
          <w:lang w:val="en-US" w:eastAsia="zh-CN" w:bidi="ar-SA"/>
        </w:rPr>
        <w:t>6.2</w:t>
      </w:r>
      <w:r>
        <w:rPr>
          <w:rFonts w:hint="default" w:ascii="Times New Roman" w:hAnsi="Times New Roman" w:eastAsia="宋体" w:cs="Times New Roman"/>
          <w:b/>
          <w:bCs/>
          <w:snapToGrid w:val="0"/>
          <w:color w:val="auto"/>
          <w:kern w:val="2"/>
          <w:sz w:val="28"/>
          <w:szCs w:val="28"/>
          <w:highlight w:val="none"/>
          <w:lang w:val="en-US" w:eastAsia="zh-CN" w:bidi="ar-SA"/>
        </w:rPr>
        <w:t>.1协同温室气体和污染物治理</w:t>
      </w:r>
      <w:bookmarkEnd w:id="356"/>
      <w:bookmarkEnd w:id="357"/>
      <w:bookmarkEnd w:id="358"/>
    </w:p>
    <w:p w14:paraId="54CE2789">
      <w:pPr>
        <w:keepNext w:val="0"/>
        <w:keepLines w:val="0"/>
        <w:pageBreakBefore w:val="0"/>
        <w:widowControl/>
        <w:kinsoku/>
        <w:wordWrap/>
        <w:overflowPunct/>
        <w:topLinePunct w:val="0"/>
        <w:autoSpaceDE/>
        <w:autoSpaceDN/>
        <w:bidi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深入挖掘温室气体与局地污染物协同控制的制度潜力、技术潜力，安排好温室气体减排与空气污染物减排、水污染物减排、固体废物减排等工作的协同推进。着力打好臭氧污染防治攻坚战，聚焦夏秋季臭氧污染，将臭氧防治与PM2.5、挥发性有机物、氮氧化物等污染物防治有机结合起来，实施协同防治。统筹考虑O3和PM2.5污染区域传输规律和季节性特征，强化分区分时分类差异化精细化协同管控。继续实施钢铁、水泥、制糖、造纸等非电行业烟气脱硫脱硝工程和机动车尾气治理工程，加快机动车尾气检测线建设。针对施工场地、运输过程和餐饮娱乐的空气污染开展专项整治。以加油站、储油库、油罐车为重点，实施挥发性有机物污染治理。到2025年，挥发性有机物、氮氧化物排放总量比2020年分别下降10%以上，PM2.5浓度稳定下降，臭氧浓度增长趋势得到有效遏制，实现细颗粒物和臭氧协同控制。</w:t>
      </w:r>
    </w:p>
    <w:p w14:paraId="56EF01E4">
      <w:pPr>
        <w:keepNext w:val="0"/>
        <w:keepLines w:val="0"/>
        <w:pageBreakBefore w:val="0"/>
        <w:numPr>
          <w:ilvl w:val="0"/>
          <w:numId w:val="0"/>
        </w:numPr>
        <w:kinsoku/>
        <w:wordWrap/>
        <w:overflowPunct/>
        <w:topLinePunct w:val="0"/>
        <w:autoSpaceDE/>
        <w:autoSpaceDN/>
        <w:bidi w:val="0"/>
        <w:snapToGrid w:val="0"/>
        <w:spacing w:before="157" w:beforeLines="50" w:after="157" w:afterLines="50" w:line="500" w:lineRule="exact"/>
        <w:textAlignment w:val="auto"/>
        <w:outlineLvl w:val="2"/>
        <w:rPr>
          <w:rFonts w:hint="default" w:ascii="Times New Roman" w:hAnsi="Times New Roman" w:eastAsia="宋体" w:cs="Times New Roman"/>
          <w:b/>
          <w:bCs/>
          <w:snapToGrid w:val="0"/>
          <w:color w:val="auto"/>
          <w:kern w:val="2"/>
          <w:sz w:val="28"/>
          <w:szCs w:val="28"/>
          <w:highlight w:val="none"/>
          <w:lang w:val="en-US" w:eastAsia="zh-CN" w:bidi="ar-SA"/>
        </w:rPr>
      </w:pPr>
      <w:bookmarkStart w:id="373" w:name="_Toc5496"/>
      <w:r>
        <w:rPr>
          <w:rFonts w:hint="eastAsia" w:ascii="Times New Roman" w:hAnsi="Times New Roman" w:eastAsia="宋体" w:cs="Times New Roman"/>
          <w:b/>
          <w:bCs/>
          <w:snapToGrid w:val="0"/>
          <w:color w:val="auto"/>
          <w:kern w:val="2"/>
          <w:sz w:val="28"/>
          <w:szCs w:val="28"/>
          <w:highlight w:val="none"/>
          <w:lang w:val="en-US" w:eastAsia="zh-CN" w:bidi="ar-SA"/>
        </w:rPr>
        <w:t>6.2</w:t>
      </w:r>
      <w:r>
        <w:rPr>
          <w:rFonts w:hint="default" w:ascii="Times New Roman" w:hAnsi="Times New Roman" w:eastAsia="宋体" w:cs="Times New Roman"/>
          <w:b/>
          <w:bCs/>
          <w:snapToGrid w:val="0"/>
          <w:color w:val="auto"/>
          <w:kern w:val="2"/>
          <w:sz w:val="28"/>
          <w:szCs w:val="28"/>
          <w:highlight w:val="none"/>
          <w:lang w:val="en-US" w:eastAsia="zh-CN" w:bidi="ar-SA"/>
        </w:rPr>
        <w:t>.</w:t>
      </w:r>
      <w:r>
        <w:rPr>
          <w:rFonts w:hint="eastAsia" w:ascii="Times New Roman" w:hAnsi="Times New Roman" w:eastAsia="宋体" w:cs="Times New Roman"/>
          <w:b/>
          <w:bCs/>
          <w:snapToGrid w:val="0"/>
          <w:color w:val="auto"/>
          <w:kern w:val="2"/>
          <w:sz w:val="28"/>
          <w:szCs w:val="28"/>
          <w:highlight w:val="none"/>
          <w:lang w:val="en-US" w:eastAsia="zh-CN" w:bidi="ar-SA"/>
        </w:rPr>
        <w:t>2</w:t>
      </w:r>
      <w:r>
        <w:rPr>
          <w:rFonts w:hint="default" w:ascii="Times New Roman" w:hAnsi="Times New Roman" w:eastAsia="宋体" w:cs="Times New Roman"/>
          <w:b/>
          <w:bCs/>
          <w:snapToGrid w:val="0"/>
          <w:color w:val="auto"/>
          <w:kern w:val="2"/>
          <w:sz w:val="28"/>
          <w:szCs w:val="28"/>
          <w:highlight w:val="none"/>
          <w:lang w:val="en-US" w:eastAsia="zh-CN" w:bidi="ar-SA"/>
        </w:rPr>
        <w:t>加强大气面源污染治理</w:t>
      </w:r>
      <w:bookmarkEnd w:id="359"/>
      <w:bookmarkEnd w:id="360"/>
      <w:bookmarkEnd w:id="361"/>
      <w:bookmarkEnd w:id="362"/>
      <w:bookmarkEnd w:id="373"/>
    </w:p>
    <w:p w14:paraId="30B02DB9">
      <w:pPr>
        <w:keepNext w:val="0"/>
        <w:keepLines w:val="0"/>
        <w:pageBreakBefore w:val="0"/>
        <w:widowControl/>
        <w:kinsoku/>
        <w:wordWrap/>
        <w:overflowPunct/>
        <w:topLinePunct w:val="0"/>
        <w:autoSpaceDE/>
        <w:autoSpaceDN/>
        <w:bidi w:val="0"/>
        <w:adjustRightInd w:val="0"/>
        <w:snapToGrid w:val="0"/>
        <w:spacing w:line="500" w:lineRule="exact"/>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宋体" w:cs="Times New Roman"/>
          <w:color w:val="auto"/>
          <w:sz w:val="28"/>
          <w:szCs w:val="28"/>
          <w:highlight w:val="none"/>
          <w:lang w:val="en-US" w:eastAsia="zh-CN"/>
        </w:rPr>
        <w:t xml:space="preserve">  </w:t>
      </w:r>
      <w:r>
        <w:rPr>
          <w:rFonts w:hint="eastAsia" w:ascii="Times New Roman" w:hAnsi="Times New Roman" w:eastAsia="方正仿宋_GBK" w:cs="方正仿宋_GBK"/>
          <w:b w:val="0"/>
          <w:bCs w:val="0"/>
          <w:color w:val="auto"/>
          <w:kern w:val="2"/>
          <w:sz w:val="28"/>
          <w:szCs w:val="28"/>
          <w:lang w:val="en-US" w:eastAsia="zh-CN" w:bidi="ar-SA"/>
        </w:rPr>
        <w:t xml:space="preserve"> 加强计划性烧除污染防控。一是统筹做好大气污染防治与计划烧除工作。科学组织开展森林草原可燃物计划烧（清）除工作，会同县林草、气象等部门加强统筹协调，对全县计划烧除实施备案管理、会商研判、信息共享，督促科学实施烧除，确保最大限度减少对空气环境影响。二是做好重污染天气应急准备。严格按照省市要求修订和完善重污染天气应急预案。在计划烧除期间加强会商研判和预警预报，强化协调联动，针对可能出现区域性污染天气，及时发布预警提示，统一时间和工作要求，提前采取应急管控措施，坚决避免重污染天气发生。</w:t>
      </w:r>
    </w:p>
    <w:p w14:paraId="539B8E68">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推进扬尘精细化管控。继续加强对全县建筑施工工地、交通道路、渣土运输车辆等城镇扬尘主要来源地重点管控，落实对建筑工地“六个百分百”管理措施，做好工地周边围挡、物料堆放覆盖、土方开挖、湿法作业、路面硬化、出入车辆清洗和渣土车辆密闭运输全面推行绿色施工，将绿色施工纳入企业资质评价、信用评价。在建区域等重点区域道路、水务等线性工程进行分段施工。推进低尘机械化湿式清扫作业，加大县城出入口、城乡接合部等重要路段冲洗保洁力度，渣土车实施硬覆盖与全密闭运输，强化道路绿化用地扬尘治理。</w:t>
      </w:r>
    </w:p>
    <w:p w14:paraId="373108CB">
      <w:pPr>
        <w:keepNext w:val="0"/>
        <w:keepLines w:val="0"/>
        <w:pageBreakBefore w:val="0"/>
        <w:widowControl/>
        <w:kinsoku/>
        <w:wordWrap/>
        <w:overflowPunct/>
        <w:topLinePunct w:val="0"/>
        <w:autoSpaceDE/>
        <w:autoSpaceDN/>
        <w:bidi w:val="0"/>
        <w:adjustRightInd w:val="0"/>
        <w:snapToGrid w:val="0"/>
        <w:spacing w:line="500" w:lineRule="exact"/>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强化餐饮油烟排放治理。制定油烟治理设施运行管理机制并实施有效监管。新建饮食服务经营场所必须使用管道煤气、天然气、电等清洁能源，已建饮食服务经营场所要限期完成清洁能源使用改造。未安装油烟治理设施的饮食业油烟排放单位必须安装油烟治理设施，设施正常使用率应不低于95%。</w:t>
      </w:r>
    </w:p>
    <w:p w14:paraId="15CB3DAE">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提高农业秸秆综合利用效率，加强大气氨排放控制。严禁秸秆露天焚烧，强化秸秆禁烧主体责任。推进秸秆综合利用，发展秸秆饲料化利用工程，把秸秆作为畜牧养殖的重要饲料。结合新平养殖业特色，提高生猪规模养殖场粪污处理能力，推广新型粪污处理技术，实现生猪养殖粪污减量化、肥料化；大力发展牛、羊等食草畜牧业，加快推广秸秆青贮、氨化和发酵技术</w:t>
      </w:r>
      <w:r>
        <w:rPr>
          <w:rFonts w:hint="eastAsia" w:ascii="Times New Roman" w:hAnsi="Times New Roman" w:eastAsia="方正仿宋_GBK" w:cs="方正仿宋_GBK"/>
          <w:b w:val="0"/>
          <w:bCs w:val="0"/>
          <w:color w:val="auto"/>
          <w:kern w:val="2"/>
          <w:sz w:val="28"/>
          <w:szCs w:val="28"/>
          <w:lang w:val="en-US" w:eastAsia="zh-CN" w:bidi="ar-SA"/>
        </w:rPr>
        <w:t>。</w:t>
      </w:r>
    </w:p>
    <w:p w14:paraId="1A9D93E4">
      <w:pPr>
        <w:keepNext w:val="0"/>
        <w:keepLines w:val="0"/>
        <w:pageBreakBefore w:val="0"/>
        <w:numPr>
          <w:ilvl w:val="0"/>
          <w:numId w:val="0"/>
        </w:numPr>
        <w:kinsoku/>
        <w:wordWrap/>
        <w:overflowPunct/>
        <w:topLinePunct w:val="0"/>
        <w:autoSpaceDE/>
        <w:autoSpaceDN/>
        <w:bidi w:val="0"/>
        <w:snapToGrid w:val="0"/>
        <w:spacing w:before="157" w:beforeLines="50" w:after="157" w:afterLines="50" w:line="500" w:lineRule="exact"/>
        <w:textAlignment w:val="auto"/>
        <w:outlineLvl w:val="2"/>
        <w:rPr>
          <w:rFonts w:hint="default" w:ascii="Times New Roman" w:hAnsi="Times New Roman" w:eastAsia="宋体" w:cs="Times New Roman"/>
          <w:b/>
          <w:bCs/>
          <w:snapToGrid w:val="0"/>
          <w:color w:val="auto"/>
          <w:kern w:val="2"/>
          <w:sz w:val="28"/>
          <w:szCs w:val="28"/>
          <w:highlight w:val="none"/>
          <w:lang w:val="en-US" w:eastAsia="zh-CN" w:bidi="ar-SA"/>
        </w:rPr>
      </w:pPr>
      <w:bookmarkStart w:id="374" w:name="_Toc31898"/>
      <w:bookmarkStart w:id="375" w:name="_Toc9494"/>
      <w:bookmarkStart w:id="376" w:name="_Toc28113"/>
      <w:bookmarkStart w:id="377" w:name="_Toc27073"/>
      <w:bookmarkStart w:id="378" w:name="_Toc17118"/>
      <w:r>
        <w:rPr>
          <w:rFonts w:hint="eastAsia" w:ascii="Times New Roman" w:hAnsi="Times New Roman" w:eastAsia="宋体" w:cs="Times New Roman"/>
          <w:b/>
          <w:bCs/>
          <w:snapToGrid w:val="0"/>
          <w:color w:val="auto"/>
          <w:kern w:val="2"/>
          <w:sz w:val="28"/>
          <w:szCs w:val="28"/>
          <w:highlight w:val="none"/>
          <w:lang w:val="en-US" w:eastAsia="zh-CN" w:bidi="ar-SA"/>
        </w:rPr>
        <w:t>6.2</w:t>
      </w:r>
      <w:r>
        <w:rPr>
          <w:rFonts w:hint="default" w:ascii="Times New Roman" w:hAnsi="Times New Roman" w:eastAsia="宋体" w:cs="Times New Roman"/>
          <w:b/>
          <w:bCs/>
          <w:snapToGrid w:val="0"/>
          <w:color w:val="auto"/>
          <w:kern w:val="2"/>
          <w:sz w:val="28"/>
          <w:szCs w:val="28"/>
          <w:highlight w:val="none"/>
          <w:lang w:val="en-US" w:eastAsia="zh-CN" w:bidi="ar-SA"/>
        </w:rPr>
        <w:t>.</w:t>
      </w:r>
      <w:r>
        <w:rPr>
          <w:rFonts w:hint="eastAsia" w:ascii="Times New Roman" w:hAnsi="Times New Roman" w:eastAsia="宋体" w:cs="Times New Roman"/>
          <w:b/>
          <w:bCs/>
          <w:snapToGrid w:val="0"/>
          <w:color w:val="auto"/>
          <w:kern w:val="2"/>
          <w:sz w:val="28"/>
          <w:szCs w:val="28"/>
          <w:highlight w:val="none"/>
          <w:lang w:val="en-US" w:eastAsia="zh-CN" w:bidi="ar-SA"/>
        </w:rPr>
        <w:t>3</w:t>
      </w:r>
      <w:r>
        <w:rPr>
          <w:rFonts w:hint="default" w:ascii="Times New Roman" w:hAnsi="Times New Roman" w:eastAsia="宋体" w:cs="Times New Roman"/>
          <w:b/>
          <w:bCs/>
          <w:snapToGrid w:val="0"/>
          <w:color w:val="auto"/>
          <w:kern w:val="2"/>
          <w:sz w:val="28"/>
          <w:szCs w:val="28"/>
          <w:highlight w:val="none"/>
          <w:lang w:val="en-US" w:eastAsia="zh-CN" w:bidi="ar-SA"/>
        </w:rPr>
        <w:t>深化工业企业污染防控</w:t>
      </w:r>
      <w:bookmarkEnd w:id="374"/>
      <w:bookmarkEnd w:id="375"/>
      <w:bookmarkEnd w:id="376"/>
      <w:bookmarkEnd w:id="377"/>
      <w:bookmarkEnd w:id="378"/>
    </w:p>
    <w:p w14:paraId="6A6E5E7E">
      <w:pPr>
        <w:keepNext w:val="0"/>
        <w:keepLines w:val="0"/>
        <w:pageBreakBefore w:val="0"/>
        <w:widowControl/>
        <w:kinsoku/>
        <w:wordWrap/>
        <w:overflowPunct/>
        <w:topLinePunct w:val="0"/>
        <w:autoSpaceDE/>
        <w:autoSpaceDN/>
        <w:bidi w:val="0"/>
        <w:adjustRightInd w:val="0"/>
        <w:snapToGrid w:val="0"/>
        <w:spacing w:line="500" w:lineRule="exact"/>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充分发挥环境影响评价制度、排污许可证制度、排污收费制度、环保三同时制度、环境监察制度、环境监测制度等环境管理制度的作用，强化环境监督管理，促进污染源全面达标排放。进一步规范固定源大气污染源排污许可证管理。强化钢铁、水泥、制糖、造纸等重点行业性清洁生产审核，列入强制清洁生产审核的企业要在规定时间内完成清洁生产审核。</w:t>
      </w:r>
    </w:p>
    <w:p w14:paraId="616BF086">
      <w:pPr>
        <w:keepNext w:val="0"/>
        <w:keepLines w:val="0"/>
        <w:pageBreakBefore w:val="0"/>
        <w:widowControl/>
        <w:kinsoku/>
        <w:wordWrap/>
        <w:overflowPunct/>
        <w:topLinePunct w:val="0"/>
        <w:autoSpaceDE/>
        <w:autoSpaceDN/>
        <w:bidi w:val="0"/>
        <w:adjustRightInd w:val="0"/>
        <w:snapToGrid w:val="0"/>
        <w:spacing w:line="500" w:lineRule="exact"/>
        <w:textAlignment w:val="auto"/>
        <w:rPr>
          <w:rFonts w:hint="default" w:ascii="Times New Roman" w:hAnsi="Times New Roman" w:eastAsia="宋体" w:cs="Times New Roman"/>
          <w:color w:val="auto"/>
          <w:sz w:val="28"/>
          <w:szCs w:val="28"/>
          <w:highlight w:val="none"/>
        </w:rPr>
      </w:pPr>
      <w:r>
        <w:rPr>
          <w:rFonts w:hint="default" w:ascii="Times New Roman" w:hAnsi="Times New Roman" w:eastAsia="方正仿宋_GBK" w:cs="方正仿宋_GBK"/>
          <w:b w:val="0"/>
          <w:bCs w:val="0"/>
          <w:color w:val="auto"/>
          <w:kern w:val="2"/>
          <w:sz w:val="28"/>
          <w:szCs w:val="28"/>
          <w:lang w:val="en-US" w:eastAsia="zh-CN" w:bidi="ar-SA"/>
        </w:rPr>
        <w:t>深化重点行业大气污染物防治。实强化工业企业无组织排放管理。实施工业污染源全面达标排放计划，全面实施钢铁行业超低排放改造。大力推进石化、汽车维修等重点行业挥发性有机物综合整治，严格执行有机溶剂产品有害物质限量标准。巩固大气污染重点行业脱硫、脱硝技术改造成果，实施钢铁、水泥等重点行业污染源全面达标排放计划，推进钢铁行业超低浓度排放，实施“煤改气</w:t>
      </w:r>
      <w:r>
        <w:rPr>
          <w:rFonts w:hint="eastAsia" w:ascii="Times New Roman" w:hAnsi="Times New Roman" w:eastAsia="方正仿宋_GBK" w:cs="方正仿宋_GBK"/>
          <w:b w:val="0"/>
          <w:bCs w:val="0"/>
          <w:color w:val="auto"/>
          <w:kern w:val="2"/>
          <w:sz w:val="28"/>
          <w:szCs w:val="28"/>
          <w:lang w:val="en-US" w:eastAsia="zh-CN" w:bidi="ar-SA"/>
        </w:rPr>
        <w:t>”“</w:t>
      </w:r>
      <w:r>
        <w:rPr>
          <w:rFonts w:hint="default" w:ascii="Times New Roman" w:hAnsi="Times New Roman" w:eastAsia="方正仿宋_GBK" w:cs="方正仿宋_GBK"/>
          <w:b w:val="0"/>
          <w:bCs w:val="0"/>
          <w:color w:val="auto"/>
          <w:kern w:val="2"/>
          <w:sz w:val="28"/>
          <w:szCs w:val="28"/>
          <w:lang w:val="en-US" w:eastAsia="zh-CN" w:bidi="ar-SA"/>
        </w:rPr>
        <w:t>煤改电”工程建设，推广清洁能源使用，开展桂山、戛洒、扬武等片区集中整治，减少工业集聚区污染。</w:t>
      </w:r>
    </w:p>
    <w:p w14:paraId="25502095">
      <w:pPr>
        <w:keepNext w:val="0"/>
        <w:keepLines w:val="0"/>
        <w:pageBreakBefore w:val="0"/>
        <w:numPr>
          <w:ilvl w:val="0"/>
          <w:numId w:val="0"/>
        </w:numPr>
        <w:kinsoku/>
        <w:wordWrap/>
        <w:overflowPunct/>
        <w:topLinePunct w:val="0"/>
        <w:autoSpaceDE/>
        <w:autoSpaceDN/>
        <w:bidi w:val="0"/>
        <w:snapToGrid w:val="0"/>
        <w:spacing w:before="157" w:beforeLines="50" w:after="157" w:afterLines="50" w:line="500" w:lineRule="exact"/>
        <w:textAlignment w:val="auto"/>
        <w:outlineLvl w:val="2"/>
        <w:rPr>
          <w:rFonts w:hint="default" w:ascii="Times New Roman" w:hAnsi="Times New Roman" w:eastAsia="宋体" w:cs="Times New Roman"/>
          <w:b/>
          <w:bCs/>
          <w:snapToGrid w:val="0"/>
          <w:color w:val="auto"/>
          <w:kern w:val="2"/>
          <w:sz w:val="28"/>
          <w:szCs w:val="28"/>
          <w:highlight w:val="none"/>
          <w:lang w:val="en-US" w:eastAsia="zh-CN" w:bidi="ar-SA"/>
        </w:rPr>
      </w:pPr>
      <w:bookmarkStart w:id="379" w:name="_Toc14996"/>
      <w:bookmarkStart w:id="380" w:name="_Toc4937"/>
      <w:r>
        <w:rPr>
          <w:rFonts w:hint="eastAsia" w:ascii="Times New Roman" w:hAnsi="Times New Roman" w:eastAsia="宋体" w:cs="Times New Roman"/>
          <w:b/>
          <w:bCs/>
          <w:snapToGrid w:val="0"/>
          <w:color w:val="auto"/>
          <w:kern w:val="2"/>
          <w:sz w:val="28"/>
          <w:szCs w:val="28"/>
          <w:highlight w:val="none"/>
          <w:lang w:val="en-US" w:eastAsia="zh-CN" w:bidi="ar-SA"/>
        </w:rPr>
        <w:t>6.2</w:t>
      </w:r>
      <w:r>
        <w:rPr>
          <w:rFonts w:hint="default" w:ascii="Times New Roman" w:hAnsi="Times New Roman" w:eastAsia="宋体" w:cs="Times New Roman"/>
          <w:b/>
          <w:bCs/>
          <w:snapToGrid w:val="0"/>
          <w:color w:val="auto"/>
          <w:kern w:val="2"/>
          <w:sz w:val="28"/>
          <w:szCs w:val="28"/>
          <w:highlight w:val="none"/>
          <w:lang w:val="en-US" w:eastAsia="zh-CN" w:bidi="ar-SA"/>
        </w:rPr>
        <w:t>.4强化移动源污染防治</w:t>
      </w:r>
      <w:bookmarkEnd w:id="363"/>
      <w:bookmarkEnd w:id="364"/>
      <w:bookmarkEnd w:id="365"/>
      <w:bookmarkEnd w:id="379"/>
      <w:bookmarkEnd w:id="380"/>
    </w:p>
    <w:p w14:paraId="4AEBBA3B">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加强道路大气污染治理。重点对入境货车、运输车、渣土车等进行排查抽测，围绕渣土覆盖不完全、载运货物脱落扬撒、带泥上路等运输</w:t>
      </w:r>
      <w:r>
        <w:rPr>
          <w:rFonts w:hint="eastAsia" w:ascii="Times New Roman" w:hAnsi="Times New Roman" w:eastAsia="方正仿宋_GBK" w:cs="方正仿宋_GBK"/>
          <w:b w:val="0"/>
          <w:bCs w:val="0"/>
          <w:color w:val="auto"/>
          <w:kern w:val="2"/>
          <w:sz w:val="28"/>
          <w:szCs w:val="28"/>
          <w:lang w:val="en-US" w:eastAsia="zh-CN" w:bidi="ar-SA"/>
        </w:rPr>
        <w:t>行业</w:t>
      </w:r>
      <w:r>
        <w:rPr>
          <w:rFonts w:hint="default" w:ascii="Times New Roman" w:hAnsi="Times New Roman" w:eastAsia="方正仿宋_GBK" w:cs="方正仿宋_GBK"/>
          <w:b w:val="0"/>
          <w:bCs w:val="0"/>
          <w:color w:val="auto"/>
          <w:kern w:val="2"/>
          <w:sz w:val="28"/>
          <w:szCs w:val="28"/>
          <w:lang w:val="en-US" w:eastAsia="zh-CN" w:bidi="ar-SA"/>
        </w:rPr>
        <w:t>开展整治。加强道路扬尘污染治理，大力推进道路清扫保洁机械化作业，提高主次干路路面湿扫和冲洗频率。在环城路周边设置洗车点，对泥污的长途客车和进城货运车辆先冲洗后进城。对沿线道路施工工地加大环保监管力度，确保采取苫盖、喷雾装置，最大限度减少扬尘。加快道路移动源污染防治区块链技术应用，建立交通、交警、环保等多部门联测联防联治机制，在</w:t>
      </w:r>
      <w:r>
        <w:rPr>
          <w:rFonts w:hint="eastAsia" w:ascii="Times New Roman" w:hAnsi="Times New Roman" w:eastAsia="方正仿宋_GBK" w:cs="方正仿宋_GBK"/>
          <w:b w:val="0"/>
          <w:bCs w:val="0"/>
          <w:color w:val="auto"/>
          <w:kern w:val="2"/>
          <w:sz w:val="28"/>
          <w:szCs w:val="28"/>
          <w:lang w:val="en-US" w:eastAsia="zh-CN" w:bidi="ar-SA"/>
        </w:rPr>
        <w:t>污染监测</w:t>
      </w:r>
      <w:r>
        <w:rPr>
          <w:rFonts w:hint="default" w:ascii="Times New Roman" w:hAnsi="Times New Roman" w:eastAsia="方正仿宋_GBK" w:cs="方正仿宋_GBK"/>
          <w:b w:val="0"/>
          <w:bCs w:val="0"/>
          <w:color w:val="auto"/>
          <w:kern w:val="2"/>
          <w:sz w:val="28"/>
          <w:szCs w:val="28"/>
          <w:lang w:val="en-US" w:eastAsia="zh-CN" w:bidi="ar-SA"/>
        </w:rPr>
        <w:t>、环境预警、流量控制、安全运营等方面实现信息互联互通，形成数据共享、反应快速、联动高效、合成作战的防治工作新格局。</w:t>
      </w:r>
    </w:p>
    <w:p w14:paraId="7287CBC1">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加快推进新能源或清洁能源车辆推广应用。加大公交、出租、市政、物流配送等领域新能源车推广力度；新增（含更换）出租车采用电动车或者达到国六标准的汽油车；新增（含更换）环卫、园林绿化等车辆全部使用新能源车（特种环卫作业车辆除外）。提高公共交通、步行、自行车出行比例，合理控制机动车保有量，严格网约车环境准入，加快新能源汽车的使用，到2025年，全县公交车中新能源汽车占比力争达到90%，2030年达到95%以上。加快充电设施建设，在大型商业购物中心、农贸批发市场等物流集散地建设集中式充电桩和快速充电桩。</w:t>
      </w:r>
    </w:p>
    <w:p w14:paraId="1B86028B">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加强机动车环保管理。严格执行机动车强制报废制度，加快淘汰黄标车和老旧车辆。提高机动车环境准入要求，禁止不符合排放标准的车辆生产、销售和注册登记。实施国家第六阶段机动车大气污染物排放标准。实施国六油品标准，实现车用柴油、普通柴油燃油标准并轨。加强在用车排气污染执法监管，加大对高污染车辆的查处及惩罚力度。持续打好柴油货车污染治理攻坚战，深入实施清洁柴油车（机）行动，基本淘汰国三及以下排放标准汽车，有序推广清洁能源汽车。</w:t>
      </w:r>
    </w:p>
    <w:p w14:paraId="6C0B179B">
      <w:pPr>
        <w:pStyle w:val="4"/>
        <w:pageBreakBefore w:val="0"/>
        <w:kinsoku/>
        <w:wordWrap/>
        <w:overflowPunct/>
        <w:topLinePunct w:val="0"/>
        <w:autoSpaceDE/>
        <w:autoSpaceDN/>
        <w:bidi w:val="0"/>
        <w:spacing w:before="260" w:after="260" w:line="500" w:lineRule="exact"/>
        <w:ind w:firstLine="0"/>
        <w:textAlignment w:val="auto"/>
        <w:rPr>
          <w:rFonts w:hint="default" w:ascii="Times New Roman" w:hAnsi="Times New Roman" w:eastAsia="仿宋" w:cs="Times New Roman"/>
          <w:color w:val="auto"/>
          <w:sz w:val="32"/>
          <w:lang w:val="en-US" w:eastAsia="zh-CN"/>
        </w:rPr>
      </w:pPr>
      <w:bookmarkStart w:id="381" w:name="_Toc19229"/>
      <w:bookmarkStart w:id="382" w:name="_Toc27864"/>
      <w:bookmarkStart w:id="383" w:name="_Toc27331"/>
      <w:bookmarkStart w:id="384" w:name="_Toc27444"/>
      <w:bookmarkStart w:id="385" w:name="_Toc26873"/>
      <w:bookmarkStart w:id="386" w:name="_Toc8669"/>
      <w:bookmarkStart w:id="387" w:name="_Toc8839"/>
      <w:bookmarkStart w:id="388" w:name="_Toc32353"/>
      <w:bookmarkStart w:id="389" w:name="_Toc17493"/>
      <w:bookmarkStart w:id="390" w:name="_Toc10144"/>
      <w:r>
        <w:rPr>
          <w:rFonts w:hint="eastAsia" w:ascii="Times New Roman" w:hAnsi="Times New Roman" w:eastAsia="仿宋" w:cs="Times New Roman"/>
          <w:color w:val="auto"/>
          <w:sz w:val="32"/>
          <w:lang w:val="en-US" w:eastAsia="zh-CN"/>
        </w:rPr>
        <w:t>6.3</w:t>
      </w:r>
      <w:r>
        <w:rPr>
          <w:rFonts w:hint="default" w:ascii="Times New Roman" w:hAnsi="Times New Roman" w:eastAsia="仿宋" w:cs="Times New Roman"/>
          <w:color w:val="auto"/>
          <w:sz w:val="32"/>
          <w:lang w:val="en-US" w:eastAsia="zh-CN"/>
        </w:rPr>
        <w:t>严格管控土壤环境质量</w:t>
      </w:r>
      <w:bookmarkEnd w:id="381"/>
      <w:bookmarkEnd w:id="382"/>
      <w:bookmarkEnd w:id="383"/>
      <w:bookmarkEnd w:id="384"/>
      <w:bookmarkEnd w:id="385"/>
      <w:bookmarkEnd w:id="386"/>
      <w:bookmarkEnd w:id="387"/>
      <w:bookmarkEnd w:id="388"/>
      <w:bookmarkEnd w:id="389"/>
      <w:bookmarkEnd w:id="390"/>
    </w:p>
    <w:p w14:paraId="04057C6B">
      <w:pPr>
        <w:keepNext w:val="0"/>
        <w:keepLines w:val="0"/>
        <w:pageBreakBefore w:val="0"/>
        <w:numPr>
          <w:ilvl w:val="0"/>
          <w:numId w:val="0"/>
        </w:numPr>
        <w:kinsoku/>
        <w:wordWrap/>
        <w:overflowPunct/>
        <w:topLinePunct w:val="0"/>
        <w:autoSpaceDE/>
        <w:autoSpaceDN/>
        <w:bidi w:val="0"/>
        <w:snapToGrid w:val="0"/>
        <w:spacing w:before="157" w:beforeLines="50" w:after="157" w:afterLines="50" w:line="500" w:lineRule="exact"/>
        <w:textAlignment w:val="auto"/>
        <w:outlineLvl w:val="2"/>
        <w:rPr>
          <w:rFonts w:hint="default" w:ascii="Times New Roman" w:hAnsi="Times New Roman" w:eastAsia="宋体" w:cs="Times New Roman"/>
          <w:b/>
          <w:bCs/>
          <w:snapToGrid w:val="0"/>
          <w:color w:val="auto"/>
          <w:kern w:val="2"/>
          <w:sz w:val="28"/>
          <w:szCs w:val="28"/>
          <w:highlight w:val="none"/>
          <w:lang w:val="en-US" w:eastAsia="zh-CN" w:bidi="ar-SA"/>
        </w:rPr>
      </w:pPr>
      <w:bookmarkStart w:id="391" w:name="_Toc12990"/>
      <w:bookmarkStart w:id="392" w:name="_Toc27522"/>
      <w:bookmarkStart w:id="393" w:name="_Toc2400"/>
      <w:bookmarkStart w:id="394" w:name="_Toc23835"/>
      <w:bookmarkStart w:id="395" w:name="_Toc31961"/>
      <w:r>
        <w:rPr>
          <w:rFonts w:hint="eastAsia" w:ascii="Times New Roman" w:hAnsi="Times New Roman" w:eastAsia="宋体" w:cs="Times New Roman"/>
          <w:b/>
          <w:bCs/>
          <w:snapToGrid w:val="0"/>
          <w:color w:val="auto"/>
          <w:kern w:val="2"/>
          <w:sz w:val="28"/>
          <w:szCs w:val="28"/>
          <w:highlight w:val="none"/>
          <w:lang w:val="en-US" w:eastAsia="zh-CN" w:bidi="ar-SA"/>
        </w:rPr>
        <w:t>6.3</w:t>
      </w:r>
      <w:r>
        <w:rPr>
          <w:rFonts w:hint="default" w:ascii="Times New Roman" w:hAnsi="Times New Roman" w:eastAsia="宋体" w:cs="Times New Roman"/>
          <w:b/>
          <w:bCs/>
          <w:snapToGrid w:val="0"/>
          <w:color w:val="auto"/>
          <w:kern w:val="2"/>
          <w:sz w:val="28"/>
          <w:szCs w:val="28"/>
          <w:highlight w:val="none"/>
          <w:lang w:val="en-US" w:eastAsia="zh-CN" w:bidi="ar-SA"/>
        </w:rPr>
        <w:t>.1推动土壤污染防治和安全利用</w:t>
      </w:r>
      <w:bookmarkEnd w:id="391"/>
      <w:bookmarkEnd w:id="392"/>
      <w:bookmarkEnd w:id="393"/>
      <w:bookmarkEnd w:id="394"/>
      <w:bookmarkEnd w:id="395"/>
    </w:p>
    <w:p w14:paraId="12E14FAF">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全面开展土壤污染状况详查，实施农用地分类管理。加强退化耕地综合治理，积极推进耕地轮作休耕试点，加强轮作休耕耕地管理。建立污染地块联动监管机制，严格管控重度污染耕地，强化暂不开发污染地块的环境风险管控。严格落实畜禽禁养区管理，推进化肥农药减量，着力控制农业面源污染。实施尾矿、煤矸石等矿业固体废物产生、贮存减量水泥程，加大工业固体废物堆存场所排查整治力度。逐步禁止不可降解塑料袋等一次性塑料制品的生产、销售及使用，加快建立分类投放、分类收集、分类运输、分类处理的生活垃圾管理系统。实施危险废物分级分类管理，建立信息化监管体系，加强医疗废物和有毒有害化学品监管力度。</w:t>
      </w:r>
    </w:p>
    <w:p w14:paraId="79F3ABE5">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持续推进土壤环境质量调查监测工作。按照国家、省、</w:t>
      </w:r>
      <w:r>
        <w:rPr>
          <w:rFonts w:hint="eastAsia" w:ascii="Times New Roman" w:hAnsi="Times New Roman" w:eastAsia="方正仿宋_GBK" w:cs="方正仿宋_GBK"/>
          <w:b w:val="0"/>
          <w:bCs w:val="0"/>
          <w:color w:val="auto"/>
          <w:kern w:val="2"/>
          <w:sz w:val="28"/>
          <w:szCs w:val="28"/>
          <w:lang w:val="en-US" w:eastAsia="zh-CN" w:bidi="ar-SA"/>
        </w:rPr>
        <w:t>市</w:t>
      </w:r>
      <w:r>
        <w:rPr>
          <w:rFonts w:hint="default" w:ascii="Times New Roman" w:hAnsi="Times New Roman" w:eastAsia="方正仿宋_GBK" w:cs="方正仿宋_GBK"/>
          <w:b w:val="0"/>
          <w:bCs w:val="0"/>
          <w:color w:val="auto"/>
          <w:kern w:val="2"/>
          <w:sz w:val="28"/>
          <w:szCs w:val="28"/>
          <w:lang w:val="en-US" w:eastAsia="zh-CN" w:bidi="ar-SA"/>
        </w:rPr>
        <w:t>土壤环境调查工作部署，持续做好区域内土壤背景点、基础点监测工作；推进农用地土壤污染状况详查及重点行业企业用地土壤环境调查及成果入库集成工作，完善污染地块清单，动态掌握全县农用地及重点行业企业土壤环境污染现状。推进</w:t>
      </w:r>
      <w:r>
        <w:rPr>
          <w:rFonts w:hint="eastAsia" w:ascii="Times New Roman" w:hAnsi="Times New Roman" w:eastAsia="方正仿宋_GBK" w:cs="方正仿宋_GBK"/>
          <w:b w:val="0"/>
          <w:bCs w:val="0"/>
          <w:color w:val="auto"/>
          <w:kern w:val="2"/>
          <w:sz w:val="28"/>
          <w:szCs w:val="28"/>
          <w:lang w:val="en-US" w:eastAsia="zh-CN" w:bidi="ar-SA"/>
        </w:rPr>
        <w:t>工业园区</w:t>
      </w:r>
      <w:r>
        <w:rPr>
          <w:rFonts w:hint="default" w:ascii="Times New Roman" w:hAnsi="Times New Roman" w:eastAsia="方正仿宋_GBK" w:cs="方正仿宋_GBK"/>
          <w:b w:val="0"/>
          <w:bCs w:val="0"/>
          <w:color w:val="auto"/>
          <w:kern w:val="2"/>
          <w:sz w:val="28"/>
          <w:szCs w:val="28"/>
          <w:lang w:val="en-US" w:eastAsia="zh-CN" w:bidi="ar-SA"/>
        </w:rPr>
        <w:t>域土壤环境质量详查，实施</w:t>
      </w:r>
      <w:r>
        <w:rPr>
          <w:rFonts w:hint="eastAsia" w:ascii="Times New Roman" w:hAnsi="Times New Roman" w:eastAsia="方正仿宋_GBK" w:cs="方正仿宋_GBK"/>
          <w:b w:val="0"/>
          <w:bCs w:val="0"/>
          <w:color w:val="auto"/>
          <w:kern w:val="2"/>
          <w:sz w:val="28"/>
          <w:szCs w:val="28"/>
          <w:lang w:val="en-US" w:eastAsia="zh-CN" w:bidi="ar-SA"/>
        </w:rPr>
        <w:t>工业园区</w:t>
      </w:r>
      <w:r>
        <w:rPr>
          <w:rFonts w:hint="default" w:ascii="Times New Roman" w:hAnsi="Times New Roman" w:eastAsia="方正仿宋_GBK" w:cs="方正仿宋_GBK"/>
          <w:b w:val="0"/>
          <w:bCs w:val="0"/>
          <w:color w:val="auto"/>
          <w:kern w:val="2"/>
          <w:sz w:val="28"/>
          <w:szCs w:val="28"/>
          <w:lang w:val="en-US" w:eastAsia="zh-CN" w:bidi="ar-SA"/>
        </w:rPr>
        <w:t>域土壤污染状况详查，组织实施土壤环境调查，2025年前基本摸清全县</w:t>
      </w:r>
      <w:r>
        <w:rPr>
          <w:rFonts w:hint="eastAsia" w:ascii="Times New Roman" w:hAnsi="Times New Roman" w:eastAsia="方正仿宋_GBK" w:cs="方正仿宋_GBK"/>
          <w:b w:val="0"/>
          <w:bCs w:val="0"/>
          <w:color w:val="auto"/>
          <w:kern w:val="2"/>
          <w:sz w:val="28"/>
          <w:szCs w:val="28"/>
          <w:lang w:val="en-US" w:eastAsia="zh-CN" w:bidi="ar-SA"/>
        </w:rPr>
        <w:t>工业园区</w:t>
      </w:r>
      <w:r>
        <w:rPr>
          <w:rFonts w:hint="default" w:ascii="Times New Roman" w:hAnsi="Times New Roman" w:eastAsia="方正仿宋_GBK" w:cs="方正仿宋_GBK"/>
          <w:b w:val="0"/>
          <w:bCs w:val="0"/>
          <w:color w:val="auto"/>
          <w:kern w:val="2"/>
          <w:sz w:val="28"/>
          <w:szCs w:val="28"/>
          <w:lang w:val="en-US" w:eastAsia="zh-CN" w:bidi="ar-SA"/>
        </w:rPr>
        <w:t>域的土壤环境质量状况。</w:t>
      </w:r>
    </w:p>
    <w:p w14:paraId="1FDBF06A">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持续推进农用地分类管理和安全利用。加大优先保护类农用地保护力度，依法推行农用地分类管理制度，强化受污染耕地安全利用和风险管控；加强优先保护类农用地重金属污染监测预警，有效管控周边重金属污染源，推行使用有机肥、推广中碱性肥料、种植绿肥等管护措施，探索安全利用长效管护运行模式与管理机制，构建优先保护类农用地安全利用保障体系，确保农用地土壤环境质量不下降，实现优先保护类农用地持续安全利用。加大农用地保护力度，将符合条件的优先保护类耕地划为永久基本农田，实行严格保护，确保其面积不减少、土壤环境质量不下降，除法律规定的重点建设项目选址确实无法避让外，其他任何建设不得占用。农村土地流转的受让方要履行土壤保护的责任，避免因过度施肥、滥用农药等掠夺式农业生产方式造成土壤环境质量下降。严格落实粮食收购和销售出库质量安全检验制度和追溯制度。</w:t>
      </w:r>
    </w:p>
    <w:p w14:paraId="5C903213">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有序实施建设用地风险管控和治理修复。有效管控建设用地土壤污染风险。严格建设用地土壤污染风险管控和修复名录内地块的准入管理，确保规划期间，不断健全用地土壤污染风险管控和修复名录制度。未依法完成土壤污染状况调查和风险评估的地块，不得开工建设与风险管控和修复无关的项目。推广绿色修复理念，强化修复过程二次污染防控。探索实施污染土壤规模化、集约化修复。督促矿山企业依法依规编制矿山地质环境保护与土地复垦方案，落实土壤污染防治和风险管控措施。探索在产企业边生产边管控的土壤污染风险管控模式。</w:t>
      </w:r>
    </w:p>
    <w:p w14:paraId="4254894C">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加强土壤污染源监管。一是严控工矿污染。加强工业废物处理处置。全面整治尾矿以及脱硫、脱硝、除尘产生固体废物的堆存场所，完善防扬散、防流失、防渗漏等设施。二是控制农业面源污染。合理使用化肥农药农膜。鼓励农民增施有机肥，减少化肥使用量。科学施用农药，推行农作物病虫害专业化统防统治和绿色防控，推广高效低毒低残留农药和现代植保机械。严格化肥农药农膜生产和销售办证准入条件，加重对不法销售商的处罚力度，建立化肥农药农膜监管制度。加强废弃农膜回收利用，严厉打击违法生产和销售不合格农膜行为，建立健全废弃农膜回收贮运和综合利用网络。三是减少生活污染。建立政府、社区、企业和居民协调机制，通过分类投放收集、综合循环利用，促进垃圾减量化、资源化、无害化。推进农村生活垃圾治理及农村生活污水治理，建立村庄保洁制度，排查整治镇、村级非正规垃圾填埋场。深入实施“以奖促治”政策，扩大农村环境连片整治范围。强化废氧化汞电池、镍镉电池、铅酸蓄电池和含汞荧光灯管、温度计等含重金属废物的安全处置。到2025年，全县土壤环境治理总体保持稳定，农用地和建设用地土壤环境安全得到有效保障，土壤风险得到基本控制；受污染耕地安全利用率达到省</w:t>
      </w:r>
      <w:r>
        <w:rPr>
          <w:rFonts w:hint="eastAsia" w:ascii="Times New Roman" w:hAnsi="Times New Roman" w:eastAsia="方正仿宋_GBK" w:cs="方正仿宋_GBK"/>
          <w:b w:val="0"/>
          <w:bCs w:val="0"/>
          <w:color w:val="auto"/>
          <w:kern w:val="2"/>
          <w:sz w:val="28"/>
          <w:szCs w:val="28"/>
          <w:lang w:val="en-US" w:eastAsia="zh-CN" w:bidi="ar-SA"/>
        </w:rPr>
        <w:t>市</w:t>
      </w:r>
      <w:r>
        <w:rPr>
          <w:rFonts w:hint="default" w:ascii="Times New Roman" w:hAnsi="Times New Roman" w:eastAsia="方正仿宋_GBK" w:cs="方正仿宋_GBK"/>
          <w:b w:val="0"/>
          <w:bCs w:val="0"/>
          <w:color w:val="auto"/>
          <w:kern w:val="2"/>
          <w:sz w:val="28"/>
          <w:szCs w:val="28"/>
          <w:lang w:val="en-US" w:eastAsia="zh-CN" w:bidi="ar-SA"/>
        </w:rPr>
        <w:t>下达任务；重点建设用地安全得到有效保障。到2030年，全县土壤环境质量稳中向好，农用地和建设用地土壤环境安全得到有效保障，土壤环境风险得到全面管控。</w:t>
      </w:r>
    </w:p>
    <w:p w14:paraId="550F6165">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深化土壤污染治理与修复。积极争取中央财政土壤污染防治专项资金支持，完成工业矿渣库污染整治工程，开展污染土壤治理和修复。持续推进土壤污染治理，完成国土空间规划编制、国土调查、历史遗留矿山生态修复等工作，严厉打击非法开采矿产资源、“固废”倾倒等违法行为，持续抓好河道非法采砂取石专项整治。加强重点区域土壤污染监测、整治、预防、监管，严格防控重金属污染，强化农业农村面源污染防治。</w:t>
      </w:r>
    </w:p>
    <w:p w14:paraId="2D022549">
      <w:pPr>
        <w:keepNext w:val="0"/>
        <w:keepLines w:val="0"/>
        <w:pageBreakBefore w:val="0"/>
        <w:numPr>
          <w:ilvl w:val="0"/>
          <w:numId w:val="0"/>
        </w:numPr>
        <w:kinsoku/>
        <w:wordWrap/>
        <w:overflowPunct/>
        <w:topLinePunct w:val="0"/>
        <w:autoSpaceDE/>
        <w:autoSpaceDN/>
        <w:bidi w:val="0"/>
        <w:snapToGrid w:val="0"/>
        <w:spacing w:before="157" w:beforeLines="50" w:after="157" w:afterLines="50" w:line="500" w:lineRule="exact"/>
        <w:textAlignment w:val="auto"/>
        <w:outlineLvl w:val="2"/>
        <w:rPr>
          <w:rFonts w:hint="default" w:ascii="Times New Roman" w:hAnsi="Times New Roman" w:eastAsia="宋体" w:cs="Times New Roman"/>
          <w:b/>
          <w:bCs/>
          <w:snapToGrid w:val="0"/>
          <w:color w:val="auto"/>
          <w:kern w:val="2"/>
          <w:sz w:val="28"/>
          <w:szCs w:val="28"/>
          <w:highlight w:val="none"/>
          <w:lang w:val="en-US" w:eastAsia="zh-CN" w:bidi="ar-SA"/>
        </w:rPr>
      </w:pPr>
      <w:bookmarkStart w:id="396" w:name="_Toc25334"/>
      <w:bookmarkStart w:id="397" w:name="_Toc9889"/>
      <w:bookmarkStart w:id="398" w:name="_Toc9264"/>
      <w:bookmarkStart w:id="399" w:name="_Toc17687"/>
      <w:bookmarkStart w:id="400" w:name="_Toc10266"/>
      <w:r>
        <w:rPr>
          <w:rFonts w:hint="eastAsia" w:ascii="Times New Roman" w:hAnsi="Times New Roman" w:eastAsia="宋体" w:cs="Times New Roman"/>
          <w:b/>
          <w:bCs/>
          <w:snapToGrid w:val="0"/>
          <w:color w:val="auto"/>
          <w:kern w:val="2"/>
          <w:sz w:val="28"/>
          <w:szCs w:val="28"/>
          <w:highlight w:val="none"/>
          <w:lang w:val="en-US" w:eastAsia="zh-CN" w:bidi="ar-SA"/>
        </w:rPr>
        <w:t>6.3</w:t>
      </w:r>
      <w:r>
        <w:rPr>
          <w:rFonts w:hint="default" w:ascii="Times New Roman" w:hAnsi="Times New Roman" w:eastAsia="宋体" w:cs="Times New Roman"/>
          <w:b/>
          <w:bCs/>
          <w:snapToGrid w:val="0"/>
          <w:color w:val="auto"/>
          <w:kern w:val="2"/>
          <w:sz w:val="28"/>
          <w:szCs w:val="28"/>
          <w:highlight w:val="none"/>
          <w:lang w:val="en-US" w:eastAsia="zh-CN" w:bidi="ar-SA"/>
        </w:rPr>
        <w:t>.2加强地下水污染防治</w:t>
      </w:r>
      <w:bookmarkEnd w:id="396"/>
      <w:bookmarkEnd w:id="397"/>
      <w:bookmarkEnd w:id="398"/>
      <w:bookmarkEnd w:id="399"/>
      <w:bookmarkEnd w:id="400"/>
    </w:p>
    <w:p w14:paraId="0C01BEED">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按照《地下水管理条例》要求，县人民政府对本行政区域内的地下水管理负责，将地下水管理纳入本级国民经济和社会发展规划，并采取控制开采量、防治污染等措施，维持地下水合理水位，保护地下水水质。水行政主管部门按照管理权限，负责本行政区域内地下水统一监督管理工作。生态环境主管部门负责本行政区域内地下水污染防治监督管理工作。自然资源等主管部门按照职责分工做好本行政区域内地下水调查、监测等相关工作。</w:t>
      </w:r>
    </w:p>
    <w:p w14:paraId="632FD649">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开展地下水环境状况调查。按照国家和省关于地下水污染防治分区划分技术要求，开展地下水污染分区划分工作，综合考虑地下水污染指标，地下水使用功能等因素提出地下水污染分区防控措施，实施地下水污染源分类监管。开展新平县地下水现状调查，建立地下水名录清单，按照矿山开采区、重点</w:t>
      </w:r>
      <w:r>
        <w:rPr>
          <w:rFonts w:hint="eastAsia" w:ascii="Times New Roman" w:hAnsi="Times New Roman" w:eastAsia="方正仿宋_GBK" w:cs="方正仿宋_GBK"/>
          <w:b w:val="0"/>
          <w:bCs w:val="0"/>
          <w:color w:val="auto"/>
          <w:kern w:val="2"/>
          <w:sz w:val="28"/>
          <w:szCs w:val="28"/>
          <w:lang w:val="en-US" w:eastAsia="zh-CN" w:bidi="ar-SA"/>
        </w:rPr>
        <w:t>工业园区</w:t>
      </w:r>
      <w:r>
        <w:rPr>
          <w:rFonts w:hint="default" w:ascii="Times New Roman" w:hAnsi="Times New Roman" w:eastAsia="方正仿宋_GBK" w:cs="方正仿宋_GBK"/>
          <w:b w:val="0"/>
          <w:bCs w:val="0"/>
          <w:color w:val="auto"/>
          <w:kern w:val="2"/>
          <w:sz w:val="28"/>
          <w:szCs w:val="28"/>
          <w:lang w:val="en-US" w:eastAsia="zh-CN" w:bidi="ar-SA"/>
        </w:rPr>
        <w:t>域、垃圾填埋场、石油水泥生产销售区和农业污染源确定重点调查对象，编制《新平县地下水基础环境状况调查评估工作实施方案》全面开展调查评估工作。2025年底前，查清县城、镇集中式地下水型饮用水源补给区、</w:t>
      </w:r>
      <w:r>
        <w:rPr>
          <w:rFonts w:hint="eastAsia" w:ascii="Times New Roman" w:hAnsi="Times New Roman" w:eastAsia="方正仿宋_GBK" w:cs="方正仿宋_GBK"/>
          <w:b w:val="0"/>
          <w:bCs w:val="0"/>
          <w:color w:val="auto"/>
          <w:kern w:val="2"/>
          <w:sz w:val="28"/>
          <w:szCs w:val="28"/>
          <w:lang w:val="en-US" w:eastAsia="zh-CN" w:bidi="ar-SA"/>
        </w:rPr>
        <w:t>工业园区</w:t>
      </w:r>
      <w:r>
        <w:rPr>
          <w:rFonts w:hint="default" w:ascii="Times New Roman" w:hAnsi="Times New Roman" w:eastAsia="方正仿宋_GBK" w:cs="方正仿宋_GBK"/>
          <w:b w:val="0"/>
          <w:bCs w:val="0"/>
          <w:color w:val="auto"/>
          <w:kern w:val="2"/>
          <w:sz w:val="28"/>
          <w:szCs w:val="28"/>
          <w:lang w:val="en-US" w:eastAsia="zh-CN" w:bidi="ar-SA"/>
        </w:rPr>
        <w:t>域、垃圾填埋场、加油站、危险废物处置场等区域周边地下水环境状况。针对存在人为污染且威胁饮用水水源水质安全的地下水，开展详细调查，评估其污染趋势和健康风险，若风险不可接受，应开展地下水污染修复（防控）工作。</w:t>
      </w:r>
    </w:p>
    <w:p w14:paraId="1F402139">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强化土壤与地下水污染协同防治。认真贯彻落实《土壤污染防治法</w:t>
      </w:r>
      <w:r>
        <w:rPr>
          <w:rFonts w:hint="eastAsia" w:ascii="Times New Roman" w:hAnsi="Times New Roman" w:eastAsia="方正仿宋_GBK" w:cs="方正仿宋_GBK"/>
          <w:b w:val="0"/>
          <w:bCs w:val="0"/>
          <w:color w:val="auto"/>
          <w:kern w:val="2"/>
          <w:sz w:val="28"/>
          <w:szCs w:val="28"/>
          <w:lang w:val="en-US" w:eastAsia="zh-CN" w:bidi="ar-SA"/>
        </w:rPr>
        <w:t>》“</w:t>
      </w:r>
      <w:r>
        <w:rPr>
          <w:rFonts w:hint="default" w:ascii="Times New Roman" w:hAnsi="Times New Roman" w:eastAsia="方正仿宋_GBK" w:cs="方正仿宋_GBK"/>
          <w:b w:val="0"/>
          <w:bCs w:val="0"/>
          <w:color w:val="auto"/>
          <w:kern w:val="2"/>
          <w:sz w:val="28"/>
          <w:szCs w:val="28"/>
          <w:lang w:val="en-US" w:eastAsia="zh-CN" w:bidi="ar-SA"/>
        </w:rPr>
        <w:t>土十条”关于地下水污染防治的相关要求。对安全利用类和严格管控类农用地地块的土壤污染影响或可能影响地下水的，制定污染防治方案时，应纳入地下水的内容；对污染物含量超过土壤污染风险管控标准的建设用地地块，土壤污染状况调查报告应包括地下水是否受到污染等内容；对列入风险管控和修复名录中的建设用地地块，实施风险管控措施应包括地下水污染防治的内容；实施修复的地块，修复方案应包括地下水污染修复的内容。</w:t>
      </w:r>
    </w:p>
    <w:p w14:paraId="338D0EBF">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推进地表水与地下水协同防治。统筹区域地表水、地下水生态环境监管要求。强化地下水安全监测管理，加强工业集聚区、矿山开采区等地下水污染源对地表水的环境风险管控，督促工业集聚区、矿山开产区、垃圾填埋场等区域进行必要防渗处理工作，对报废的矿井、取水井实施封井回填。推动地下水环境分区管理。科学划定地下水污染防治重点区。加强地下水资源开发利用控制，做好农业取用地下水管理和保护工作，开展地下水环境防护工程，加强治理地下水敏感区污染，控制地下水敏感区域的污染工业发展规模，加强污水收集管网建设，强化污水处理厂运行管理，加强固体废物、堆存物的处置。强化地下水污染源及周边风险管控</w:t>
      </w:r>
    </w:p>
    <w:p w14:paraId="13B0A376">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开展地下水超采区治理，深化水利改革。严格地下水水量和水位双控制，强化地下水资源开发利用管理。通过加强农业、工业等各领域节水，优化城镇发展和产业布局，逐步实现地下水采补平衡。进一步加强地下水保护和涵养，提高地下水战略储备能力。加快地下水监测工程建设，完善地下水监控体系，建立地下水管理信息系统。进一步推进农业水价综合改革，改建骨干工程，配套末级渠系，完善计量设施，加强供水计划管理，优化用水调度，抓好水权分配，有序组织开展水权交易，拓展水权交易范围，提升用水效率和效益。进一步深化小水工程产权制度改革，落实管护主体、管护责任和管护经费。加快水利投融资体制改革步伐，积极向国家、省市有关部门争取项目和资金，衔接、落实国开行、农发行等金融机构贷款，广泛吸引社会资本投资建设水利工程。</w:t>
      </w:r>
    </w:p>
    <w:p w14:paraId="295B5688">
      <w:pPr>
        <w:pStyle w:val="4"/>
        <w:pageBreakBefore w:val="0"/>
        <w:kinsoku/>
        <w:wordWrap/>
        <w:overflowPunct/>
        <w:topLinePunct w:val="0"/>
        <w:autoSpaceDE/>
        <w:autoSpaceDN/>
        <w:bidi w:val="0"/>
        <w:spacing w:before="260" w:after="260" w:line="500" w:lineRule="exact"/>
        <w:ind w:firstLine="0"/>
        <w:textAlignment w:val="auto"/>
        <w:rPr>
          <w:rFonts w:hint="default" w:ascii="Times New Roman" w:hAnsi="Times New Roman" w:eastAsia="仿宋" w:cs="Times New Roman"/>
          <w:color w:val="auto"/>
          <w:sz w:val="32"/>
          <w:lang w:val="en-US" w:eastAsia="zh-CN"/>
        </w:rPr>
      </w:pPr>
      <w:bookmarkStart w:id="401" w:name="_Toc27566"/>
      <w:bookmarkStart w:id="402" w:name="_Toc14686"/>
      <w:bookmarkStart w:id="403" w:name="_Toc8775"/>
      <w:bookmarkStart w:id="404" w:name="_Toc15813"/>
      <w:bookmarkStart w:id="405" w:name="_Toc7621"/>
      <w:bookmarkStart w:id="406" w:name="_Toc533688420"/>
      <w:bookmarkStart w:id="407" w:name="_Toc9861"/>
      <w:bookmarkStart w:id="408" w:name="_Toc5734"/>
      <w:bookmarkStart w:id="409" w:name="_Toc30920"/>
      <w:bookmarkStart w:id="410" w:name="_Toc10074"/>
      <w:bookmarkStart w:id="411" w:name="_Toc514661302"/>
      <w:bookmarkStart w:id="412" w:name="_Toc9516140"/>
      <w:bookmarkStart w:id="413" w:name="_Toc35697803"/>
      <w:r>
        <w:rPr>
          <w:rFonts w:hint="eastAsia" w:ascii="Times New Roman" w:hAnsi="Times New Roman" w:eastAsia="仿宋" w:cs="Times New Roman"/>
          <w:color w:val="auto"/>
          <w:sz w:val="32"/>
          <w:lang w:val="en-US" w:eastAsia="zh-CN"/>
        </w:rPr>
        <w:t>6.4</w:t>
      </w:r>
      <w:r>
        <w:rPr>
          <w:rFonts w:hint="default" w:ascii="Times New Roman" w:hAnsi="Times New Roman" w:eastAsia="仿宋" w:cs="Times New Roman"/>
          <w:color w:val="auto"/>
          <w:sz w:val="32"/>
          <w:lang w:val="en-US" w:eastAsia="zh-CN"/>
        </w:rPr>
        <w:t>提高声环境质量</w:t>
      </w:r>
      <w:bookmarkEnd w:id="401"/>
      <w:bookmarkEnd w:id="402"/>
      <w:bookmarkEnd w:id="403"/>
      <w:bookmarkEnd w:id="404"/>
      <w:bookmarkEnd w:id="405"/>
      <w:bookmarkEnd w:id="406"/>
      <w:bookmarkEnd w:id="407"/>
      <w:bookmarkEnd w:id="408"/>
      <w:bookmarkEnd w:id="409"/>
      <w:bookmarkEnd w:id="410"/>
    </w:p>
    <w:p w14:paraId="2BB9C126">
      <w:pPr>
        <w:keepNext w:val="0"/>
        <w:keepLines w:val="0"/>
        <w:pageBreakBefore w:val="0"/>
        <w:numPr>
          <w:ilvl w:val="0"/>
          <w:numId w:val="0"/>
        </w:numPr>
        <w:kinsoku/>
        <w:wordWrap/>
        <w:overflowPunct/>
        <w:topLinePunct w:val="0"/>
        <w:autoSpaceDE/>
        <w:autoSpaceDN/>
        <w:bidi w:val="0"/>
        <w:snapToGrid w:val="0"/>
        <w:spacing w:before="157" w:beforeLines="50" w:after="157" w:afterLines="50" w:line="500" w:lineRule="exact"/>
        <w:textAlignment w:val="auto"/>
        <w:outlineLvl w:val="2"/>
        <w:rPr>
          <w:rFonts w:hint="default" w:ascii="Times New Roman" w:hAnsi="Times New Roman" w:eastAsia="宋体" w:cs="Times New Roman"/>
          <w:b/>
          <w:bCs/>
          <w:snapToGrid w:val="0"/>
          <w:color w:val="auto"/>
          <w:kern w:val="2"/>
          <w:sz w:val="28"/>
          <w:szCs w:val="28"/>
          <w:highlight w:val="none"/>
          <w:lang w:val="en-US" w:eastAsia="zh-CN" w:bidi="ar-SA"/>
        </w:rPr>
      </w:pPr>
      <w:bookmarkStart w:id="414" w:name="_Toc28088"/>
      <w:bookmarkStart w:id="415" w:name="_Toc26340"/>
      <w:bookmarkStart w:id="416" w:name="_Toc18092"/>
      <w:bookmarkStart w:id="417" w:name="_Toc21965"/>
      <w:bookmarkStart w:id="418" w:name="_Toc31450"/>
      <w:r>
        <w:rPr>
          <w:rFonts w:hint="eastAsia" w:ascii="Times New Roman" w:hAnsi="Times New Roman" w:eastAsia="宋体" w:cs="Times New Roman"/>
          <w:b/>
          <w:bCs/>
          <w:snapToGrid w:val="0"/>
          <w:color w:val="auto"/>
          <w:kern w:val="2"/>
          <w:sz w:val="28"/>
          <w:szCs w:val="28"/>
          <w:highlight w:val="none"/>
          <w:lang w:val="en-US" w:eastAsia="zh-CN" w:bidi="ar-SA"/>
        </w:rPr>
        <w:t>6.4</w:t>
      </w:r>
      <w:r>
        <w:rPr>
          <w:rFonts w:hint="default" w:ascii="Times New Roman" w:hAnsi="Times New Roman" w:eastAsia="宋体" w:cs="Times New Roman"/>
          <w:b/>
          <w:bCs/>
          <w:snapToGrid w:val="0"/>
          <w:color w:val="auto"/>
          <w:kern w:val="2"/>
          <w:sz w:val="28"/>
          <w:szCs w:val="28"/>
          <w:highlight w:val="none"/>
          <w:lang w:val="en-US" w:eastAsia="zh-CN" w:bidi="ar-SA"/>
        </w:rPr>
        <w:t>.1</w:t>
      </w:r>
      <w:bookmarkEnd w:id="414"/>
      <w:bookmarkEnd w:id="415"/>
      <w:r>
        <w:rPr>
          <w:rFonts w:hint="eastAsia" w:ascii="Times New Roman" w:hAnsi="Times New Roman" w:eastAsia="宋体" w:cs="Times New Roman"/>
          <w:b/>
          <w:bCs/>
          <w:snapToGrid w:val="0"/>
          <w:color w:val="auto"/>
          <w:kern w:val="2"/>
          <w:sz w:val="28"/>
          <w:szCs w:val="28"/>
          <w:highlight w:val="none"/>
          <w:lang w:val="en-US" w:eastAsia="zh-CN" w:bidi="ar-SA"/>
        </w:rPr>
        <w:t>加大</w:t>
      </w:r>
      <w:r>
        <w:rPr>
          <w:rFonts w:hint="default" w:ascii="Times New Roman" w:hAnsi="Times New Roman" w:eastAsia="宋体" w:cs="Times New Roman"/>
          <w:b/>
          <w:bCs/>
          <w:snapToGrid w:val="0"/>
          <w:color w:val="auto"/>
          <w:kern w:val="2"/>
          <w:sz w:val="28"/>
          <w:szCs w:val="28"/>
          <w:highlight w:val="none"/>
          <w:lang w:val="en-US" w:eastAsia="zh-CN" w:bidi="ar-SA"/>
        </w:rPr>
        <w:t>噪声污染监管力度</w:t>
      </w:r>
      <w:bookmarkEnd w:id="416"/>
      <w:bookmarkEnd w:id="417"/>
      <w:bookmarkEnd w:id="418"/>
    </w:p>
    <w:p w14:paraId="4E284411">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加强规划引导，严格声环境准入。县生态环境主管部门将声环境质量改善作为污染防治工作的重要任务之一，在业务办理、审核等各个环节中严格声环境准入，环境影响评价文件要设立噪声污染防治章节，建设项目环评要明确改善声污染防治的措施要求，严格项目环境噪声“三同时”验收管理，未通过验收的噪声排放项目，一律不得投入运行。</w:t>
      </w:r>
    </w:p>
    <w:p w14:paraId="5B5F13C3">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强化监管督促整改，建立联动机制。县级各有关部门要建立部门联动和信息互通机制，突出解决城乡环境噪声污染问题，对噪声排放超标的场地责令其限期整改并</w:t>
      </w:r>
      <w:r>
        <w:rPr>
          <w:rFonts w:hint="eastAsia" w:ascii="Times New Roman" w:hAnsi="Times New Roman" w:eastAsia="方正仿宋_GBK" w:cs="方正仿宋_GBK"/>
          <w:b w:val="0"/>
          <w:bCs w:val="0"/>
          <w:color w:val="auto"/>
          <w:kern w:val="2"/>
          <w:sz w:val="28"/>
          <w:szCs w:val="28"/>
          <w:lang w:val="en-US" w:eastAsia="zh-CN" w:bidi="ar-SA"/>
        </w:rPr>
        <w:t>予以</w:t>
      </w:r>
      <w:r>
        <w:rPr>
          <w:rFonts w:hint="default" w:ascii="Times New Roman" w:hAnsi="Times New Roman" w:eastAsia="方正仿宋_GBK" w:cs="方正仿宋_GBK"/>
          <w:b w:val="0"/>
          <w:bCs w:val="0"/>
          <w:color w:val="auto"/>
          <w:kern w:val="2"/>
          <w:sz w:val="28"/>
          <w:szCs w:val="28"/>
          <w:lang w:val="en-US" w:eastAsia="zh-CN" w:bidi="ar-SA"/>
        </w:rPr>
        <w:t>处罚。严格实行党政同责、一岗双责，落实“管发展、管生产、管行业必须管环保”的工作要求。按照各部门工作职责，密切配合，主动作为，形成齐抓共管监管格局，强化环境噪声污染防治，改善和提高城市声环境质量，为广大人民群众提供良好的声环境，助推美丽县城建设。</w:t>
      </w:r>
    </w:p>
    <w:p w14:paraId="5CDCAE13">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加强宣传教育，提高噪声污染防治认识。广泛开展噪声污染防治法律、法规和政策的宣传教育活动，进一步提高广大干部群众对噪声污染防治工作的认识，按照建设生态文明的要求，切实采取有效措施，突出解决城乡环境噪声污染问题，建立环境信息通报制度，加大噪声违法的舆论监督和曝光力度，多方面、多途径地加强噪声污染防治工作，努力建设安静舒适的城乡环境。</w:t>
      </w:r>
    </w:p>
    <w:p w14:paraId="72096246">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完善噪声投诉与处理工作机制。根据新平县环境噪声监督职责，在环境监察大队内部设立噪声投诉热线与监督处理机构，设专人专职，根据各相关部门权责，制定行之有效的处理办法，让</w:t>
      </w:r>
      <w:r>
        <w:rPr>
          <w:rFonts w:hint="eastAsia" w:ascii="Times New Roman" w:hAnsi="Times New Roman" w:eastAsia="方正仿宋_GBK" w:cs="方正仿宋_GBK"/>
          <w:b w:val="0"/>
          <w:bCs w:val="0"/>
          <w:color w:val="auto"/>
          <w:kern w:val="2"/>
          <w:sz w:val="28"/>
          <w:szCs w:val="28"/>
          <w:lang w:val="en-US" w:eastAsia="zh-CN" w:bidi="ar-SA"/>
        </w:rPr>
        <w:t>居民</w:t>
      </w:r>
      <w:r>
        <w:rPr>
          <w:rFonts w:hint="default" w:ascii="Times New Roman" w:hAnsi="Times New Roman" w:eastAsia="方正仿宋_GBK" w:cs="方正仿宋_GBK"/>
          <w:b w:val="0"/>
          <w:bCs w:val="0"/>
          <w:color w:val="auto"/>
          <w:kern w:val="2"/>
          <w:sz w:val="28"/>
          <w:szCs w:val="28"/>
          <w:lang w:val="en-US" w:eastAsia="zh-CN" w:bidi="ar-SA"/>
        </w:rPr>
        <w:t>不用区分噪声类别，即工业噪声、建筑施工噪声、交通运输噪声和社会生活噪声，直接与相应监管部门联系，就可以在最短的时间内使问题得到妥善解决。</w:t>
      </w:r>
    </w:p>
    <w:p w14:paraId="5834BFBA">
      <w:pPr>
        <w:keepNext w:val="0"/>
        <w:keepLines w:val="0"/>
        <w:pageBreakBefore w:val="0"/>
        <w:numPr>
          <w:ilvl w:val="0"/>
          <w:numId w:val="0"/>
        </w:numPr>
        <w:kinsoku/>
        <w:wordWrap/>
        <w:overflowPunct/>
        <w:topLinePunct w:val="0"/>
        <w:autoSpaceDE/>
        <w:autoSpaceDN/>
        <w:bidi w:val="0"/>
        <w:snapToGrid w:val="0"/>
        <w:spacing w:before="157" w:beforeLines="50" w:after="157" w:afterLines="50" w:line="500" w:lineRule="exact"/>
        <w:textAlignment w:val="auto"/>
        <w:outlineLvl w:val="2"/>
        <w:rPr>
          <w:rFonts w:hint="default" w:ascii="Times New Roman" w:hAnsi="Times New Roman" w:eastAsia="宋体" w:cs="Times New Roman"/>
          <w:b/>
          <w:bCs/>
          <w:snapToGrid w:val="0"/>
          <w:color w:val="auto"/>
          <w:kern w:val="2"/>
          <w:sz w:val="28"/>
          <w:szCs w:val="28"/>
          <w:highlight w:val="none"/>
          <w:lang w:val="en-US" w:eastAsia="zh-CN" w:bidi="ar-SA"/>
        </w:rPr>
      </w:pPr>
      <w:bookmarkStart w:id="419" w:name="_Toc31665"/>
      <w:bookmarkStart w:id="420" w:name="_Toc9554"/>
      <w:bookmarkStart w:id="421" w:name="_Toc27202"/>
      <w:bookmarkStart w:id="422" w:name="_Toc27013"/>
      <w:bookmarkStart w:id="423" w:name="_Toc29836"/>
      <w:r>
        <w:rPr>
          <w:rFonts w:hint="eastAsia" w:ascii="Times New Roman" w:hAnsi="Times New Roman" w:eastAsia="宋体" w:cs="Times New Roman"/>
          <w:b/>
          <w:bCs/>
          <w:snapToGrid w:val="0"/>
          <w:color w:val="auto"/>
          <w:kern w:val="2"/>
          <w:sz w:val="28"/>
          <w:szCs w:val="28"/>
          <w:highlight w:val="none"/>
          <w:lang w:val="en-US" w:eastAsia="zh-CN" w:bidi="ar-SA"/>
        </w:rPr>
        <w:t>6.4</w:t>
      </w:r>
      <w:r>
        <w:rPr>
          <w:rFonts w:hint="default" w:ascii="Times New Roman" w:hAnsi="Times New Roman" w:eastAsia="宋体" w:cs="Times New Roman"/>
          <w:b/>
          <w:bCs/>
          <w:snapToGrid w:val="0"/>
          <w:color w:val="auto"/>
          <w:kern w:val="2"/>
          <w:sz w:val="28"/>
          <w:szCs w:val="28"/>
          <w:highlight w:val="none"/>
          <w:lang w:val="en-US" w:eastAsia="zh-CN" w:bidi="ar-SA"/>
        </w:rPr>
        <w:t>.2严控各类噪声源</w:t>
      </w:r>
      <w:bookmarkEnd w:id="419"/>
      <w:bookmarkEnd w:id="420"/>
      <w:bookmarkEnd w:id="421"/>
      <w:bookmarkEnd w:id="422"/>
      <w:bookmarkEnd w:id="423"/>
    </w:p>
    <w:p w14:paraId="7ADEF20E">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交通噪声污染防治。合理规划不同等级的城市道路系统密度，以保证声环境敏感区与道路间有足够的降噪距离。改善路况，加大对道路的修护，降低轮胎与道路摩擦产生的噪声。加强公路交通干线两侧绿化带建设；在城市噪声敏感区域增加限速、禁鸣标牌。加强对敏感区域交通噪声的监测和管理；采取分流措施，控制城市主干道的交通流量，减少交通噪声污染。对噪声超标的车辆，要求其安装降噪装置，并加强维护、定期淘汰、更新降噪装置。</w:t>
      </w:r>
    </w:p>
    <w:p w14:paraId="45BCB2A9">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社会生活噪声污染防治。加强对营业性文化娱乐场所噪声污染防治。禁止在图书馆、文物保护单位等建筑物内和居民住宅及学校、医院、机关周围开办KTV厅等产生噪声和振动污染的娱乐场所。新建的经营性文化娱乐场所必须严格执行环境影响评价和“三同时”制度。对现有营业性文化娱乐场所实施综合整治，重点整治扰民投诉突出的KTV厅、迪吧等娱乐场所。</w:t>
      </w:r>
    </w:p>
    <w:p w14:paraId="65C466CB">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建筑施工噪声污染防治。严格建设执行建筑噪声</w:t>
      </w:r>
      <w:r>
        <w:rPr>
          <w:rFonts w:hint="eastAsia" w:ascii="Times New Roman" w:hAnsi="Times New Roman" w:eastAsia="方正仿宋_GBK" w:cs="方正仿宋_GBK"/>
          <w:b w:val="0"/>
          <w:bCs w:val="0"/>
          <w:color w:val="auto"/>
          <w:kern w:val="2"/>
          <w:sz w:val="28"/>
          <w:szCs w:val="28"/>
          <w:lang w:val="en-US" w:eastAsia="zh-CN" w:bidi="ar-SA"/>
        </w:rPr>
        <w:t>施工</w:t>
      </w:r>
      <w:r>
        <w:rPr>
          <w:rFonts w:hint="default" w:ascii="Times New Roman" w:hAnsi="Times New Roman" w:eastAsia="方正仿宋_GBK" w:cs="方正仿宋_GBK"/>
          <w:b w:val="0"/>
          <w:bCs w:val="0"/>
          <w:color w:val="auto"/>
          <w:kern w:val="2"/>
          <w:sz w:val="28"/>
          <w:szCs w:val="28"/>
          <w:lang w:val="en-US" w:eastAsia="zh-CN" w:bidi="ar-SA"/>
        </w:rPr>
        <w:t>审批制度。将建筑噪声控制纳入环评，建筑工程项目必须按照环境影响评价意见采取措施控制噪声污染。建筑工程必须在工程开工前15天向生态环境保护主管部门进行排污申报、登记，报送噪声污染防治方案。</w:t>
      </w:r>
    </w:p>
    <w:p w14:paraId="348856D2">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工业噪声污染防治。禁止在医疗区、文教科研区、机关办公区、居民住宅区等声环境敏感区域内新建、扩建产生噪声的工业企业，从事机械加工、汽车维修等产生噪声污染的经营活动。严格控制工业噪声源，选用低噪声设备，对各种工业噪声源分别采用隔音、吸声、消声的措施进行治理，降低噪声源强，减少对周围的影响。同时加强企业绿水泥作，达到规定绿化率的要求，降低噪声影响。对现有企业中噪声超标的，限期进行整顿，噪声影响严重又不能整顿达标的限期关停或搬迁。</w:t>
      </w:r>
    </w:p>
    <w:p w14:paraId="3673ABEA">
      <w:pPr>
        <w:pStyle w:val="4"/>
        <w:pageBreakBefore w:val="0"/>
        <w:kinsoku/>
        <w:wordWrap/>
        <w:overflowPunct/>
        <w:topLinePunct w:val="0"/>
        <w:autoSpaceDE/>
        <w:autoSpaceDN/>
        <w:bidi w:val="0"/>
        <w:spacing w:before="260" w:after="260" w:line="500" w:lineRule="exact"/>
        <w:ind w:firstLine="0"/>
        <w:textAlignment w:val="auto"/>
        <w:rPr>
          <w:rFonts w:hint="default" w:ascii="Times New Roman" w:hAnsi="Times New Roman" w:eastAsia="仿宋" w:cs="Times New Roman"/>
          <w:color w:val="auto"/>
          <w:sz w:val="32"/>
          <w:lang w:val="en-US" w:eastAsia="zh-CN"/>
        </w:rPr>
      </w:pPr>
      <w:bookmarkStart w:id="424" w:name="_Toc11801"/>
      <w:bookmarkStart w:id="425" w:name="_Toc16499"/>
      <w:bookmarkStart w:id="426" w:name="_Toc27733"/>
      <w:bookmarkStart w:id="427" w:name="_Toc6499"/>
      <w:bookmarkStart w:id="428" w:name="_Toc32247"/>
      <w:bookmarkStart w:id="429" w:name="_Toc16777"/>
      <w:bookmarkStart w:id="430" w:name="_Toc25693"/>
      <w:bookmarkStart w:id="431" w:name="_Toc27610"/>
      <w:bookmarkStart w:id="432" w:name="_Toc15224"/>
      <w:bookmarkStart w:id="433" w:name="_Toc8261"/>
      <w:r>
        <w:rPr>
          <w:rFonts w:hint="eastAsia" w:ascii="Times New Roman" w:hAnsi="Times New Roman" w:eastAsia="仿宋" w:cs="Times New Roman"/>
          <w:color w:val="auto"/>
          <w:sz w:val="32"/>
          <w:lang w:val="en-US" w:eastAsia="zh-CN"/>
        </w:rPr>
        <w:t>6.5</w:t>
      </w:r>
      <w:r>
        <w:rPr>
          <w:rFonts w:hint="default" w:ascii="Times New Roman" w:hAnsi="Times New Roman" w:eastAsia="仿宋" w:cs="Times New Roman"/>
          <w:color w:val="auto"/>
          <w:sz w:val="32"/>
          <w:lang w:val="en-US" w:eastAsia="zh-CN"/>
        </w:rPr>
        <w:t>强化生态系统保护与</w:t>
      </w:r>
      <w:bookmarkEnd w:id="424"/>
      <w:bookmarkEnd w:id="425"/>
      <w:bookmarkEnd w:id="426"/>
      <w:bookmarkEnd w:id="427"/>
      <w:bookmarkEnd w:id="428"/>
      <w:bookmarkEnd w:id="429"/>
      <w:bookmarkEnd w:id="430"/>
      <w:bookmarkEnd w:id="431"/>
      <w:bookmarkEnd w:id="432"/>
      <w:r>
        <w:rPr>
          <w:rFonts w:hint="default" w:ascii="Times New Roman" w:hAnsi="Times New Roman" w:eastAsia="仿宋" w:cs="Times New Roman"/>
          <w:color w:val="auto"/>
          <w:sz w:val="32"/>
          <w:lang w:val="en-US" w:eastAsia="zh-CN"/>
        </w:rPr>
        <w:t>修复</w:t>
      </w:r>
      <w:bookmarkEnd w:id="433"/>
    </w:p>
    <w:p w14:paraId="00583F8A">
      <w:pPr>
        <w:keepNext w:val="0"/>
        <w:keepLines w:val="0"/>
        <w:pageBreakBefore w:val="0"/>
        <w:numPr>
          <w:ilvl w:val="0"/>
          <w:numId w:val="0"/>
        </w:numPr>
        <w:kinsoku/>
        <w:wordWrap/>
        <w:overflowPunct/>
        <w:topLinePunct w:val="0"/>
        <w:autoSpaceDE/>
        <w:autoSpaceDN/>
        <w:bidi w:val="0"/>
        <w:snapToGrid w:val="0"/>
        <w:spacing w:before="157" w:beforeLines="50" w:after="157" w:afterLines="50" w:line="500" w:lineRule="exact"/>
        <w:textAlignment w:val="auto"/>
        <w:outlineLvl w:val="2"/>
        <w:rPr>
          <w:rFonts w:hint="default" w:ascii="Times New Roman" w:hAnsi="Times New Roman" w:eastAsia="宋体" w:cs="Times New Roman"/>
          <w:b/>
          <w:bCs/>
          <w:snapToGrid w:val="0"/>
          <w:color w:val="auto"/>
          <w:kern w:val="2"/>
          <w:sz w:val="28"/>
          <w:szCs w:val="28"/>
          <w:highlight w:val="none"/>
          <w:lang w:val="en-US" w:eastAsia="zh-CN" w:bidi="ar-SA"/>
        </w:rPr>
      </w:pPr>
      <w:bookmarkStart w:id="434" w:name="_Toc19860"/>
      <w:bookmarkStart w:id="435" w:name="_Toc10825"/>
      <w:bookmarkStart w:id="436" w:name="_Toc19531"/>
      <w:bookmarkStart w:id="437" w:name="_Toc20298"/>
      <w:bookmarkStart w:id="438" w:name="_Toc583"/>
      <w:bookmarkStart w:id="439" w:name="_Toc9516145"/>
      <w:bookmarkStart w:id="440" w:name="_Toc35697810"/>
      <w:r>
        <w:rPr>
          <w:rFonts w:hint="eastAsia" w:ascii="Times New Roman" w:hAnsi="Times New Roman" w:eastAsia="宋体" w:cs="Times New Roman"/>
          <w:b/>
          <w:bCs/>
          <w:snapToGrid w:val="0"/>
          <w:color w:val="auto"/>
          <w:kern w:val="2"/>
          <w:sz w:val="28"/>
          <w:szCs w:val="28"/>
          <w:highlight w:val="none"/>
          <w:lang w:val="en-US" w:eastAsia="zh-CN" w:bidi="ar-SA"/>
        </w:rPr>
        <w:t>6.5</w:t>
      </w:r>
      <w:r>
        <w:rPr>
          <w:rFonts w:hint="default" w:ascii="Times New Roman" w:hAnsi="Times New Roman" w:eastAsia="宋体" w:cs="Times New Roman"/>
          <w:b/>
          <w:bCs/>
          <w:snapToGrid w:val="0"/>
          <w:color w:val="auto"/>
          <w:kern w:val="2"/>
          <w:sz w:val="28"/>
          <w:szCs w:val="28"/>
          <w:highlight w:val="none"/>
          <w:lang w:val="en-US" w:eastAsia="zh-CN" w:bidi="ar-SA"/>
        </w:rPr>
        <w:t>.1提升生态系统质量和稳定性</w:t>
      </w:r>
      <w:bookmarkEnd w:id="434"/>
      <w:bookmarkEnd w:id="435"/>
      <w:bookmarkEnd w:id="436"/>
      <w:bookmarkEnd w:id="437"/>
      <w:bookmarkEnd w:id="438"/>
    </w:p>
    <w:p w14:paraId="3A60A992">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统筹林草湿地保护，筑牢生态基底。加强公益林管理，保护原始森林及生物多样性；加强天然林保护，加大封山育林和防护林建设力度；巩固和扩大退耕还林、还草成果，提高区域的水源涵养能力，防止生境恶化和水土流失。大力推进天然林修复、低效林改造工作，提升森林资源质量。实施国家储备林建设、防护林建设等工程。加强湿地保护恢复。在可持续利用原则的基础上，充分挖掘湿地的土地生产功能，建立适应湿地生态环境的湿地产业群，实施以生态湿地为主的生境修复工程建设，维护红河流域湿地生态平衡。实施河道疏浚、生态驳岸营造、滨岸湿地植被（带）恢复、河流漫滩恢复、面源污染防控等综合措施，恢复河流湿地自然属性。</w:t>
      </w:r>
    </w:p>
    <w:p w14:paraId="2760D7DD">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落实自然保护地管控要求。根据《关于建立以国家公园为主体的自然保护地体系的指导意见》，以自然保护区等为重点，充分发挥自然保护地生态作用和服务功能。制定自然保护地分类划定标准，对现有的自然保护区、森林公园等各类自然保护地开展综合评价，按照保护区域的自然属性、生态价值和管理目标进行梳理调整和归类。</w:t>
      </w:r>
    </w:p>
    <w:p w14:paraId="04D2D426">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加强森林生态保护与建设。加强城市绿化，提高城镇面山林木覆盖，城市腾退空间优先留白增绿。保留乡村风貌留住田园乡愁，全面开展乡村绿化美化工程，加强原生植被、自然景观、古树名木、小微湿地保护，坚决制止开山毁林、填塘造地等行为，积极推进荒山荒坡造林和露天矿山综合整治。持续推进退耕还林、天然林保护等工程，优化林分结构，适地适树实施森林抚育、低效林改造、国家储备林、珍贵用材林基地建设等项目，提高森林质量，展现植被立体分布特征和多样性特点，科学论证，优先选用本土树种，淘汰速生桉树林。坚持人工造林与封育自然修复相结合，着力推进退耕还林还草、防护林建设、石漠化治理等工程，带动扩大营造林规模。广泛开展沿路、沿河（湖）、沿集镇“三沿”造林绿化活动，结合全域旅游，在重点交通干线打造一批有影响的林荫大道、鲜花大道和生态景观大道，在综合交通枢纽，旅游景区、特色小镇等重点区域打造一批绿色精品工程。到2025年，全县森林覆盖率≥74%，建成国家森林城市；到2030年，全县森林覆盖率≥75%。</w:t>
      </w:r>
    </w:p>
    <w:p w14:paraId="52FE47C9">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宋体" w:cs="Times New Roman"/>
          <w:color w:val="auto"/>
          <w:sz w:val="28"/>
          <w:szCs w:val="28"/>
          <w:highlight w:val="none"/>
        </w:rPr>
      </w:pPr>
      <w:r>
        <w:rPr>
          <w:rFonts w:hint="default" w:ascii="Times New Roman" w:hAnsi="Times New Roman" w:eastAsia="方正仿宋_GBK" w:cs="方正仿宋_GBK"/>
          <w:b w:val="0"/>
          <w:bCs w:val="0"/>
          <w:color w:val="auto"/>
          <w:kern w:val="2"/>
          <w:sz w:val="28"/>
          <w:szCs w:val="28"/>
          <w:lang w:val="en-US" w:eastAsia="zh-CN" w:bidi="ar-SA"/>
        </w:rPr>
        <w:t>加强湿地保护恢复。推进湿地公园建设，加快重要湿地、一般湿地认定进度，完善湿地分类保护与管理，扩大湿地保护范围。开展小微湿地生境恢复和生态景观功能提质工程，加大戛洒江湿地公园、黄草坝湿地公园、纳溪湿地公园保护修复力度，提高流域森林覆盖率，恢复湿地生态系统结构和功能，稳步提高湿地保护率。到2025年，湿地保有量7万亩。</w:t>
      </w:r>
    </w:p>
    <w:bookmarkEnd w:id="439"/>
    <w:bookmarkEnd w:id="440"/>
    <w:p w14:paraId="3558D908">
      <w:pPr>
        <w:keepNext w:val="0"/>
        <w:keepLines w:val="0"/>
        <w:pageBreakBefore w:val="0"/>
        <w:numPr>
          <w:ilvl w:val="0"/>
          <w:numId w:val="0"/>
        </w:numPr>
        <w:kinsoku/>
        <w:wordWrap/>
        <w:overflowPunct/>
        <w:topLinePunct w:val="0"/>
        <w:autoSpaceDE/>
        <w:autoSpaceDN/>
        <w:bidi w:val="0"/>
        <w:snapToGrid w:val="0"/>
        <w:spacing w:before="157" w:beforeLines="50" w:after="157" w:afterLines="50" w:line="500" w:lineRule="exact"/>
        <w:textAlignment w:val="auto"/>
        <w:outlineLvl w:val="2"/>
        <w:rPr>
          <w:rFonts w:hint="default" w:ascii="Times New Roman" w:hAnsi="Times New Roman" w:eastAsia="宋体" w:cs="Times New Roman"/>
          <w:b/>
          <w:bCs/>
          <w:snapToGrid w:val="0"/>
          <w:color w:val="auto"/>
          <w:kern w:val="2"/>
          <w:sz w:val="28"/>
          <w:szCs w:val="28"/>
          <w:highlight w:val="none"/>
          <w:lang w:val="en-US" w:eastAsia="zh-CN" w:bidi="ar-SA"/>
        </w:rPr>
      </w:pPr>
      <w:bookmarkStart w:id="441" w:name="_Toc514661306"/>
      <w:bookmarkStart w:id="442" w:name="_Toc9516144"/>
      <w:bookmarkStart w:id="443" w:name="_Toc35697809"/>
      <w:bookmarkStart w:id="444" w:name="_Toc30097"/>
      <w:bookmarkStart w:id="445" w:name="_Toc24068"/>
      <w:bookmarkStart w:id="446" w:name="_Toc12113"/>
      <w:bookmarkStart w:id="447" w:name="_Toc32401"/>
      <w:bookmarkStart w:id="448" w:name="_Toc16316"/>
      <w:r>
        <w:rPr>
          <w:rFonts w:hint="eastAsia" w:ascii="Times New Roman" w:hAnsi="Times New Roman" w:eastAsia="宋体" w:cs="Times New Roman"/>
          <w:b/>
          <w:bCs/>
          <w:snapToGrid w:val="0"/>
          <w:color w:val="auto"/>
          <w:kern w:val="2"/>
          <w:sz w:val="28"/>
          <w:szCs w:val="28"/>
          <w:highlight w:val="none"/>
          <w:lang w:val="en-US" w:eastAsia="zh-CN" w:bidi="ar-SA"/>
        </w:rPr>
        <w:t>6.5</w:t>
      </w:r>
      <w:r>
        <w:rPr>
          <w:rFonts w:hint="default" w:ascii="Times New Roman" w:hAnsi="Times New Roman" w:eastAsia="宋体" w:cs="Times New Roman"/>
          <w:b/>
          <w:bCs/>
          <w:snapToGrid w:val="0"/>
          <w:color w:val="auto"/>
          <w:kern w:val="2"/>
          <w:sz w:val="28"/>
          <w:szCs w:val="28"/>
          <w:highlight w:val="none"/>
          <w:lang w:val="en-US" w:eastAsia="zh-CN" w:bidi="ar-SA"/>
        </w:rPr>
        <w:t>.2加强生物多样性保护</w:t>
      </w:r>
      <w:bookmarkEnd w:id="441"/>
      <w:bookmarkEnd w:id="442"/>
      <w:bookmarkEnd w:id="443"/>
      <w:bookmarkEnd w:id="444"/>
      <w:bookmarkEnd w:id="445"/>
      <w:bookmarkEnd w:id="446"/>
      <w:bookmarkEnd w:id="447"/>
      <w:bookmarkEnd w:id="448"/>
    </w:p>
    <w:p w14:paraId="68E51B6B">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全面推行林长制，大力提高哀牢山、磨盘山等自然保护区管护水平，构建以国家公园为主体的自然保护地体系，推动哀牢山国家级自然保护区（新平段）、磨盘山国家级森林自然公园等总体规划编制工作，加强以哀牢山—红河谷为代表的鸟类迁徙通道保护。开展珍稀濒危野生动植物及极小种群物种抢救保护工作，实施疣粒野生稻原生境保护小区建设，戛洒江巨魾种群恢复重建，绿孔雀、西黑冠长臂猿、红豆杉等珍稀物种保护工程。开展物种引进风险评估，加强外来入侵物种入侵机理、扩散途径和防范措施研究。</w:t>
      </w:r>
    </w:p>
    <w:p w14:paraId="4DA5208F">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实施疣粒野生稻原生境保护小区建设、戛洒江巨魾（面瓜鱼）种群恢复重建及栖息地保护、哀牢山国家级自然保护区生物资源管护站及野生动物救助站建设等工程。到2025年，以哀牢山自然保护区为主体的保护地体系基本建立，自然保护地面积占国土面积15%以上，重要生态系统和重点保护野生动植物得到有效保护。</w:t>
      </w:r>
    </w:p>
    <w:p w14:paraId="21B95933">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维护生态系统所处空间的完整性和联通性，严格控制侵占、割裂、污染等人为破坏活动，保障生态系统功能和结构的完整性，通过重要生态空间整体保护修复，形成森林、草地、湿地与水体等生态系统共荣共生的生物多样性保护区，促进生态系统功能提升。</w:t>
      </w:r>
    </w:p>
    <w:p w14:paraId="1C5AF455">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加强以哀牢山—红河谷为代表的鸟类迁徙通道的生态环境保护和不同规模鸟类监测站和保护站的网络建设，使鸟类迁徙过境地和停歇地成为候鸟迁徙路线上绿色、安全的生态通道。加强极小种群物种和保护地外重要物种及其生境保护和研究，维持种群稳定，扩大种群数量。建设疣粒野生稻原生境保护小区。恢复重建戛洒江巨魾（面瓜鱼）种群，保护其栖息地环境。</w:t>
      </w:r>
    </w:p>
    <w:p w14:paraId="570AD124">
      <w:pPr>
        <w:keepNext w:val="0"/>
        <w:keepLines w:val="0"/>
        <w:pageBreakBefore w:val="0"/>
        <w:widowControl w:val="0"/>
        <w:kinsoku/>
        <w:wordWrap/>
        <w:overflowPunct/>
        <w:topLinePunct w:val="0"/>
        <w:autoSpaceDE/>
        <w:autoSpaceDN/>
        <w:bidi w:val="0"/>
        <w:spacing w:line="500" w:lineRule="exact"/>
        <w:textAlignment w:val="auto"/>
        <w:outlineLvl w:val="2"/>
        <w:rPr>
          <w:rFonts w:hint="eastAsia" w:ascii="Times New Roman" w:hAnsi="Times New Roman" w:eastAsia="宋体" w:cs="Times New Roman"/>
          <w:b/>
          <w:bCs/>
          <w:snapToGrid w:val="0"/>
          <w:color w:val="auto"/>
          <w:kern w:val="2"/>
          <w:sz w:val="28"/>
          <w:szCs w:val="28"/>
          <w:highlight w:val="none"/>
          <w:lang w:val="en-US" w:eastAsia="zh-CN" w:bidi="ar-SA"/>
        </w:rPr>
      </w:pPr>
      <w:bookmarkStart w:id="449" w:name="_Toc8049"/>
      <w:bookmarkStart w:id="450" w:name="_Toc32071"/>
      <w:bookmarkStart w:id="451" w:name="_Toc6437"/>
      <w:bookmarkStart w:id="452" w:name="_Toc12341"/>
      <w:bookmarkStart w:id="453" w:name="_Toc23427"/>
      <w:r>
        <w:rPr>
          <w:rFonts w:hint="eastAsia" w:ascii="Times New Roman" w:hAnsi="Times New Roman" w:eastAsia="宋体" w:cs="Times New Roman"/>
          <w:b/>
          <w:bCs/>
          <w:snapToGrid w:val="0"/>
          <w:color w:val="auto"/>
          <w:kern w:val="2"/>
          <w:sz w:val="28"/>
          <w:szCs w:val="28"/>
          <w:highlight w:val="none"/>
          <w:lang w:val="en-US" w:eastAsia="zh-CN" w:bidi="ar-SA"/>
        </w:rPr>
        <w:t>6.5</w:t>
      </w:r>
      <w:r>
        <w:rPr>
          <w:rFonts w:hint="default" w:ascii="Times New Roman" w:hAnsi="Times New Roman" w:eastAsia="宋体" w:cs="Times New Roman"/>
          <w:b/>
          <w:bCs/>
          <w:snapToGrid w:val="0"/>
          <w:color w:val="auto"/>
          <w:kern w:val="2"/>
          <w:sz w:val="28"/>
          <w:szCs w:val="28"/>
          <w:highlight w:val="none"/>
          <w:lang w:val="en-US" w:eastAsia="zh-CN" w:bidi="ar-SA"/>
        </w:rPr>
        <w:t>.</w:t>
      </w:r>
      <w:r>
        <w:rPr>
          <w:rFonts w:hint="eastAsia" w:ascii="Times New Roman" w:hAnsi="Times New Roman" w:eastAsia="宋体" w:cs="Times New Roman"/>
          <w:b/>
          <w:bCs/>
          <w:snapToGrid w:val="0"/>
          <w:color w:val="auto"/>
          <w:kern w:val="2"/>
          <w:sz w:val="28"/>
          <w:szCs w:val="28"/>
          <w:highlight w:val="none"/>
          <w:lang w:val="en-US" w:eastAsia="zh-CN" w:bidi="ar-SA"/>
        </w:rPr>
        <w:t>3全面实施生态修复</w:t>
      </w:r>
      <w:bookmarkEnd w:id="449"/>
    </w:p>
    <w:p w14:paraId="7F3B5998">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1、</w:t>
      </w:r>
      <w:r>
        <w:rPr>
          <w:rFonts w:hint="default" w:ascii="Times New Roman" w:hAnsi="Times New Roman" w:eastAsia="方正仿宋_GBK" w:cs="方正仿宋_GBK"/>
          <w:b w:val="0"/>
          <w:bCs w:val="0"/>
          <w:color w:val="auto"/>
          <w:kern w:val="2"/>
          <w:sz w:val="28"/>
          <w:szCs w:val="28"/>
          <w:lang w:val="en-US" w:eastAsia="zh-CN" w:bidi="ar-SA"/>
        </w:rPr>
        <w:t>林草资源保护与利用</w:t>
      </w:r>
    </w:p>
    <w:p w14:paraId="52EFD713">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开展国土绿化行动。持续推行林长制，大力推进天然林修复、低效林改造、退耕还林还草等工作，精准提升森林资源质量。加快实施国家储备林建设、防护林建设等工程，带动扩大营造林规模。持续开展荒漠化监测预防工作，加大戛洒江干热河谷等生态退化、生态脆弱重点区域绿化力度。坚持全民动员植树造林，广泛开展沿路、沿河（湖）、沿集镇“三沿”造林绿化活动，提高城镇面山森林覆盖率。加强森林防火体系和森林病虫防治体系建设，不断提高林草灾害防控能力。</w:t>
      </w:r>
    </w:p>
    <w:p w14:paraId="102393E2">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加强湿地保护与修复。推进湿地公园建设，加快重要湿地、一般湿地认定进度，完善湿地分类保护与管理，扩大湿地保护范围。开展小微湿地生境恢复和生态景观功能提质工程，加大戛洒江湿地公园、黄草坝湿地公园、纳溪湿地公园保护修复力度，提高流域森林覆盖率，恢复湿地生态系统结构和功能，稳步提高湿地保护率。</w:t>
      </w:r>
    </w:p>
    <w:p w14:paraId="25D09093">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积极发展生态经济。坚持生态产业化、产业生态化发展理念，积极发展林下经济，充分发挥林地资源和林荫空间优势，整合资源，突出特色，强化科技支撑，促进林下经济向集约化、规模化、标准化和产业化发展。建设高标准竹林基地，开展低效竹林改造，并积极开发与竹笋有关的食品、竹手工艺品以及竹原材料产品。建设优质高效核桃综合示范基地，积极融入“云南古树核桃”高端坚果品牌创建，促进核桃产业由数量增长向质量效益增长转型，积极开发高品质核桃油、核桃粉、核桃露和核桃仁等产品。推进运动、健康、养生、旅游相互融合的养生旅游资源开发，建设一批养生康复示范项目，打造一批特色鲜明、配套完善的健康养生基地，加快建成磨盘山、古州野林、戛洒、哀牢山4个健康医养旅游区。</w:t>
      </w:r>
    </w:p>
    <w:p w14:paraId="4CDFCE41">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2、</w:t>
      </w:r>
      <w:r>
        <w:rPr>
          <w:rFonts w:hint="default" w:ascii="Times New Roman" w:hAnsi="Times New Roman" w:eastAsia="方正仿宋_GBK" w:cs="方正仿宋_GBK"/>
          <w:b w:val="0"/>
          <w:bCs w:val="0"/>
          <w:color w:val="auto"/>
          <w:kern w:val="2"/>
          <w:sz w:val="28"/>
          <w:szCs w:val="28"/>
          <w:lang w:val="en-US" w:eastAsia="zh-CN" w:bidi="ar-SA"/>
        </w:rPr>
        <w:t>矿产资源保护与利用</w:t>
      </w:r>
    </w:p>
    <w:p w14:paraId="361B54D4">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加强矿山地质环境保护与治理。实施尾矿、煤矸石等矿业固体废物产生、贮存减量化工程，加大工业固体废物堆存场所排查整治力度。推动矿山地质环境恢复治理，探索矿区污染治理和修复模式，开展矿山地质环境分区治理，以鲁奎山铁矿和大红山铁铜矿为示范，实施采空区回填、尾矿库与废石场加固、土地复垦与植被恢复等治理修复工程，开展重金属污染土壤的污染治理和修复试点建设，加强重点范围内的露天采场和破坏山体的绿化造林及景观修复治理，逐步修复矿区生态环境。</w:t>
      </w:r>
    </w:p>
    <w:p w14:paraId="5D2451A8">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合理开发利用矿产资源。做好矿产资源勘探管理工作，严控矿产资源开发，开展矿业权联勘联审、矿山生态环境综合评估工作，做好矿山安全生产，严禁超层、越界等违法行为发生，对矿业活动可能产生的地质灾害进行积极防范，尽量减少矿山开采对地质环境的破坏。以矿产资源绿色开发为抓手，积极整合大红山片区和鲁奎山片区的低品位、难采选零星矿点，加快矿产采选技术尤其是低品位矿石选矿技术的研发和运用，推动先进采矿选矿设施设备更新，切实提高矿产资源利用率，助力新平打造云南绿色矿冶集聚区。</w:t>
      </w:r>
    </w:p>
    <w:p w14:paraId="74790E1E">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加强矿山修复治理</w:t>
      </w:r>
      <w:r>
        <w:rPr>
          <w:rFonts w:hint="eastAsia" w:ascii="Times New Roman" w:hAnsi="Times New Roman" w:eastAsia="方正仿宋_GBK" w:cs="方正仿宋_GBK"/>
          <w:b w:val="0"/>
          <w:bCs w:val="0"/>
          <w:color w:val="auto"/>
          <w:kern w:val="2"/>
          <w:sz w:val="28"/>
          <w:szCs w:val="28"/>
          <w:lang w:val="en-US" w:eastAsia="zh-CN" w:bidi="ar-SA"/>
        </w:rPr>
        <w:t>。</w:t>
      </w:r>
      <w:r>
        <w:rPr>
          <w:rFonts w:hint="default" w:ascii="Times New Roman" w:hAnsi="Times New Roman" w:eastAsia="方正仿宋_GBK" w:cs="方正仿宋_GBK"/>
          <w:b w:val="0"/>
          <w:bCs w:val="0"/>
          <w:color w:val="auto"/>
          <w:kern w:val="2"/>
          <w:sz w:val="28"/>
          <w:szCs w:val="28"/>
          <w:lang w:val="en-US" w:eastAsia="zh-CN" w:bidi="ar-SA"/>
        </w:rPr>
        <w:t>探索矿区污染治理和修复模式，开展矿山地质环境分区治理，以鲁奎山铁矿和大红山铁铜矿为示范，实施采空区回填、尾矿库与废石场加固、土地复垦与植被恢复等治理修复工程，开展重金属污染土壤的污染治理和修复试点建设，加强重点范围内的露天采场和破坏山体的绿化造林及景观修复治理，逐步修复矿区生态环境。</w:t>
      </w:r>
    </w:p>
    <w:p w14:paraId="7477A913">
      <w:pPr>
        <w:keepNext w:val="0"/>
        <w:keepLines w:val="0"/>
        <w:pageBreakBefore w:val="0"/>
        <w:numPr>
          <w:ilvl w:val="0"/>
          <w:numId w:val="0"/>
        </w:numPr>
        <w:kinsoku/>
        <w:wordWrap/>
        <w:overflowPunct/>
        <w:topLinePunct w:val="0"/>
        <w:autoSpaceDE/>
        <w:autoSpaceDN/>
        <w:bidi w:val="0"/>
        <w:snapToGrid w:val="0"/>
        <w:spacing w:before="157" w:beforeLines="50" w:after="157" w:afterLines="50" w:line="500" w:lineRule="exact"/>
        <w:textAlignment w:val="auto"/>
        <w:outlineLvl w:val="2"/>
        <w:rPr>
          <w:rFonts w:hint="default" w:ascii="Times New Roman" w:hAnsi="Times New Roman" w:eastAsia="宋体" w:cs="Times New Roman"/>
          <w:b/>
          <w:bCs/>
          <w:snapToGrid w:val="0"/>
          <w:color w:val="auto"/>
          <w:kern w:val="2"/>
          <w:sz w:val="28"/>
          <w:szCs w:val="28"/>
          <w:highlight w:val="none"/>
          <w:lang w:val="en-US" w:eastAsia="zh-CN" w:bidi="ar-SA"/>
        </w:rPr>
      </w:pPr>
      <w:bookmarkStart w:id="454" w:name="_Toc26499"/>
      <w:r>
        <w:rPr>
          <w:rFonts w:hint="eastAsia" w:ascii="Times New Roman" w:hAnsi="Times New Roman" w:eastAsia="宋体" w:cs="Times New Roman"/>
          <w:b/>
          <w:bCs/>
          <w:snapToGrid w:val="0"/>
          <w:color w:val="auto"/>
          <w:kern w:val="2"/>
          <w:sz w:val="28"/>
          <w:szCs w:val="28"/>
          <w:highlight w:val="none"/>
          <w:lang w:val="en-US" w:eastAsia="zh-CN" w:bidi="ar-SA"/>
        </w:rPr>
        <w:t>6.5</w:t>
      </w:r>
      <w:r>
        <w:rPr>
          <w:rFonts w:hint="default" w:ascii="Times New Roman" w:hAnsi="Times New Roman" w:eastAsia="宋体" w:cs="Times New Roman"/>
          <w:b/>
          <w:bCs/>
          <w:snapToGrid w:val="0"/>
          <w:color w:val="auto"/>
          <w:kern w:val="2"/>
          <w:sz w:val="28"/>
          <w:szCs w:val="28"/>
          <w:highlight w:val="none"/>
          <w:lang w:val="en-US" w:eastAsia="zh-CN" w:bidi="ar-SA"/>
        </w:rPr>
        <w:t>.</w:t>
      </w:r>
      <w:r>
        <w:rPr>
          <w:rFonts w:hint="eastAsia" w:ascii="Times New Roman" w:hAnsi="Times New Roman" w:eastAsia="宋体" w:cs="Times New Roman"/>
          <w:b/>
          <w:bCs/>
          <w:snapToGrid w:val="0"/>
          <w:color w:val="auto"/>
          <w:kern w:val="2"/>
          <w:sz w:val="28"/>
          <w:szCs w:val="28"/>
          <w:highlight w:val="none"/>
          <w:lang w:val="en-US" w:eastAsia="zh-CN" w:bidi="ar-SA"/>
        </w:rPr>
        <w:t>4</w:t>
      </w:r>
      <w:r>
        <w:rPr>
          <w:rFonts w:hint="default" w:ascii="Times New Roman" w:hAnsi="Times New Roman" w:eastAsia="宋体" w:cs="Times New Roman"/>
          <w:b/>
          <w:bCs/>
          <w:snapToGrid w:val="0"/>
          <w:color w:val="auto"/>
          <w:kern w:val="2"/>
          <w:sz w:val="28"/>
          <w:szCs w:val="28"/>
          <w:highlight w:val="none"/>
          <w:lang w:val="en-US" w:eastAsia="zh-CN" w:bidi="ar-SA"/>
        </w:rPr>
        <w:t>持续开展国土山川大绿化行动</w:t>
      </w:r>
      <w:bookmarkEnd w:id="450"/>
      <w:bookmarkEnd w:id="451"/>
      <w:bookmarkEnd w:id="452"/>
      <w:bookmarkEnd w:id="453"/>
      <w:bookmarkEnd w:id="454"/>
    </w:p>
    <w:p w14:paraId="4FFFAC6A">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开展国土绿化行动。健全自然资源资产产权制度和管理体制，分类分批完成全县森林、水流、荒地、湿地自然资源调查，建成全县自然资源与地理空间基础数据库。大力推进天然林修复、低效林改造工作，精准提升森林资源质量。加快实施国家储备林建设、防护林建设等工程，带动扩大营造林规模。持续开展荒漠化监测预防工作，加大戛洒江干热河谷等生态退化、生态脆弱重点区绿化力度。广泛开展沿路、沿河（湖）、沿集镇“三沿”造林绿化活动，提高城镇面山森林覆盖率。严防松材线虫病等重大林业有害生物入侵危害，不断提高林草灾害防控能力。到2025年，森林覆盖率达</w:t>
      </w:r>
      <w:r>
        <w:rPr>
          <w:rFonts w:hint="eastAsia" w:ascii="Times New Roman" w:hAnsi="Times New Roman" w:eastAsia="方正仿宋_GBK" w:cs="方正仿宋_GBK"/>
          <w:b w:val="0"/>
          <w:bCs w:val="0"/>
          <w:color w:val="auto"/>
          <w:kern w:val="2"/>
          <w:sz w:val="28"/>
          <w:szCs w:val="28"/>
          <w:lang w:val="en-US" w:eastAsia="zh-CN" w:bidi="ar-SA"/>
        </w:rPr>
        <w:t>74</w:t>
      </w:r>
      <w:r>
        <w:rPr>
          <w:rFonts w:hint="default" w:ascii="Times New Roman" w:hAnsi="Times New Roman" w:eastAsia="方正仿宋_GBK" w:cs="方正仿宋_GBK"/>
          <w:b w:val="0"/>
          <w:bCs w:val="0"/>
          <w:color w:val="auto"/>
          <w:kern w:val="2"/>
          <w:sz w:val="28"/>
          <w:szCs w:val="28"/>
          <w:lang w:val="en-US" w:eastAsia="zh-CN" w:bidi="ar-SA"/>
        </w:rPr>
        <w:t>%，森林蓄积量达2400万立方米。</w:t>
      </w:r>
    </w:p>
    <w:p w14:paraId="355F64C8">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持续推进“森林新平”建设。围绕“康养度假后花园”的定位，以改善城市生态环境、增加城市森林面积，提升城市森林质量、增加城市居民游憩空间为目标，大力开展城乡绿化，努力创建国家森林城市。提高城乡建成区绿化覆盖率，在城市功能疏解、更新和调整中，将腾退空间优先用于增绿增花增果，全面开展乡村绿化</w:t>
      </w:r>
      <w:r>
        <w:rPr>
          <w:rFonts w:hint="eastAsia" w:ascii="Times New Roman" w:hAnsi="Times New Roman" w:eastAsia="方正仿宋_GBK" w:cs="方正仿宋_GBK"/>
          <w:b w:val="0"/>
          <w:bCs w:val="0"/>
          <w:color w:val="auto"/>
          <w:kern w:val="2"/>
          <w:sz w:val="28"/>
          <w:szCs w:val="28"/>
          <w:lang w:val="en-US" w:eastAsia="zh-CN" w:bidi="ar-SA"/>
        </w:rPr>
        <w:t>美化</w:t>
      </w:r>
      <w:r>
        <w:rPr>
          <w:rFonts w:hint="default" w:ascii="Times New Roman" w:hAnsi="Times New Roman" w:eastAsia="方正仿宋_GBK" w:cs="方正仿宋_GBK"/>
          <w:b w:val="0"/>
          <w:bCs w:val="0"/>
          <w:color w:val="auto"/>
          <w:kern w:val="2"/>
          <w:sz w:val="28"/>
          <w:szCs w:val="28"/>
          <w:lang w:val="en-US" w:eastAsia="zh-CN" w:bidi="ar-SA"/>
        </w:rPr>
        <w:t>水</w:t>
      </w:r>
      <w:r>
        <w:rPr>
          <w:rFonts w:hint="eastAsia" w:ascii="Times New Roman" w:hAnsi="Times New Roman" w:eastAsia="方正仿宋_GBK" w:cs="方正仿宋_GBK"/>
          <w:b w:val="0"/>
          <w:bCs w:val="0"/>
          <w:color w:val="auto"/>
          <w:kern w:val="2"/>
          <w:sz w:val="28"/>
          <w:szCs w:val="28"/>
          <w:lang w:val="en-US" w:eastAsia="zh-CN" w:bidi="ar-SA"/>
        </w:rPr>
        <w:t>工程</w:t>
      </w:r>
      <w:r>
        <w:rPr>
          <w:rFonts w:hint="default" w:ascii="Times New Roman" w:hAnsi="Times New Roman" w:eastAsia="方正仿宋_GBK" w:cs="方正仿宋_GBK"/>
          <w:b w:val="0"/>
          <w:bCs w:val="0"/>
          <w:color w:val="auto"/>
          <w:kern w:val="2"/>
          <w:sz w:val="28"/>
          <w:szCs w:val="28"/>
          <w:lang w:val="en-US" w:eastAsia="zh-CN" w:bidi="ar-SA"/>
        </w:rPr>
        <w:t>。积极推进省级森林县城、森林乡村建设，推进城镇绿地系统建设、打造绿色景观廊道、修复面山生态植被的抓点、连线、造面，形成立体多维的城市森林系统，建成城市森林植被网络，推动城市森林健康发展。</w:t>
      </w:r>
    </w:p>
    <w:p w14:paraId="02DC28F9">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打造绿色生态家园。完善公园旅游设施、城镇中心和城镇周边绿地系统，建设公园游园、绿道体系、交织串联点状绿地，实现“300m现绿、500m见园”。提高生态景观建设水平，持续推进重点区域造林，实施挖潜增绿和绿地提质，统筹打造城镇村绿化景观，不断提升和拓展城区亲民绿色空间品质及功能，提升绿色服务供给能力，提高人民生活环境质量。增加城市绿化中的物种和景观斑块的多样性和丰富度，推行生态绿化方式，广种适生树种，乔灌草合理搭配、自然生长，推进身边增绿，增强林草功能，构建城市绿色屏障。</w:t>
      </w:r>
    </w:p>
    <w:p w14:paraId="1497352A">
      <w:pPr>
        <w:pStyle w:val="4"/>
        <w:pageBreakBefore w:val="0"/>
        <w:kinsoku/>
        <w:wordWrap/>
        <w:overflowPunct/>
        <w:topLinePunct w:val="0"/>
        <w:autoSpaceDE/>
        <w:autoSpaceDN/>
        <w:bidi w:val="0"/>
        <w:spacing w:before="260" w:after="260" w:line="500" w:lineRule="exact"/>
        <w:ind w:firstLine="0"/>
        <w:textAlignment w:val="auto"/>
        <w:rPr>
          <w:rFonts w:hint="default" w:ascii="Times New Roman" w:hAnsi="Times New Roman" w:eastAsia="仿宋" w:cs="Times New Roman"/>
          <w:color w:val="auto"/>
          <w:sz w:val="32"/>
          <w:lang w:val="en-US" w:eastAsia="zh-CN"/>
        </w:rPr>
      </w:pPr>
      <w:bookmarkStart w:id="455" w:name="_Toc9926"/>
      <w:bookmarkStart w:id="456" w:name="_Toc1258"/>
      <w:bookmarkStart w:id="457" w:name="_Toc2920"/>
      <w:bookmarkStart w:id="458" w:name="_Toc31268"/>
      <w:bookmarkStart w:id="459" w:name="_Toc19658"/>
      <w:bookmarkStart w:id="460" w:name="_Toc25921"/>
      <w:bookmarkStart w:id="461" w:name="_Toc5685"/>
      <w:bookmarkStart w:id="462" w:name="_Toc10813"/>
      <w:bookmarkStart w:id="463" w:name="_Toc16310"/>
      <w:bookmarkStart w:id="464" w:name="_Toc15083"/>
      <w:bookmarkStart w:id="465" w:name="_Toc24627"/>
      <w:bookmarkStart w:id="466" w:name="_Toc32190"/>
      <w:r>
        <w:rPr>
          <w:rFonts w:hint="eastAsia" w:ascii="Times New Roman" w:hAnsi="Times New Roman" w:eastAsia="仿宋" w:cs="Times New Roman"/>
          <w:color w:val="auto"/>
          <w:sz w:val="32"/>
          <w:lang w:val="en-US" w:eastAsia="zh-CN"/>
        </w:rPr>
        <w:t>6.6</w:t>
      </w:r>
      <w:r>
        <w:rPr>
          <w:rFonts w:hint="default" w:ascii="Times New Roman" w:hAnsi="Times New Roman" w:eastAsia="仿宋" w:cs="Times New Roman"/>
          <w:color w:val="auto"/>
          <w:sz w:val="32"/>
          <w:lang w:val="en-US" w:eastAsia="zh-CN"/>
        </w:rPr>
        <w:t>积极应对气候变化</w:t>
      </w:r>
      <w:bookmarkEnd w:id="455"/>
      <w:bookmarkEnd w:id="456"/>
      <w:bookmarkEnd w:id="457"/>
    </w:p>
    <w:p w14:paraId="0032E762">
      <w:pPr>
        <w:keepNext w:val="0"/>
        <w:keepLines w:val="0"/>
        <w:pageBreakBefore w:val="0"/>
        <w:numPr>
          <w:ilvl w:val="0"/>
          <w:numId w:val="0"/>
        </w:numPr>
        <w:kinsoku/>
        <w:wordWrap/>
        <w:overflowPunct/>
        <w:topLinePunct w:val="0"/>
        <w:autoSpaceDE/>
        <w:autoSpaceDN/>
        <w:bidi w:val="0"/>
        <w:snapToGrid w:val="0"/>
        <w:spacing w:before="157" w:beforeLines="50" w:after="157" w:afterLines="50" w:line="500" w:lineRule="exact"/>
        <w:textAlignment w:val="auto"/>
        <w:outlineLvl w:val="2"/>
        <w:rPr>
          <w:rFonts w:hint="default" w:ascii="Times New Roman" w:hAnsi="Times New Roman" w:eastAsia="宋体" w:cs="Times New Roman"/>
          <w:b/>
          <w:bCs/>
          <w:snapToGrid w:val="0"/>
          <w:color w:val="auto"/>
          <w:kern w:val="2"/>
          <w:sz w:val="28"/>
          <w:szCs w:val="28"/>
          <w:highlight w:val="none"/>
          <w:lang w:val="en-US" w:eastAsia="zh-CN" w:bidi="ar-SA"/>
        </w:rPr>
      </w:pPr>
      <w:bookmarkStart w:id="467" w:name="_Toc1163"/>
      <w:bookmarkStart w:id="468" w:name="_Toc19985"/>
      <w:bookmarkStart w:id="469" w:name="_Toc29806"/>
      <w:bookmarkStart w:id="470" w:name="_Toc984"/>
      <w:bookmarkStart w:id="471" w:name="_Toc2521"/>
      <w:r>
        <w:rPr>
          <w:rFonts w:hint="eastAsia" w:ascii="Times New Roman" w:hAnsi="Times New Roman" w:eastAsia="宋体" w:cs="Times New Roman"/>
          <w:b/>
          <w:bCs/>
          <w:snapToGrid w:val="0"/>
          <w:color w:val="auto"/>
          <w:kern w:val="2"/>
          <w:sz w:val="28"/>
          <w:szCs w:val="28"/>
          <w:highlight w:val="none"/>
          <w:lang w:val="en-US" w:eastAsia="zh-CN" w:bidi="ar-SA"/>
        </w:rPr>
        <w:t>6.6</w:t>
      </w:r>
      <w:r>
        <w:rPr>
          <w:rFonts w:hint="default" w:ascii="Times New Roman" w:hAnsi="Times New Roman" w:eastAsia="宋体" w:cs="Times New Roman"/>
          <w:b/>
          <w:bCs/>
          <w:snapToGrid w:val="0"/>
          <w:color w:val="auto"/>
          <w:kern w:val="2"/>
          <w:sz w:val="28"/>
          <w:szCs w:val="28"/>
          <w:highlight w:val="none"/>
          <w:lang w:val="en-US" w:eastAsia="zh-CN" w:bidi="ar-SA"/>
        </w:rPr>
        <w:t>.1制定碳达峰行动方案</w:t>
      </w:r>
      <w:bookmarkEnd w:id="467"/>
      <w:bookmarkEnd w:id="468"/>
      <w:bookmarkEnd w:id="469"/>
      <w:bookmarkEnd w:id="470"/>
      <w:bookmarkEnd w:id="471"/>
    </w:p>
    <w:p w14:paraId="2B566B2E">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以2030年前实现碳达峰为目标，落实碳排放强度和碳排放总量双控制度，并摸清新平县碳排放现状，结合县域排放特点研究制定新平县碳达峰行动方案，明确全县碳达峰目标、实施计划和保障措施，强化各领域各层级贯彻落实。推动产业结构、能源结构调整，积极发展低碳产业、低碳交通、低碳建筑，倡导低碳生活，聚焦工业、交通、农业、建筑、服务业等重点领域，进一步提高终端用能电气化水平、减少煤炭等化石燃料消费，在2030年二氧化碳排放达到峰值。有序推进新平县碳中和测算及相关研究，提升生态碳汇能力，强化国土空间规划和用途管控，有效发挥森林、湿地、草原、土壤的固碳作用，提升生态系统碳汇增量，落实碳排放权交易，积极发展绿色金融，为我国实现2060年前碳中和的目标贡献新平力量。</w:t>
      </w:r>
    </w:p>
    <w:p w14:paraId="28485E31">
      <w:pPr>
        <w:keepNext w:val="0"/>
        <w:keepLines w:val="0"/>
        <w:pageBreakBefore w:val="0"/>
        <w:numPr>
          <w:ilvl w:val="0"/>
          <w:numId w:val="0"/>
        </w:numPr>
        <w:kinsoku/>
        <w:wordWrap/>
        <w:overflowPunct/>
        <w:topLinePunct w:val="0"/>
        <w:autoSpaceDE/>
        <w:autoSpaceDN/>
        <w:bidi w:val="0"/>
        <w:snapToGrid w:val="0"/>
        <w:spacing w:before="157" w:beforeLines="50" w:after="157" w:afterLines="50" w:line="500" w:lineRule="exact"/>
        <w:textAlignment w:val="auto"/>
        <w:outlineLvl w:val="2"/>
        <w:rPr>
          <w:rFonts w:hint="default" w:ascii="Times New Roman" w:hAnsi="Times New Roman" w:eastAsia="宋体" w:cs="Times New Roman"/>
          <w:b/>
          <w:bCs/>
          <w:snapToGrid w:val="0"/>
          <w:color w:val="auto"/>
          <w:kern w:val="2"/>
          <w:sz w:val="28"/>
          <w:szCs w:val="28"/>
          <w:highlight w:val="none"/>
          <w:lang w:val="en-US" w:eastAsia="zh-CN" w:bidi="ar-SA"/>
        </w:rPr>
      </w:pPr>
      <w:bookmarkStart w:id="472" w:name="_Toc28559"/>
      <w:bookmarkStart w:id="473" w:name="_Toc21806"/>
      <w:bookmarkStart w:id="474" w:name="_Toc8896"/>
      <w:bookmarkStart w:id="475" w:name="_Toc31208"/>
      <w:bookmarkStart w:id="476" w:name="_Toc9439"/>
      <w:r>
        <w:rPr>
          <w:rFonts w:hint="eastAsia" w:ascii="Times New Roman" w:hAnsi="Times New Roman" w:eastAsia="宋体" w:cs="Times New Roman"/>
          <w:b/>
          <w:bCs/>
          <w:snapToGrid w:val="0"/>
          <w:color w:val="auto"/>
          <w:kern w:val="2"/>
          <w:sz w:val="28"/>
          <w:szCs w:val="28"/>
          <w:highlight w:val="none"/>
          <w:lang w:val="en-US" w:eastAsia="zh-CN" w:bidi="ar-SA"/>
        </w:rPr>
        <w:t>6.6</w:t>
      </w:r>
      <w:r>
        <w:rPr>
          <w:rFonts w:hint="default" w:ascii="Times New Roman" w:hAnsi="Times New Roman" w:eastAsia="宋体" w:cs="Times New Roman"/>
          <w:b/>
          <w:bCs/>
          <w:snapToGrid w:val="0"/>
          <w:color w:val="auto"/>
          <w:kern w:val="2"/>
          <w:sz w:val="28"/>
          <w:szCs w:val="28"/>
          <w:highlight w:val="none"/>
          <w:lang w:val="en-US" w:eastAsia="zh-CN" w:bidi="ar-SA"/>
        </w:rPr>
        <w:t>.2持续加强减污降碳</w:t>
      </w:r>
      <w:bookmarkEnd w:id="472"/>
      <w:bookmarkEnd w:id="473"/>
      <w:bookmarkEnd w:id="474"/>
      <w:bookmarkEnd w:id="475"/>
      <w:bookmarkEnd w:id="476"/>
    </w:p>
    <w:p w14:paraId="67A017B9">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控制工业领域温室气体排放。重点加强钢铁、水泥等产业低碳化生产工作，实施更加严格的固定资产投资项目节能评估审查和环境影响评价制度。鼓励与支持工业企业开展清洁生产审核，促进传统产业产品高端化、发展低碳化。加快提升钢铁等重点行业技术装备水平，改造升级节能检测仪器和设备。逐步淘汰现有的落后技术及老旧设备，严格限制高耗能技术及设备的新投入应用。</w:t>
      </w:r>
    </w:p>
    <w:p w14:paraId="5098F256">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控制交通领域温室气体排放。一是合理配置城市交通资源。逐步建立城市机动车保有总量调控机制。积极发展城市公共交通，完善城市步行和自行车交通系统。积极推广纯电动汽车、天然气动力汽车等新能源汽车。二是完善公路交通网络。推广应用温拌沥青、沥青路面材料再生利用等低碳铺路技术和养护技术，推广隧道通风照明智能控制技术，对高速公路服务区等进行节能低碳改造。</w:t>
      </w:r>
    </w:p>
    <w:p w14:paraId="61772E72">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控制农业和废弃物处理领域温室气体排放。鼓励使用有机肥，加强核桃、中药材等种植有机肥使用力度，因地制宜推广“猪（牧）</w:t>
      </w:r>
      <w:r>
        <w:rPr>
          <w:rFonts w:hint="eastAsia" w:ascii="Times New Roman" w:hAnsi="Times New Roman" w:eastAsia="方正仿宋_GBK" w:cs="方正仿宋_GBK"/>
          <w:b w:val="0"/>
          <w:bCs w:val="0"/>
          <w:color w:val="auto"/>
          <w:kern w:val="2"/>
          <w:sz w:val="28"/>
          <w:szCs w:val="28"/>
          <w:lang w:val="en-US" w:eastAsia="zh-CN" w:bidi="ar-SA"/>
        </w:rPr>
        <w:t>－</w:t>
      </w:r>
      <w:r>
        <w:rPr>
          <w:rFonts w:hint="default" w:ascii="Times New Roman" w:hAnsi="Times New Roman" w:eastAsia="方正仿宋_GBK" w:cs="方正仿宋_GBK"/>
          <w:b w:val="0"/>
          <w:bCs w:val="0"/>
          <w:color w:val="auto"/>
          <w:kern w:val="2"/>
          <w:sz w:val="28"/>
          <w:szCs w:val="28"/>
          <w:lang w:val="en-US" w:eastAsia="zh-CN" w:bidi="ar-SA"/>
        </w:rPr>
        <w:t>沼</w:t>
      </w:r>
      <w:r>
        <w:rPr>
          <w:rFonts w:hint="eastAsia" w:ascii="Times New Roman" w:hAnsi="Times New Roman" w:eastAsia="方正仿宋_GBK" w:cs="方正仿宋_GBK"/>
          <w:b w:val="0"/>
          <w:bCs w:val="0"/>
          <w:color w:val="auto"/>
          <w:kern w:val="2"/>
          <w:sz w:val="28"/>
          <w:szCs w:val="28"/>
          <w:lang w:val="en-US" w:eastAsia="zh-CN" w:bidi="ar-SA"/>
        </w:rPr>
        <w:t>－</w:t>
      </w:r>
      <w:r>
        <w:rPr>
          <w:rFonts w:hint="default" w:ascii="Times New Roman" w:hAnsi="Times New Roman" w:eastAsia="方正仿宋_GBK" w:cs="方正仿宋_GBK"/>
          <w:b w:val="0"/>
          <w:bCs w:val="0"/>
          <w:color w:val="auto"/>
          <w:kern w:val="2"/>
          <w:sz w:val="28"/>
          <w:szCs w:val="28"/>
          <w:lang w:val="en-US" w:eastAsia="zh-CN" w:bidi="ar-SA"/>
        </w:rPr>
        <w:t>果”“种</w:t>
      </w:r>
      <w:r>
        <w:rPr>
          <w:rFonts w:hint="eastAsia" w:ascii="Times New Roman" w:hAnsi="Times New Roman" w:eastAsia="方正仿宋_GBK" w:cs="方正仿宋_GBK"/>
          <w:b w:val="0"/>
          <w:bCs w:val="0"/>
          <w:color w:val="auto"/>
          <w:kern w:val="2"/>
          <w:sz w:val="28"/>
          <w:szCs w:val="28"/>
          <w:lang w:val="en-US" w:eastAsia="zh-CN" w:bidi="ar-SA"/>
        </w:rPr>
        <w:t>－</w:t>
      </w:r>
      <w:r>
        <w:rPr>
          <w:rFonts w:hint="default" w:ascii="Times New Roman" w:hAnsi="Times New Roman" w:eastAsia="方正仿宋_GBK" w:cs="方正仿宋_GBK"/>
          <w:b w:val="0"/>
          <w:bCs w:val="0"/>
          <w:color w:val="auto"/>
          <w:kern w:val="2"/>
          <w:sz w:val="28"/>
          <w:szCs w:val="28"/>
          <w:lang w:val="en-US" w:eastAsia="zh-CN" w:bidi="ar-SA"/>
        </w:rPr>
        <w:t>养</w:t>
      </w:r>
      <w:r>
        <w:rPr>
          <w:rFonts w:hint="eastAsia" w:ascii="Times New Roman" w:hAnsi="Times New Roman" w:eastAsia="方正仿宋_GBK" w:cs="方正仿宋_GBK"/>
          <w:b w:val="0"/>
          <w:bCs w:val="0"/>
          <w:color w:val="auto"/>
          <w:kern w:val="2"/>
          <w:sz w:val="28"/>
          <w:szCs w:val="28"/>
          <w:lang w:val="en-US" w:eastAsia="zh-CN" w:bidi="ar-SA"/>
        </w:rPr>
        <w:t>－</w:t>
      </w:r>
      <w:r>
        <w:rPr>
          <w:rFonts w:hint="default" w:ascii="Times New Roman" w:hAnsi="Times New Roman" w:eastAsia="方正仿宋_GBK" w:cs="方正仿宋_GBK"/>
          <w:b w:val="0"/>
          <w:bCs w:val="0"/>
          <w:color w:val="auto"/>
          <w:kern w:val="2"/>
          <w:sz w:val="28"/>
          <w:szCs w:val="28"/>
          <w:lang w:val="en-US" w:eastAsia="zh-CN" w:bidi="ar-SA"/>
        </w:rPr>
        <w:t>加”“立体种植”和“立体养殖”等低碳高效循环生产方式。加大农作物秸秆综合利用、农用地膜回收利用、农林废物资源化利用和牲畜粪便综合利用。控制废弃物处理领域排放，加大生活垃圾无害化处理设施和生活污水处理设施建设力度。健全生活垃圾分类回收、资源化利用、无害化处理相衔接的收转运体系，对生活垃圾进行统一收集和集中处理。推进餐厨垃圾无害化处理和资源化利用，鼓励残渣无害化处理后制作肥料。</w:t>
      </w:r>
    </w:p>
    <w:p w14:paraId="3CFA5821">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控制城乡建设领域温室气体排放。优化城市功能布局，加强城市低碳发展规划，城市新区建设规划探索进行碳排放评估。强化城市低碳化建设和管理，建设以节能低碳为特征的电、气等能源供应设施、给排水设施、生活污水和垃圾处理等城市基础设施，建立建筑使用全寿命周期管理制度，统筹城市低碳发展和绿色转型，协同治理城市大气污染物和温室气体排放，加强城市照明管理，实施城市绿色照明专项行动。发展低能耗和绿色建筑，采用先进的节能减碳技术和建筑材料，因地制宜推动太阳能等可再生能源建筑一体化应用，加强建筑节能管理，提升并严格执行新建建筑节能标准，推广低能耗和绿色建筑标准。</w:t>
      </w:r>
    </w:p>
    <w:p w14:paraId="7DCECF9E">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倡导低碳理念。企业应强化减排责任意识，自觉履行义务。提倡个人绿色消费意识，积极发展公共交通，对工业排放进行严格监测。使用高效的冰箱、空调和其他电器。为电动装置安装更高效的涡轮机，在离开办公室时关掉灯，家中拔掉电视机、音响设备、电脑、电池充电器以及许多其他的配件和家用电器的电源。购买节能产品，防止更多的温室气体排放。将旧的白炽灯泡替换为节能灯，如紧凑型荧光灯。</w:t>
      </w:r>
    </w:p>
    <w:p w14:paraId="539E2026">
      <w:pPr>
        <w:keepNext w:val="0"/>
        <w:keepLines w:val="0"/>
        <w:pageBreakBefore w:val="0"/>
        <w:numPr>
          <w:ilvl w:val="0"/>
          <w:numId w:val="0"/>
        </w:numPr>
        <w:kinsoku/>
        <w:wordWrap/>
        <w:overflowPunct/>
        <w:topLinePunct w:val="0"/>
        <w:autoSpaceDE/>
        <w:autoSpaceDN/>
        <w:bidi w:val="0"/>
        <w:snapToGrid w:val="0"/>
        <w:spacing w:before="157" w:beforeLines="50" w:after="157" w:afterLines="50" w:line="500" w:lineRule="exact"/>
        <w:textAlignment w:val="auto"/>
        <w:outlineLvl w:val="2"/>
        <w:rPr>
          <w:rFonts w:hint="default" w:ascii="Times New Roman" w:hAnsi="Times New Roman" w:eastAsia="宋体" w:cs="Times New Roman"/>
          <w:b/>
          <w:bCs/>
          <w:snapToGrid w:val="0"/>
          <w:color w:val="auto"/>
          <w:kern w:val="2"/>
          <w:sz w:val="28"/>
          <w:szCs w:val="28"/>
          <w:highlight w:val="none"/>
          <w:lang w:val="en-US" w:eastAsia="zh-CN" w:bidi="ar-SA"/>
        </w:rPr>
      </w:pPr>
      <w:bookmarkStart w:id="477" w:name="_Toc11755"/>
      <w:bookmarkStart w:id="478" w:name="_Toc16055"/>
      <w:bookmarkStart w:id="479" w:name="_Toc2740"/>
      <w:bookmarkStart w:id="480" w:name="_Toc12003"/>
      <w:bookmarkStart w:id="481" w:name="_Toc11153"/>
      <w:bookmarkStart w:id="482" w:name="_Toc18326"/>
      <w:bookmarkStart w:id="483" w:name="_Toc1604"/>
      <w:bookmarkStart w:id="484" w:name="_Toc7618"/>
      <w:bookmarkStart w:id="485" w:name="_Toc23504"/>
      <w:r>
        <w:rPr>
          <w:rFonts w:hint="eastAsia" w:ascii="Times New Roman" w:hAnsi="Times New Roman" w:eastAsia="宋体" w:cs="Times New Roman"/>
          <w:b/>
          <w:bCs/>
          <w:snapToGrid w:val="0"/>
          <w:color w:val="auto"/>
          <w:kern w:val="2"/>
          <w:sz w:val="28"/>
          <w:szCs w:val="28"/>
          <w:highlight w:val="none"/>
          <w:lang w:val="en-US" w:eastAsia="zh-CN" w:bidi="ar-SA"/>
        </w:rPr>
        <w:t>6.6</w:t>
      </w:r>
      <w:r>
        <w:rPr>
          <w:rFonts w:hint="default" w:ascii="Times New Roman" w:hAnsi="Times New Roman" w:eastAsia="宋体" w:cs="Times New Roman"/>
          <w:b/>
          <w:bCs/>
          <w:snapToGrid w:val="0"/>
          <w:color w:val="auto"/>
          <w:kern w:val="2"/>
          <w:sz w:val="28"/>
          <w:szCs w:val="28"/>
          <w:highlight w:val="none"/>
          <w:lang w:val="en-US" w:eastAsia="zh-CN" w:bidi="ar-SA"/>
        </w:rPr>
        <w:t>.3积极发展生态降碳</w:t>
      </w:r>
      <w:bookmarkEnd w:id="477"/>
      <w:bookmarkEnd w:id="478"/>
      <w:bookmarkEnd w:id="479"/>
      <w:bookmarkEnd w:id="480"/>
      <w:bookmarkEnd w:id="481"/>
      <w:bookmarkEnd w:id="482"/>
      <w:bookmarkEnd w:id="483"/>
      <w:bookmarkEnd w:id="484"/>
      <w:bookmarkEnd w:id="485"/>
    </w:p>
    <w:p w14:paraId="3DFC45B7">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增加森林、湿地及生态系统碳汇。继续实施林业生态重点工程，开展植树造林，统筹城乡绿化，深入开展全民义务植树活动，继续实施天然商品林停伐保护，开展天然林保护修复，继续实施公益林建设；加强水土流失区域的林草植被恢复建设，强化现有森林资源保护。加强农田保育，增加农业土壤碳汇，推广秸秆还田、免耕与少耕措施、轮作耕作方式，推广测土配方施肥技术、种植绿肥、增加有机肥的施用，提高土壤有机碳含量；推广等高耕作、修筑梯田、打坝淤地等工程措施，保护耕地，减少土壤侵蚀，增加农业土壤碳汇。建立完善的湿地保护管理长效机制，维护湿地生态系统稳定，增强湿地储碳能力。</w:t>
      </w:r>
    </w:p>
    <w:p w14:paraId="37AACBB7">
      <w:pPr>
        <w:keepNext w:val="0"/>
        <w:keepLines w:val="0"/>
        <w:pageBreakBefore w:val="0"/>
        <w:numPr>
          <w:ilvl w:val="0"/>
          <w:numId w:val="0"/>
        </w:numPr>
        <w:kinsoku/>
        <w:wordWrap/>
        <w:overflowPunct/>
        <w:topLinePunct w:val="0"/>
        <w:autoSpaceDE/>
        <w:autoSpaceDN/>
        <w:bidi w:val="0"/>
        <w:snapToGrid w:val="0"/>
        <w:spacing w:before="157" w:beforeLines="50" w:after="157" w:afterLines="50" w:line="500" w:lineRule="exact"/>
        <w:textAlignment w:val="auto"/>
        <w:outlineLvl w:val="2"/>
        <w:rPr>
          <w:rFonts w:hint="default" w:ascii="Times New Roman" w:hAnsi="Times New Roman" w:eastAsia="宋体" w:cs="Times New Roman"/>
          <w:b/>
          <w:bCs/>
          <w:snapToGrid w:val="0"/>
          <w:color w:val="auto"/>
          <w:kern w:val="2"/>
          <w:sz w:val="28"/>
          <w:szCs w:val="28"/>
          <w:highlight w:val="none"/>
          <w:lang w:val="en-US" w:eastAsia="zh-CN" w:bidi="ar-SA"/>
        </w:rPr>
      </w:pPr>
      <w:bookmarkStart w:id="486" w:name="_Toc25332"/>
      <w:bookmarkStart w:id="487" w:name="_Toc17496"/>
      <w:bookmarkStart w:id="488" w:name="_Toc26262"/>
      <w:bookmarkStart w:id="489" w:name="_Toc31389"/>
      <w:bookmarkStart w:id="490" w:name="_Toc8276"/>
      <w:r>
        <w:rPr>
          <w:rFonts w:hint="eastAsia" w:ascii="Times New Roman" w:hAnsi="Times New Roman" w:eastAsia="宋体" w:cs="Times New Roman"/>
          <w:b/>
          <w:bCs/>
          <w:snapToGrid w:val="0"/>
          <w:color w:val="auto"/>
          <w:kern w:val="2"/>
          <w:sz w:val="28"/>
          <w:szCs w:val="28"/>
          <w:highlight w:val="none"/>
          <w:lang w:val="en-US" w:eastAsia="zh-CN" w:bidi="ar-SA"/>
        </w:rPr>
        <w:t>6.6</w:t>
      </w:r>
      <w:r>
        <w:rPr>
          <w:rFonts w:hint="default" w:ascii="Times New Roman" w:hAnsi="Times New Roman" w:eastAsia="宋体" w:cs="Times New Roman"/>
          <w:b/>
          <w:bCs/>
          <w:snapToGrid w:val="0"/>
          <w:color w:val="auto"/>
          <w:kern w:val="2"/>
          <w:sz w:val="28"/>
          <w:szCs w:val="28"/>
          <w:highlight w:val="none"/>
          <w:lang w:val="en-US" w:eastAsia="zh-CN" w:bidi="ar-SA"/>
        </w:rPr>
        <w:t>.4提高适应气候变化能力</w:t>
      </w:r>
      <w:bookmarkEnd w:id="486"/>
      <w:bookmarkEnd w:id="487"/>
      <w:bookmarkEnd w:id="488"/>
      <w:bookmarkEnd w:id="489"/>
      <w:bookmarkEnd w:id="490"/>
    </w:p>
    <w:p w14:paraId="3AB832DD">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探索研究气候变化对本地生态系统、重点行业及人民生活的影响，做好气候变暖的影响评估，聚焦本地最容易受气候变化影响的地区、行业和群体，做好气候变暖应对策略。开展气候变化风险评估，识别气候变化对本地水资源保障、粮食生产、城乡环境的影响以及因为气候变化引起的地质灾害问题，开展应对气候变化风险管理，完善本区域防灾减灾及风险应对机制，提升风险应对能力，制订应对和防范措施。建设群体突发事件的预警系统和快速反应机制，要加强应对高低温、雷电、大风等极端气象灾害能力建设和应对地质灾害等防治，以及大面积停电、燃气泄漏等突发事件预防。强化应对地质灾害、极端天气、公共卫生等突发事件应急物资储备，建立健全集中管理、统一调拨、平时服务、灾时应急、采储结合、节约高效的应急物资管理机制、快速互助机制和征用补偿机制。</w:t>
      </w:r>
    </w:p>
    <w:p w14:paraId="627BE1F8">
      <w:pPr>
        <w:pStyle w:val="4"/>
        <w:pageBreakBefore w:val="0"/>
        <w:kinsoku/>
        <w:wordWrap/>
        <w:overflowPunct/>
        <w:topLinePunct w:val="0"/>
        <w:autoSpaceDE/>
        <w:autoSpaceDN/>
        <w:bidi w:val="0"/>
        <w:spacing w:before="260" w:after="260" w:line="500" w:lineRule="exact"/>
        <w:ind w:firstLine="0"/>
        <w:textAlignment w:val="auto"/>
        <w:rPr>
          <w:rFonts w:hint="default" w:ascii="Times New Roman" w:hAnsi="Times New Roman" w:eastAsia="仿宋" w:cs="Times New Roman"/>
          <w:color w:val="auto"/>
          <w:sz w:val="32"/>
          <w:lang w:val="en-US" w:eastAsia="zh-CN"/>
        </w:rPr>
      </w:pPr>
      <w:bookmarkStart w:id="491" w:name="_Toc2611"/>
      <w:r>
        <w:rPr>
          <w:rFonts w:hint="default" w:ascii="Times New Roman" w:hAnsi="Times New Roman" w:eastAsia="仿宋" w:cs="Times New Roman"/>
          <w:color w:val="auto"/>
          <w:sz w:val="32"/>
          <w:lang w:val="en-US" w:eastAsia="zh-CN"/>
        </w:rPr>
        <w:t>6.7加强生态环境风险防范</w:t>
      </w:r>
      <w:bookmarkEnd w:id="458"/>
      <w:bookmarkEnd w:id="459"/>
      <w:bookmarkEnd w:id="460"/>
      <w:bookmarkEnd w:id="461"/>
      <w:bookmarkEnd w:id="462"/>
      <w:bookmarkEnd w:id="463"/>
      <w:bookmarkEnd w:id="464"/>
      <w:bookmarkEnd w:id="465"/>
      <w:bookmarkEnd w:id="466"/>
      <w:bookmarkEnd w:id="491"/>
    </w:p>
    <w:p w14:paraId="3FE81A92">
      <w:pPr>
        <w:keepNext w:val="0"/>
        <w:keepLines w:val="0"/>
        <w:pageBreakBefore w:val="0"/>
        <w:numPr>
          <w:ilvl w:val="0"/>
          <w:numId w:val="0"/>
        </w:numPr>
        <w:kinsoku/>
        <w:wordWrap/>
        <w:overflowPunct/>
        <w:topLinePunct w:val="0"/>
        <w:autoSpaceDE/>
        <w:autoSpaceDN/>
        <w:bidi w:val="0"/>
        <w:snapToGrid w:val="0"/>
        <w:spacing w:before="157" w:beforeLines="50" w:after="157" w:afterLines="50" w:line="500" w:lineRule="exact"/>
        <w:textAlignment w:val="auto"/>
        <w:outlineLvl w:val="2"/>
        <w:rPr>
          <w:rFonts w:hint="default" w:ascii="Times New Roman" w:hAnsi="Times New Roman" w:eastAsia="宋体" w:cs="Times New Roman"/>
          <w:b/>
          <w:bCs/>
          <w:snapToGrid w:val="0"/>
          <w:color w:val="auto"/>
          <w:kern w:val="2"/>
          <w:sz w:val="28"/>
          <w:szCs w:val="28"/>
          <w:highlight w:val="none"/>
          <w:lang w:val="en-US" w:eastAsia="zh-CN" w:bidi="ar-SA"/>
        </w:rPr>
      </w:pPr>
      <w:bookmarkStart w:id="492" w:name="_Toc19051"/>
      <w:bookmarkStart w:id="493" w:name="_Toc7012"/>
      <w:bookmarkStart w:id="494" w:name="_Toc19641"/>
      <w:bookmarkStart w:id="495" w:name="_Toc28504"/>
      <w:bookmarkStart w:id="496" w:name="_Toc16704"/>
      <w:r>
        <w:rPr>
          <w:rFonts w:hint="default" w:ascii="Times New Roman" w:hAnsi="Times New Roman" w:eastAsia="宋体" w:cs="Times New Roman"/>
          <w:b/>
          <w:bCs/>
          <w:snapToGrid w:val="0"/>
          <w:color w:val="auto"/>
          <w:kern w:val="2"/>
          <w:sz w:val="28"/>
          <w:szCs w:val="28"/>
          <w:highlight w:val="none"/>
          <w:lang w:val="en-US" w:eastAsia="zh-CN" w:bidi="ar-SA"/>
        </w:rPr>
        <w:t>6.7.1完善生态环境风险和应急管理体系</w:t>
      </w:r>
      <w:bookmarkEnd w:id="492"/>
      <w:bookmarkEnd w:id="493"/>
      <w:bookmarkEnd w:id="494"/>
      <w:bookmarkEnd w:id="495"/>
      <w:bookmarkEnd w:id="496"/>
    </w:p>
    <w:p w14:paraId="7B194AFA">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加强生态环境风险源头管理。开展生态环境风险摸底与评估，结合第二次全国污染源普查、环境统计工作，全面调查辖区内工业源、集中式污染治理设施、农业面源、医疗固体废物等风险源，开展重点生态环境风险源环境隐患排查，摸清生态环境风险的高发区域和敏感行业，建立生态环境风险源分类档案和信息数据库，健全生态环境风险重点监管单位清单，并动态更新。以排放重金属、危险废物、持久性有机污染物和使用重点环境管理危险化学品的污染源为重点，逐步开展重点风险源环境和健康风险评估，对主要风险源加强管控，从源头上降低生态环境风险。</w:t>
      </w:r>
    </w:p>
    <w:p w14:paraId="0C484197">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加强生态环境风险管控能力建设。要以“融入”和“联动”为理念，将环境风险管控措施有效“嵌套”到常规环境监管体系，构建多部门协调、与公共安全保障体系衔接的管控制度；以落实企业主体与政府监管责任为方向，推动环境风险防控由事后应急管理向全过程管控转变，实现事前严防严控、事中响应、事后追责赔偿；“防”与“控”并重，健全精细化管理模式，努力降低土壤、核与辐射、重金属、危险废物、化学品等重点领域、区域环境风险，基本形成多元高效、点线面结合的全过程环境风险防控网络，将环境风险管控到与经济社会发展阶段相适应的可接受水平。</w:t>
      </w:r>
    </w:p>
    <w:p w14:paraId="597FDB15">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加强生态环境风险防范能力建设。一是加强监管机构和人才队伍建设。开展全县生态环境风险管理培训，加强生态环境保护督察、环境影响评价、排污许可、环境执法和固体废物管理机构人员的技术培训与交流。加强生态环境风险专业机构及人才队伍建设，组建生态环境风险管理专家团队，强化重点难点问题的技术支撑。二是建立健全风险监管机制。针对辖区内各类生态环境风险源，细化监管责任，落实监管部门和监管人员，强化生态环境风险监管。建立健全风险监管机制，建立区域和部门联防联控联治机制，积极推动跨省流域的联防联控协议的实施，持续完善与邻近县协议联防联控机制；加强周边其他县的联络，建立生态环境风险联防联控联治机制。加强区内生态环境部门与交通运输、卫生健康、应急等相关行政主管部门合作，强化信息共享和协作配合。生态环境执法检查中发现涉嫌危险废物环境违法犯罪的问题，及时移交公安机关。三是提升信息化监管能力和水平。建立覆盖全县生态环境风险源的数据信息库，充分利用信息化手段，动态更新风险源清单，并对重点生态环境风险源进行实时跟踪。鼓励重点单位在重点环节和关键节点推行应用视频监控、电子标签等集成智能监控手段，实现对危险废物全过程跟踪管理。充分利用“互联网+监管”系统，加强事中事后环境监管，归集共享各类相关数据，及时发现和防范苗头性风险。四是提升应急物资管理保障能力。对应急物资储备情况进行全面调研，对原有物资进行盘库清点，逐项逐类建立台账。加强部门之间沟通协调，科学研判自然灾害形势，制定应急救灾物资补充方案，填平补齐相应的应急物资，指导做好短缺应急救灾物资采购储备工作，进一步提升救灾物资应急保障能力。及时完善应急救灾物资储备工作管理制度，确保物资安全、账物相符。</w:t>
      </w:r>
    </w:p>
    <w:p w14:paraId="471143A1">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强化生态环境应急管理。按要素（水环境、大气、土壤等）、按对象（水源地、保护区、生态敏感区）、按风险源（交通运输、工业企业）等建立环境风险应急体系，2023年内完成县政府突发环境事件应急预案修编。县人民政府及其有关部门应当组织开展应急知识的宣传普及活动，每年要设定特定场景的应急演练。有关部门按照职责分工，加强日常环境监测，对可能导致突发环境事件的风险信息加强收集、分析和研判，建立可能导致突发环境事件的问题清单。实施企业环境应急预案电子化备案，实现涉危涉重企业电子化备案全覆盖。</w:t>
      </w:r>
    </w:p>
    <w:p w14:paraId="16411FA9">
      <w:pPr>
        <w:keepNext w:val="0"/>
        <w:keepLines w:val="0"/>
        <w:pageBreakBefore w:val="0"/>
        <w:numPr>
          <w:ilvl w:val="0"/>
          <w:numId w:val="0"/>
        </w:numPr>
        <w:kinsoku/>
        <w:wordWrap/>
        <w:overflowPunct/>
        <w:topLinePunct w:val="0"/>
        <w:autoSpaceDE/>
        <w:autoSpaceDN/>
        <w:bidi w:val="0"/>
        <w:snapToGrid w:val="0"/>
        <w:spacing w:before="157" w:beforeLines="50" w:after="157" w:afterLines="50" w:line="500" w:lineRule="exact"/>
        <w:textAlignment w:val="auto"/>
        <w:outlineLvl w:val="2"/>
        <w:rPr>
          <w:rFonts w:hint="default" w:ascii="Times New Roman" w:hAnsi="Times New Roman" w:eastAsia="宋体" w:cs="Times New Roman"/>
          <w:b/>
          <w:bCs/>
          <w:snapToGrid w:val="0"/>
          <w:color w:val="auto"/>
          <w:kern w:val="2"/>
          <w:sz w:val="28"/>
          <w:szCs w:val="28"/>
          <w:highlight w:val="none"/>
          <w:lang w:val="en-US" w:eastAsia="zh-CN" w:bidi="ar-SA"/>
        </w:rPr>
      </w:pPr>
      <w:bookmarkStart w:id="497" w:name="_Toc26517"/>
      <w:bookmarkStart w:id="498" w:name="_Toc28624"/>
      <w:bookmarkStart w:id="499" w:name="_Toc11573"/>
      <w:bookmarkStart w:id="500" w:name="_Toc27440"/>
      <w:bookmarkStart w:id="501" w:name="_Toc20374"/>
      <w:r>
        <w:rPr>
          <w:rFonts w:hint="default" w:ascii="Times New Roman" w:hAnsi="Times New Roman" w:eastAsia="宋体" w:cs="Times New Roman"/>
          <w:b/>
          <w:bCs/>
          <w:snapToGrid w:val="0"/>
          <w:color w:val="auto"/>
          <w:kern w:val="2"/>
          <w:sz w:val="28"/>
          <w:szCs w:val="28"/>
          <w:highlight w:val="none"/>
          <w:lang w:val="en-US" w:eastAsia="zh-CN" w:bidi="ar-SA"/>
        </w:rPr>
        <w:t>6.7.2加强危险废物、医疗废物收集处理</w:t>
      </w:r>
      <w:bookmarkEnd w:id="497"/>
      <w:bookmarkEnd w:id="498"/>
      <w:bookmarkEnd w:id="499"/>
      <w:bookmarkEnd w:id="500"/>
      <w:bookmarkEnd w:id="501"/>
    </w:p>
    <w:p w14:paraId="29654261">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提升危险废物收集处置与利用能力。强化危险废物全过程环境监管，建立完善危险废物环境重点监管单位清单，加强对重点行业危险废物产生、贮存、利用和处置的监督管理，打击危险废物非法转移和利用处置等违法犯罪活动。规范废铅蓄电池回收管理机制。规划期间，危险废物处置率达稳定保持100%。</w:t>
      </w:r>
    </w:p>
    <w:p w14:paraId="03A2808E">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补齐医疗废物处置与应急能力短板。全县医疗废物通过直接或间接的方式已实现交医疗废物集中处置单位处置，要完善医疗废物收集转运处置体系，因地制宜推进农村、镇和偏远地区医疗废物安全处置，逐步健全完善的医疗废物收集转运处置体系。加强医疗废物分类管理，做好源头分类。加强建立完善医疗废物收集网络、安全运输、处置体系，制定并完善危险废物集中处置设施运行收费标准和办法，推行危险废物转移联单制度，实现危险废物收集、运输、处置的全过程环境监督管理。提高规范化管理水平，严厉打击医疗废物非法买卖等行为。建立医疗废物协同应急处置设施清单，完善处置物资储备体系，保障重大疫情医疗废物应急处置能力。</w:t>
      </w:r>
    </w:p>
    <w:p w14:paraId="47924E43">
      <w:pPr>
        <w:keepNext w:val="0"/>
        <w:keepLines w:val="0"/>
        <w:pageBreakBefore w:val="0"/>
        <w:numPr>
          <w:ilvl w:val="0"/>
          <w:numId w:val="0"/>
        </w:numPr>
        <w:kinsoku/>
        <w:wordWrap/>
        <w:overflowPunct/>
        <w:topLinePunct w:val="0"/>
        <w:autoSpaceDE/>
        <w:autoSpaceDN/>
        <w:bidi w:val="0"/>
        <w:snapToGrid w:val="0"/>
        <w:spacing w:before="157" w:beforeLines="50" w:after="157" w:afterLines="50" w:line="500" w:lineRule="exact"/>
        <w:textAlignment w:val="auto"/>
        <w:outlineLvl w:val="2"/>
        <w:rPr>
          <w:rFonts w:hint="default" w:ascii="Times New Roman" w:hAnsi="Times New Roman" w:eastAsia="宋体" w:cs="Times New Roman"/>
          <w:b/>
          <w:bCs/>
          <w:snapToGrid w:val="0"/>
          <w:color w:val="auto"/>
          <w:kern w:val="2"/>
          <w:sz w:val="28"/>
          <w:szCs w:val="28"/>
          <w:highlight w:val="none"/>
          <w:lang w:val="en-US" w:eastAsia="zh-CN" w:bidi="ar-SA"/>
        </w:rPr>
      </w:pPr>
      <w:bookmarkStart w:id="502" w:name="_Toc32234"/>
      <w:bookmarkStart w:id="503" w:name="_Toc17705"/>
      <w:bookmarkStart w:id="504" w:name="_Toc5919"/>
      <w:bookmarkStart w:id="505" w:name="_Toc16841"/>
      <w:bookmarkStart w:id="506" w:name="_Toc729"/>
      <w:r>
        <w:rPr>
          <w:rFonts w:hint="default" w:ascii="Times New Roman" w:hAnsi="Times New Roman" w:eastAsia="宋体" w:cs="Times New Roman"/>
          <w:b/>
          <w:bCs/>
          <w:snapToGrid w:val="0"/>
          <w:color w:val="auto"/>
          <w:kern w:val="2"/>
          <w:sz w:val="28"/>
          <w:szCs w:val="28"/>
          <w:highlight w:val="none"/>
          <w:lang w:val="en-US" w:eastAsia="zh-CN" w:bidi="ar-SA"/>
        </w:rPr>
        <w:t>6.7.3提高固体废弃物综合利用水平</w:t>
      </w:r>
      <w:bookmarkEnd w:id="502"/>
      <w:bookmarkEnd w:id="503"/>
      <w:bookmarkEnd w:id="504"/>
      <w:bookmarkEnd w:id="505"/>
      <w:bookmarkEnd w:id="506"/>
    </w:p>
    <w:p w14:paraId="30334F52">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推进生活垃圾资源化利用。依托现有废旧品回收市场、旧家具家电回收市场，积极组织开展可回收物分拣中心、集散市场和大件垃圾处理设施的规划、建设，进一步完善废旧家具、旧家电、旧自行车、旧纺织品等垃圾资源回收利用和管理机制，并探索建立“互联网+资源回收”模式，建立完善再生资源分类、回收、储存、中转、利用信息平台，实现再生资源回收网络和生活垃圾分类网络“两网融合”，推动再生资源回收利用规范化、专业化管理，提高可回收垃圾资源再生利用水平。</w:t>
      </w:r>
    </w:p>
    <w:p w14:paraId="5E2703F6">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畜禽养殖场废弃物处理设施。加强养殖场废弃物综合利用，积极开展粪尿废水资源化利用。建设生态养殖场和养殖小区，积极推广生物发酵床等生态养殖模式和“一池三改”户用沼气工程。强化养殖业污染治理。加快发展种养有机结合的循环农业。以生猪、牛、鸡等规模养殖场为重点，开展规模化生物天然气工程和大中型沼气工程建设，整县推进畜禽养殖废弃物资源化利用。到2030年，规模畜禽养殖场全部配套粪污处理设施，畜禽粪污综合利用率达到90%。</w:t>
      </w:r>
    </w:p>
    <w:p w14:paraId="6EEB4BCD">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sectPr>
          <w:pgSz w:w="11906" w:h="16838"/>
          <w:pgMar w:top="1440" w:right="1797" w:bottom="1440" w:left="1797" w:header="851" w:footer="992" w:gutter="0"/>
          <w:pgBorders>
            <w:top w:val="none" w:sz="0" w:space="0"/>
            <w:left w:val="none" w:sz="0" w:space="0"/>
            <w:bottom w:val="none" w:sz="0" w:space="0"/>
            <w:right w:val="none" w:sz="0" w:space="0"/>
          </w:pgBorders>
          <w:pgNumType w:fmt="decimal"/>
          <w:cols w:space="425" w:num="1"/>
          <w:docGrid w:linePitch="312" w:charSpace="0"/>
        </w:sectPr>
      </w:pPr>
      <w:r>
        <w:rPr>
          <w:rFonts w:hint="default" w:ascii="Times New Roman" w:hAnsi="Times New Roman" w:eastAsia="方正仿宋_GBK" w:cs="方正仿宋_GBK"/>
          <w:b w:val="0"/>
          <w:bCs w:val="0"/>
          <w:color w:val="auto"/>
          <w:kern w:val="2"/>
          <w:sz w:val="28"/>
          <w:szCs w:val="28"/>
          <w:lang w:val="en-US" w:eastAsia="zh-CN" w:bidi="ar-SA"/>
        </w:rPr>
        <w:t>深水泥业固体废物资源化利用。一是实行</w:t>
      </w:r>
      <w:r>
        <w:rPr>
          <w:rFonts w:hint="eastAsia" w:ascii="Times New Roman" w:hAnsi="Times New Roman" w:eastAsia="方正仿宋_GBK" w:cs="方正仿宋_GBK"/>
          <w:b w:val="0"/>
          <w:bCs w:val="0"/>
          <w:color w:val="auto"/>
          <w:kern w:val="2"/>
          <w:sz w:val="28"/>
          <w:szCs w:val="28"/>
          <w:lang w:val="en-US" w:eastAsia="zh-CN" w:bidi="ar-SA"/>
        </w:rPr>
        <w:t>工业园区</w:t>
      </w:r>
      <w:r>
        <w:rPr>
          <w:rFonts w:hint="default" w:ascii="Times New Roman" w:hAnsi="Times New Roman" w:eastAsia="方正仿宋_GBK" w:cs="方正仿宋_GBK"/>
          <w:b w:val="0"/>
          <w:bCs w:val="0"/>
          <w:color w:val="auto"/>
          <w:kern w:val="2"/>
          <w:sz w:val="28"/>
          <w:szCs w:val="28"/>
          <w:lang w:val="en-US" w:eastAsia="zh-CN" w:bidi="ar-SA"/>
        </w:rPr>
        <w:t>域固体废物循环化改造，促进工业固体废物综合利用和安全处置。通过以奖代补形式促进区域的固体废物资源化利用，确保规划期间，一般工业固体废物综合利用率保持稳定。在工业固体废物产生量大的企业和市政污水处理厂，推广国家鼓励的工业固体废物综合利用先进适用技术、循环经济技术、工艺和设备、有毒有害原料（产品）替代品等，推动一般工业固体废物的资源化利用。三是拓展再生资源回收交易渠道。依托再生资源回收体系解决低值可再生一般工业固体废物处理处置出路。鼓励固体废物源头就地加工，推动固体废物再生行业贸易加工模式转变，优化再生资源利用渠道。鼓励、引导产废企业、再生资源回收经营企业和利用废物企业进入固体废物交易平台，大力推动低值可再生利用工业固体废物的综合利用工作</w:t>
      </w:r>
      <w:r>
        <w:rPr>
          <w:rFonts w:hint="eastAsia" w:ascii="Times New Roman" w:hAnsi="Times New Roman" w:eastAsia="方正仿宋_GBK" w:cs="方正仿宋_GBK"/>
          <w:b w:val="0"/>
          <w:bCs w:val="0"/>
          <w:color w:val="auto"/>
          <w:kern w:val="2"/>
          <w:sz w:val="28"/>
          <w:szCs w:val="28"/>
          <w:lang w:val="en-US" w:eastAsia="zh-CN" w:bidi="ar-SA"/>
        </w:rPr>
        <w:t>。</w:t>
      </w:r>
    </w:p>
    <w:bookmarkEnd w:id="411"/>
    <w:bookmarkEnd w:id="412"/>
    <w:bookmarkEnd w:id="413"/>
    <w:p w14:paraId="6C9532A7">
      <w:pPr>
        <w:pStyle w:val="3"/>
        <w:pageBreakBefore w:val="0"/>
        <w:kinsoku/>
        <w:wordWrap/>
        <w:overflowPunct/>
        <w:topLinePunct w:val="0"/>
        <w:autoSpaceDE/>
        <w:autoSpaceDN/>
        <w:bidi w:val="0"/>
        <w:spacing w:before="0" w:after="0" w:line="500" w:lineRule="exact"/>
        <w:jc w:val="center"/>
        <w:textAlignment w:val="auto"/>
        <w:rPr>
          <w:rFonts w:hint="default" w:ascii="Times New Roman" w:hAnsi="Times New Roman" w:eastAsia="仿宋" w:cs="Times New Roman"/>
          <w:color w:val="auto"/>
          <w:sz w:val="44"/>
          <w:lang w:val="en-US" w:eastAsia="zh-CN"/>
        </w:rPr>
      </w:pPr>
      <w:bookmarkStart w:id="507" w:name="_Toc860"/>
      <w:bookmarkStart w:id="508" w:name="_Toc29603"/>
      <w:bookmarkStart w:id="509" w:name="_Toc21018"/>
      <w:r>
        <w:rPr>
          <w:rFonts w:hint="default" w:ascii="Times New Roman" w:hAnsi="Times New Roman" w:eastAsia="仿宋" w:cs="Times New Roman"/>
          <w:color w:val="auto"/>
          <w:sz w:val="44"/>
          <w:lang w:val="en-US" w:eastAsia="zh-CN"/>
        </w:rPr>
        <w:t>7</w:t>
      </w:r>
      <w:bookmarkEnd w:id="366"/>
      <w:bookmarkEnd w:id="367"/>
      <w:bookmarkEnd w:id="368"/>
      <w:r>
        <w:rPr>
          <w:rFonts w:hint="default" w:ascii="Times New Roman" w:hAnsi="Times New Roman" w:eastAsia="仿宋" w:cs="Times New Roman"/>
          <w:color w:val="auto"/>
          <w:sz w:val="44"/>
          <w:lang w:val="en-US" w:eastAsia="zh-CN"/>
        </w:rPr>
        <w:t>严格空间管控，建设生态空间体系</w:t>
      </w:r>
      <w:bookmarkEnd w:id="369"/>
      <w:bookmarkEnd w:id="370"/>
      <w:bookmarkEnd w:id="371"/>
      <w:bookmarkEnd w:id="372"/>
      <w:bookmarkEnd w:id="507"/>
      <w:bookmarkEnd w:id="508"/>
      <w:bookmarkEnd w:id="509"/>
      <w:bookmarkStart w:id="510" w:name="_Toc11739"/>
      <w:bookmarkStart w:id="511" w:name="_Toc15135"/>
      <w:bookmarkStart w:id="512" w:name="_Toc2892"/>
      <w:bookmarkStart w:id="513" w:name="_Toc31983"/>
      <w:bookmarkStart w:id="514" w:name="_Toc1598"/>
      <w:bookmarkStart w:id="515" w:name="_Toc18872"/>
      <w:bookmarkStart w:id="516" w:name="_Toc13795"/>
    </w:p>
    <w:p w14:paraId="4B5EC820">
      <w:pPr>
        <w:pStyle w:val="4"/>
        <w:pageBreakBefore w:val="0"/>
        <w:kinsoku/>
        <w:wordWrap/>
        <w:overflowPunct/>
        <w:topLinePunct w:val="0"/>
        <w:autoSpaceDE/>
        <w:autoSpaceDN/>
        <w:bidi w:val="0"/>
        <w:spacing w:before="260" w:after="260" w:line="500" w:lineRule="exact"/>
        <w:ind w:firstLine="0"/>
        <w:textAlignment w:val="auto"/>
        <w:rPr>
          <w:rFonts w:hint="default" w:ascii="Times New Roman" w:hAnsi="Times New Roman" w:eastAsia="仿宋" w:cs="Times New Roman"/>
          <w:color w:val="auto"/>
          <w:sz w:val="32"/>
          <w:lang w:val="en-US" w:eastAsia="zh-CN"/>
        </w:rPr>
      </w:pPr>
      <w:bookmarkStart w:id="517" w:name="_Toc23939"/>
      <w:bookmarkStart w:id="518" w:name="_Toc12333"/>
      <w:bookmarkStart w:id="519" w:name="_Toc28243"/>
      <w:r>
        <w:rPr>
          <w:rFonts w:hint="default" w:ascii="Times New Roman" w:hAnsi="Times New Roman" w:eastAsia="仿宋" w:cs="Times New Roman"/>
          <w:color w:val="auto"/>
          <w:sz w:val="32"/>
          <w:lang w:val="en-US" w:eastAsia="zh-CN"/>
        </w:rPr>
        <w:t>7.1</w:t>
      </w:r>
      <w:bookmarkEnd w:id="510"/>
      <w:bookmarkEnd w:id="511"/>
      <w:bookmarkEnd w:id="512"/>
      <w:r>
        <w:rPr>
          <w:rFonts w:hint="default" w:ascii="Times New Roman" w:hAnsi="Times New Roman" w:eastAsia="仿宋" w:cs="Times New Roman"/>
          <w:color w:val="auto"/>
          <w:sz w:val="32"/>
          <w:lang w:val="en-US" w:eastAsia="zh-CN"/>
        </w:rPr>
        <w:t>严格生态空间用途管制</w:t>
      </w:r>
      <w:bookmarkEnd w:id="513"/>
      <w:bookmarkEnd w:id="514"/>
      <w:bookmarkEnd w:id="515"/>
      <w:bookmarkEnd w:id="516"/>
      <w:bookmarkEnd w:id="517"/>
      <w:bookmarkEnd w:id="518"/>
      <w:bookmarkEnd w:id="519"/>
    </w:p>
    <w:p w14:paraId="493076AB">
      <w:pPr>
        <w:keepNext w:val="0"/>
        <w:keepLines w:val="0"/>
        <w:pageBreakBefore w:val="0"/>
        <w:numPr>
          <w:ilvl w:val="0"/>
          <w:numId w:val="0"/>
        </w:numPr>
        <w:kinsoku/>
        <w:wordWrap/>
        <w:overflowPunct/>
        <w:topLinePunct w:val="0"/>
        <w:autoSpaceDE/>
        <w:autoSpaceDN/>
        <w:bidi w:val="0"/>
        <w:snapToGrid w:val="0"/>
        <w:spacing w:before="157" w:beforeLines="50" w:after="157" w:afterLines="50" w:line="500" w:lineRule="exact"/>
        <w:textAlignment w:val="auto"/>
        <w:outlineLvl w:val="2"/>
        <w:rPr>
          <w:rFonts w:hint="default" w:ascii="Times New Roman" w:hAnsi="Times New Roman" w:eastAsia="宋体" w:cs="Times New Roman"/>
          <w:b/>
          <w:bCs/>
          <w:snapToGrid w:val="0"/>
          <w:color w:val="auto"/>
          <w:kern w:val="2"/>
          <w:sz w:val="28"/>
          <w:szCs w:val="28"/>
          <w:highlight w:val="none"/>
          <w:lang w:val="en-US" w:eastAsia="zh-CN" w:bidi="ar-SA"/>
        </w:rPr>
      </w:pPr>
      <w:bookmarkStart w:id="520" w:name="_Toc24088"/>
      <w:bookmarkStart w:id="521" w:name="_Toc32602"/>
      <w:bookmarkStart w:id="522" w:name="_Toc7977"/>
      <w:bookmarkStart w:id="523" w:name="_Toc27742"/>
      <w:bookmarkStart w:id="524" w:name="_Toc19744"/>
      <w:r>
        <w:rPr>
          <w:rFonts w:hint="default" w:ascii="Times New Roman" w:hAnsi="Times New Roman" w:eastAsia="宋体" w:cs="Times New Roman"/>
          <w:b/>
          <w:bCs/>
          <w:snapToGrid w:val="0"/>
          <w:color w:val="auto"/>
          <w:kern w:val="2"/>
          <w:sz w:val="28"/>
          <w:szCs w:val="28"/>
          <w:highlight w:val="none"/>
          <w:lang w:val="en-US" w:eastAsia="zh-CN" w:bidi="ar-SA"/>
        </w:rPr>
        <w:t>7.1.1落实“三线一单”</w:t>
      </w:r>
      <w:bookmarkEnd w:id="520"/>
      <w:bookmarkEnd w:id="521"/>
      <w:r>
        <w:rPr>
          <w:rFonts w:hint="default" w:ascii="Times New Roman" w:hAnsi="Times New Roman" w:eastAsia="宋体" w:cs="Times New Roman"/>
          <w:b/>
          <w:bCs/>
          <w:snapToGrid w:val="0"/>
          <w:color w:val="auto"/>
          <w:kern w:val="2"/>
          <w:sz w:val="28"/>
          <w:szCs w:val="28"/>
          <w:highlight w:val="none"/>
          <w:lang w:val="en-US" w:eastAsia="zh-CN" w:bidi="ar-SA"/>
        </w:rPr>
        <w:t>生态环境分区管控</w:t>
      </w:r>
      <w:bookmarkEnd w:id="522"/>
      <w:bookmarkEnd w:id="523"/>
      <w:bookmarkEnd w:id="524"/>
    </w:p>
    <w:p w14:paraId="3E426160">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加快推进生态保护红线勘界定标工作，完善生态红线管控措施，加大哀牢山国家级自然保护区、磨盘山国家级森林公园等优先保护区保护力度，严格禁止生态保护红线内开发性、生产性建设活动。充分衔接环境质量目标和达标期限要求，遵循环境质量不断优化原则，确立大气、水、土壤环境质量底线。按照资源总量管控要求，明确水、土、能源等资源要素利用上线。开展生态环境功能区划符合性审查，严格控制石化、水泥、有色金属冶炼等项目环境风险。</w:t>
      </w:r>
    </w:p>
    <w:p w14:paraId="296D7888">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1、明确管控目标</w:t>
      </w:r>
    </w:p>
    <w:p w14:paraId="20937845">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严格执行《玉溪市“三线一单”生态环境分区管控实施方案》要求，神，坚持生态优先、绿色发展，按照“守底线、优格局、提质量、保安全”的总体思路，围绕玉溪“一极两区”发展定位，以改善区域环境质量为核心，建立覆盖全</w:t>
      </w:r>
      <w:r>
        <w:rPr>
          <w:rFonts w:hint="eastAsia" w:ascii="Times New Roman" w:hAnsi="Times New Roman" w:eastAsia="方正仿宋_GBK" w:cs="方正仿宋_GBK"/>
          <w:b w:val="0"/>
          <w:bCs w:val="0"/>
          <w:color w:val="auto"/>
          <w:kern w:val="2"/>
          <w:sz w:val="28"/>
          <w:szCs w:val="28"/>
          <w:lang w:val="en-US" w:eastAsia="zh-CN" w:bidi="ar-SA"/>
        </w:rPr>
        <w:t>县</w:t>
      </w:r>
      <w:r>
        <w:rPr>
          <w:rFonts w:hint="default" w:ascii="Times New Roman" w:hAnsi="Times New Roman" w:eastAsia="方正仿宋_GBK" w:cs="方正仿宋_GBK"/>
          <w:b w:val="0"/>
          <w:bCs w:val="0"/>
          <w:color w:val="auto"/>
          <w:kern w:val="2"/>
          <w:sz w:val="28"/>
          <w:szCs w:val="28"/>
          <w:lang w:val="en-US" w:eastAsia="zh-CN" w:bidi="ar-SA"/>
        </w:rPr>
        <w:t>的“三线一单”生态环境分区管控体系，推进生态环境治理体系和治理能力现代化，促进生态环境高水平保护和经济社会高质量发展。到2025年，全</w:t>
      </w:r>
      <w:r>
        <w:rPr>
          <w:rFonts w:hint="eastAsia" w:ascii="Times New Roman" w:hAnsi="Times New Roman" w:eastAsia="方正仿宋_GBK" w:cs="方正仿宋_GBK"/>
          <w:b w:val="0"/>
          <w:bCs w:val="0"/>
          <w:color w:val="auto"/>
          <w:kern w:val="2"/>
          <w:sz w:val="28"/>
          <w:szCs w:val="28"/>
          <w:lang w:val="en-US" w:eastAsia="zh-CN" w:bidi="ar-SA"/>
        </w:rPr>
        <w:t>县</w:t>
      </w:r>
      <w:r>
        <w:rPr>
          <w:rFonts w:hint="default" w:ascii="Times New Roman" w:hAnsi="Times New Roman" w:eastAsia="方正仿宋_GBK" w:cs="方正仿宋_GBK"/>
          <w:b w:val="0"/>
          <w:bCs w:val="0"/>
          <w:color w:val="auto"/>
          <w:kern w:val="2"/>
          <w:sz w:val="28"/>
          <w:szCs w:val="28"/>
          <w:lang w:val="en-US" w:eastAsia="zh-CN" w:bidi="ar-SA"/>
        </w:rPr>
        <w:t>生态空间得到有效保护，能源资源利用效率显著提升，主要污染物排放总量持续减少，“三湖”污染负荷得到有效控制并实现水质考核目标，生态安全屏障更加牢固，生态文明建设实现新进步。到2035年，全</w:t>
      </w:r>
      <w:r>
        <w:rPr>
          <w:rFonts w:hint="eastAsia" w:ascii="Times New Roman" w:hAnsi="Times New Roman" w:eastAsia="方正仿宋_GBK" w:cs="方正仿宋_GBK"/>
          <w:b w:val="0"/>
          <w:bCs w:val="0"/>
          <w:color w:val="auto"/>
          <w:kern w:val="2"/>
          <w:sz w:val="28"/>
          <w:szCs w:val="28"/>
          <w:lang w:val="en-US" w:eastAsia="zh-CN" w:bidi="ar-SA"/>
        </w:rPr>
        <w:t>县</w:t>
      </w:r>
      <w:r>
        <w:rPr>
          <w:rFonts w:hint="default" w:ascii="Times New Roman" w:hAnsi="Times New Roman" w:eastAsia="方正仿宋_GBK" w:cs="方正仿宋_GBK"/>
          <w:b w:val="0"/>
          <w:bCs w:val="0"/>
          <w:color w:val="auto"/>
          <w:kern w:val="2"/>
          <w:sz w:val="28"/>
          <w:szCs w:val="28"/>
          <w:lang w:val="en-US" w:eastAsia="zh-CN" w:bidi="ar-SA"/>
        </w:rPr>
        <w:t>生态环境质量全面改善并根本好转，“三湖”碧水长清，水质持续稳定向好，人与自然和谐发展，环境保护和经济发展实现良性循环。</w:t>
      </w:r>
    </w:p>
    <w:p w14:paraId="20FFBD72">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2、明确管控要求</w:t>
      </w:r>
    </w:p>
    <w:p w14:paraId="2D32D214">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玉溪市共划分82个生态环境管控单元，其中新平县涉及环境管控单元9个，其中优先保护单元3个，重点管控单元5个，一般管控单元1个</w:t>
      </w:r>
      <w:r>
        <w:rPr>
          <w:rFonts w:hint="eastAsia" w:ascii="Times New Roman" w:hAnsi="Times New Roman" w:eastAsia="方正仿宋_GBK" w:cs="方正仿宋_GBK"/>
          <w:b w:val="0"/>
          <w:bCs w:val="0"/>
          <w:color w:val="auto"/>
          <w:kern w:val="2"/>
          <w:sz w:val="28"/>
          <w:szCs w:val="28"/>
          <w:lang w:val="en-US" w:eastAsia="zh-CN" w:bidi="ar-SA"/>
        </w:rPr>
        <w:t>，管控要求如下：</w:t>
      </w:r>
    </w:p>
    <w:p w14:paraId="6C66E0E0">
      <w:pPr>
        <w:spacing w:after="0" w:line="360" w:lineRule="auto"/>
        <w:jc w:val="center"/>
        <w:rPr>
          <w:rFonts w:hint="default" w:ascii="Times New Roman" w:hAnsi="Times New Roman" w:eastAsia="宋体" w:cs="Times New Roman"/>
          <w:b w:val="0"/>
          <w:bCs w:val="0"/>
          <w:color w:val="auto"/>
          <w:kern w:val="2"/>
          <w:sz w:val="28"/>
          <w:szCs w:val="28"/>
          <w:highlight w:val="none"/>
          <w:lang w:val="en-US" w:eastAsia="zh-CN" w:bidi="ar-SA"/>
        </w:rPr>
      </w:pPr>
      <w:r>
        <w:rPr>
          <w:rFonts w:hint="default" w:ascii="Times New Roman" w:hAnsi="Times New Roman" w:eastAsia="宋体" w:cs="Times New Roman"/>
          <w:b w:val="0"/>
          <w:bCs w:val="0"/>
          <w:color w:val="auto"/>
          <w:kern w:val="2"/>
          <w:sz w:val="28"/>
          <w:szCs w:val="28"/>
          <w:highlight w:val="none"/>
          <w:lang w:val="en-US" w:eastAsia="zh-CN" w:bidi="ar-SA"/>
        </w:rPr>
        <w:t>表7.1-2</w:t>
      </w:r>
      <w:r>
        <w:rPr>
          <w:rFonts w:hint="eastAsia" w:ascii="Times New Roman" w:hAnsi="Times New Roman" w:eastAsia="宋体" w:cs="Times New Roman"/>
          <w:b w:val="0"/>
          <w:bCs w:val="0"/>
          <w:color w:val="auto"/>
          <w:kern w:val="2"/>
          <w:sz w:val="28"/>
          <w:szCs w:val="28"/>
          <w:highlight w:val="none"/>
          <w:lang w:val="en-US" w:eastAsia="zh-CN" w:bidi="ar-SA"/>
        </w:rPr>
        <w:t>新平县</w:t>
      </w:r>
      <w:r>
        <w:rPr>
          <w:rFonts w:hint="default" w:ascii="Times New Roman" w:hAnsi="Times New Roman" w:eastAsia="宋体" w:cs="Times New Roman"/>
          <w:b w:val="0"/>
          <w:bCs w:val="0"/>
          <w:color w:val="auto"/>
          <w:kern w:val="2"/>
          <w:sz w:val="28"/>
          <w:szCs w:val="28"/>
          <w:highlight w:val="none"/>
          <w:lang w:val="en-US" w:eastAsia="zh-CN" w:bidi="ar-SA"/>
        </w:rPr>
        <w:t>生态环境管控总体要求</w:t>
      </w:r>
    </w:p>
    <w:tbl>
      <w:tblPr>
        <w:tblStyle w:val="2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9"/>
        <w:gridCol w:w="6876"/>
      </w:tblGrid>
      <w:tr w14:paraId="770A0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blHeader/>
        </w:trPr>
        <w:tc>
          <w:tcPr>
            <w:tcW w:w="967" w:type="pct"/>
            <w:vAlign w:val="center"/>
          </w:tcPr>
          <w:p w14:paraId="284257F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outlineLvl w:val="9"/>
              <w:rPr>
                <w:rFonts w:hint="default" w:ascii="Times New Roman" w:hAnsi="Times New Roman" w:eastAsia="宋体" w:cs="Times New Roman"/>
                <w:b w:val="0"/>
                <w:bCs/>
                <w:color w:val="auto"/>
                <w:kern w:val="0"/>
                <w:sz w:val="24"/>
                <w:szCs w:val="24"/>
                <w:highlight w:val="none"/>
                <w:lang w:val="en-US" w:eastAsia="zh-CN" w:bidi="ar-SA"/>
              </w:rPr>
            </w:pPr>
            <w:r>
              <w:rPr>
                <w:rFonts w:hint="default" w:ascii="Times New Roman" w:hAnsi="Times New Roman" w:eastAsia="宋体" w:cs="Times New Roman"/>
                <w:b w:val="0"/>
                <w:bCs/>
                <w:color w:val="auto"/>
                <w:kern w:val="0"/>
                <w:sz w:val="24"/>
                <w:szCs w:val="24"/>
                <w:highlight w:val="none"/>
              </w:rPr>
              <w:t>管控领域</w:t>
            </w:r>
          </w:p>
        </w:tc>
        <w:tc>
          <w:tcPr>
            <w:tcW w:w="4032" w:type="pct"/>
            <w:vAlign w:val="center"/>
          </w:tcPr>
          <w:p w14:paraId="5A873FD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outlineLvl w:val="9"/>
              <w:rPr>
                <w:rFonts w:hint="default" w:ascii="Times New Roman" w:hAnsi="Times New Roman" w:eastAsia="宋体" w:cs="Times New Roman"/>
                <w:b w:val="0"/>
                <w:bCs/>
                <w:color w:val="auto"/>
                <w:kern w:val="0"/>
                <w:sz w:val="24"/>
                <w:szCs w:val="24"/>
                <w:highlight w:val="none"/>
                <w:lang w:val="en-US" w:eastAsia="zh-CN" w:bidi="ar-SA"/>
              </w:rPr>
            </w:pPr>
            <w:r>
              <w:rPr>
                <w:rFonts w:hint="default" w:ascii="Times New Roman" w:hAnsi="Times New Roman" w:eastAsia="宋体" w:cs="Times New Roman"/>
                <w:b w:val="0"/>
                <w:bCs/>
                <w:color w:val="auto"/>
                <w:kern w:val="0"/>
                <w:sz w:val="24"/>
                <w:szCs w:val="24"/>
                <w:highlight w:val="none"/>
              </w:rPr>
              <w:t>管控要求</w:t>
            </w:r>
          </w:p>
        </w:tc>
      </w:tr>
      <w:tr w14:paraId="737AA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7" w:type="pct"/>
            <w:vAlign w:val="center"/>
          </w:tcPr>
          <w:p w14:paraId="487E7F2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outlineLvl w:val="9"/>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rPr>
              <w:t>空间布局约束</w:t>
            </w:r>
          </w:p>
        </w:tc>
        <w:tc>
          <w:tcPr>
            <w:tcW w:w="4032" w:type="pct"/>
            <w:vAlign w:val="center"/>
          </w:tcPr>
          <w:p w14:paraId="2524C66F">
            <w:pPr>
              <w:keepNext w:val="0"/>
              <w:keepLines w:val="0"/>
              <w:pageBreakBefore w:val="0"/>
              <w:widowControl w:val="0"/>
              <w:numPr>
                <w:ilvl w:val="0"/>
                <w:numId w:val="1"/>
              </w:numPr>
              <w:kinsoku/>
              <w:wordWrap/>
              <w:overflowPunct/>
              <w:topLinePunct w:val="0"/>
              <w:autoSpaceDE/>
              <w:autoSpaceDN/>
              <w:bidi w:val="0"/>
              <w:adjustRightInd w:val="0"/>
              <w:snapToGrid w:val="0"/>
              <w:spacing w:line="240" w:lineRule="auto"/>
              <w:textAlignment w:val="auto"/>
              <w:outlineLvl w:val="9"/>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元江水系干流沿岸和三大高原湖泊流域，严格控制石化、水泥、有色金属冶炼等项目的环境风险，合理布局生产装置及危险化学品仓储等设施。</w:t>
            </w:r>
          </w:p>
          <w:p w14:paraId="7C26AEBE">
            <w:pPr>
              <w:keepNext w:val="0"/>
              <w:keepLines w:val="0"/>
              <w:pageBreakBefore w:val="0"/>
              <w:widowControl w:val="0"/>
              <w:numPr>
                <w:ilvl w:val="0"/>
                <w:numId w:val="1"/>
              </w:numPr>
              <w:kinsoku/>
              <w:wordWrap/>
              <w:overflowPunct/>
              <w:topLinePunct w:val="0"/>
              <w:autoSpaceDE/>
              <w:autoSpaceDN/>
              <w:bidi w:val="0"/>
              <w:adjustRightInd w:val="0"/>
              <w:snapToGrid w:val="0"/>
              <w:spacing w:line="240" w:lineRule="auto"/>
              <w:textAlignment w:val="auto"/>
              <w:outlineLvl w:val="9"/>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对不符合城市发展规划的钢铁企业，支持其实施减量、环保搬迁或转型转产。</w:t>
            </w:r>
          </w:p>
          <w:p w14:paraId="5B30CA90">
            <w:pPr>
              <w:keepNext w:val="0"/>
              <w:keepLines w:val="0"/>
              <w:pageBreakBefore w:val="0"/>
              <w:widowControl w:val="0"/>
              <w:numPr>
                <w:ilvl w:val="0"/>
                <w:numId w:val="1"/>
              </w:numPr>
              <w:kinsoku/>
              <w:wordWrap/>
              <w:overflowPunct/>
              <w:topLinePunct w:val="0"/>
              <w:autoSpaceDE/>
              <w:autoSpaceDN/>
              <w:bidi w:val="0"/>
              <w:adjustRightInd w:val="0"/>
              <w:snapToGrid w:val="0"/>
              <w:spacing w:line="240" w:lineRule="auto"/>
              <w:textAlignment w:val="auto"/>
              <w:outlineLvl w:val="9"/>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严格控制水污染严重地区和敏感区域高耗水、高污染行业发展，畜禽规模化养殖、食品加工、医药制造等涉水项目向环境容量大的县布局。</w:t>
            </w:r>
          </w:p>
        </w:tc>
      </w:tr>
      <w:tr w14:paraId="383F9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7" w:type="pct"/>
            <w:vAlign w:val="center"/>
          </w:tcPr>
          <w:p w14:paraId="2FA821D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outlineLvl w:val="9"/>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rPr>
              <w:t>污染物排放管控</w:t>
            </w:r>
          </w:p>
        </w:tc>
        <w:tc>
          <w:tcPr>
            <w:tcW w:w="4032" w:type="pct"/>
            <w:vAlign w:val="center"/>
          </w:tcPr>
          <w:p w14:paraId="1E61FE91">
            <w:pPr>
              <w:keepNext w:val="0"/>
              <w:keepLines w:val="0"/>
              <w:pageBreakBefore w:val="0"/>
              <w:widowControl w:val="0"/>
              <w:kinsoku/>
              <w:wordWrap/>
              <w:overflowPunct/>
              <w:topLinePunct w:val="0"/>
              <w:autoSpaceDE/>
              <w:autoSpaceDN/>
              <w:bidi w:val="0"/>
              <w:adjustRightInd w:val="0"/>
              <w:snapToGrid w:val="0"/>
              <w:spacing w:line="240" w:lineRule="auto"/>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1.加大“两江”流域的保护和治理</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重点流域水污染严重地区</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新建、</w:t>
            </w:r>
            <w:r>
              <w:rPr>
                <w:rFonts w:hint="default" w:ascii="Times New Roman" w:hAnsi="Times New Roman" w:eastAsia="宋体" w:cs="Times New Roman"/>
                <w:color w:val="auto"/>
                <w:sz w:val="24"/>
                <w:szCs w:val="24"/>
                <w:highlight w:val="none"/>
                <w:lang w:eastAsia="zh-CN"/>
              </w:rPr>
              <w:t>改</w:t>
            </w:r>
            <w:r>
              <w:rPr>
                <w:rFonts w:hint="default" w:ascii="Times New Roman" w:hAnsi="Times New Roman" w:eastAsia="宋体" w:cs="Times New Roman"/>
                <w:color w:val="auto"/>
                <w:sz w:val="24"/>
                <w:szCs w:val="24"/>
                <w:highlight w:val="none"/>
              </w:rPr>
              <w:t>建、扩建重点行业建设项目实行主要污染物排放减量置换。</w:t>
            </w:r>
          </w:p>
          <w:p w14:paraId="7585EB59">
            <w:pPr>
              <w:keepNext w:val="0"/>
              <w:keepLines w:val="0"/>
              <w:pageBreakBefore w:val="0"/>
              <w:widowControl w:val="0"/>
              <w:kinsoku/>
              <w:wordWrap/>
              <w:overflowPunct/>
              <w:topLinePunct w:val="0"/>
              <w:autoSpaceDE/>
              <w:autoSpaceDN/>
              <w:bidi w:val="0"/>
              <w:adjustRightInd w:val="0"/>
              <w:snapToGrid w:val="0"/>
              <w:spacing w:line="240" w:lineRule="auto"/>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2.规模畜禽养殖场废弃物综合利用率达到90%以上</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规模养殖场粪污处理设施装备配套率达到100%。</w:t>
            </w:r>
          </w:p>
          <w:p w14:paraId="5C7CA0A0">
            <w:pPr>
              <w:keepNext w:val="0"/>
              <w:keepLines w:val="0"/>
              <w:pageBreakBefore w:val="0"/>
              <w:widowControl w:val="0"/>
              <w:kinsoku/>
              <w:wordWrap/>
              <w:overflowPunct/>
              <w:topLinePunct w:val="0"/>
              <w:autoSpaceDE/>
              <w:autoSpaceDN/>
              <w:bidi w:val="0"/>
              <w:adjustRightInd w:val="0"/>
              <w:snapToGrid w:val="0"/>
              <w:spacing w:line="240" w:lineRule="auto"/>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3.严格保护城乡饮用水水源地</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整治饮用水水源保护区内的污染源</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确保饮水安全。实现城镇生活污水、垃圾处理设施全覆盖和稳定运行。推进农村面源污染治理。推进工业园区、工矿企业污水处理设施全</w:t>
            </w:r>
            <w:r>
              <w:rPr>
                <w:rFonts w:hint="eastAsia" w:ascii="Times New Roman" w:hAnsi="Times New Roman" w:eastAsia="宋体" w:cs="Times New Roman"/>
                <w:color w:val="auto"/>
                <w:sz w:val="24"/>
                <w:szCs w:val="24"/>
                <w:highlight w:val="none"/>
                <w:lang w:eastAsia="zh-CN"/>
              </w:rPr>
              <w:t>覆盖</w:t>
            </w:r>
            <w:r>
              <w:rPr>
                <w:rFonts w:hint="default" w:ascii="Times New Roman" w:hAnsi="Times New Roman" w:eastAsia="宋体" w:cs="Times New Roman"/>
                <w:color w:val="auto"/>
                <w:sz w:val="24"/>
                <w:szCs w:val="24"/>
                <w:highlight w:val="none"/>
              </w:rPr>
              <w:t>和利用效率最大化。</w:t>
            </w:r>
          </w:p>
          <w:p w14:paraId="510E997F">
            <w:pPr>
              <w:keepNext w:val="0"/>
              <w:keepLines w:val="0"/>
              <w:pageBreakBefore w:val="0"/>
              <w:widowControl w:val="0"/>
              <w:kinsoku/>
              <w:wordWrap/>
              <w:overflowPunct/>
              <w:topLinePunct w:val="0"/>
              <w:autoSpaceDE/>
              <w:autoSpaceDN/>
              <w:bidi w:val="0"/>
              <w:adjustRightInd w:val="0"/>
              <w:snapToGrid w:val="0"/>
              <w:spacing w:line="240" w:lineRule="auto"/>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4.加大VOCs减排力度</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扎实推动PM</w:t>
            </w:r>
            <w:r>
              <w:rPr>
                <w:rFonts w:hint="default" w:ascii="Times New Roman" w:hAnsi="Times New Roman" w:eastAsia="宋体" w:cs="Times New Roman"/>
                <w:color w:val="auto"/>
                <w:sz w:val="24"/>
                <w:szCs w:val="24"/>
                <w:highlight w:val="none"/>
                <w:vertAlign w:val="subscript"/>
              </w:rPr>
              <w:t>2.5</w:t>
            </w:r>
            <w:r>
              <w:rPr>
                <w:rFonts w:hint="default" w:ascii="Times New Roman" w:hAnsi="Times New Roman" w:eastAsia="宋体" w:cs="Times New Roman"/>
                <w:color w:val="auto"/>
                <w:sz w:val="24"/>
                <w:szCs w:val="24"/>
                <w:highlight w:val="none"/>
              </w:rPr>
              <w:t>和臭氧协同控制</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有效提升优良天数比率。在持续推进氮氧化物减排的基础上</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重点加大石化、</w:t>
            </w:r>
            <w:r>
              <w:rPr>
                <w:rFonts w:hint="default" w:ascii="Times New Roman" w:hAnsi="Times New Roman" w:eastAsia="宋体" w:cs="Times New Roman"/>
                <w:color w:val="auto"/>
                <w:sz w:val="24"/>
                <w:szCs w:val="24"/>
                <w:highlight w:val="none"/>
                <w:lang w:eastAsia="zh-CN"/>
              </w:rPr>
              <w:t>水泥</w:t>
            </w:r>
            <w:r>
              <w:rPr>
                <w:rFonts w:hint="default" w:ascii="Times New Roman" w:hAnsi="Times New Roman" w:eastAsia="宋体" w:cs="Times New Roman"/>
                <w:color w:val="auto"/>
                <w:sz w:val="24"/>
                <w:szCs w:val="24"/>
                <w:highlight w:val="none"/>
              </w:rPr>
              <w:t>及含挥发性有机化合物产品制造企业和喷漆、制鞋、印刷、电子、服装干洗等行业清洁生产和污染治理力度</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逐步淘汰挥发性有机化合物含量高的产品生产和使用</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严控生产过程中逃逸性有机气体的排放。</w:t>
            </w:r>
          </w:p>
          <w:p w14:paraId="7BE546D8">
            <w:pPr>
              <w:keepNext w:val="0"/>
              <w:keepLines w:val="0"/>
              <w:pageBreakBefore w:val="0"/>
              <w:widowControl w:val="0"/>
              <w:kinsoku/>
              <w:wordWrap/>
              <w:overflowPunct/>
              <w:topLinePunct w:val="0"/>
              <w:autoSpaceDE/>
              <w:autoSpaceDN/>
              <w:bidi w:val="0"/>
              <w:adjustRightInd w:val="0"/>
              <w:snapToGrid w:val="0"/>
              <w:spacing w:line="240" w:lineRule="auto"/>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5.提高钢铁、水泥等高耗能产业减量置换比例</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把高能效和低碳排放纳入产能减量置换门槛</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明确重点行业二氧化碳排放达峰目标</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控制工业、交通、建筑等行业温室气体排放。实施矿冶、建材、制糖、造纸等非电行业烟气脱硫脱硝工程。</w:t>
            </w:r>
          </w:p>
          <w:p w14:paraId="5E01044B">
            <w:pPr>
              <w:keepNext w:val="0"/>
              <w:keepLines w:val="0"/>
              <w:pageBreakBefore w:val="0"/>
              <w:widowControl w:val="0"/>
              <w:kinsoku/>
              <w:wordWrap/>
              <w:overflowPunct/>
              <w:topLinePunct w:val="0"/>
              <w:autoSpaceDE/>
              <w:autoSpaceDN/>
              <w:bidi w:val="0"/>
              <w:adjustRightInd w:val="0"/>
              <w:snapToGrid w:val="0"/>
              <w:spacing w:line="240" w:lineRule="auto"/>
              <w:textAlignment w:val="auto"/>
              <w:outlineLvl w:val="9"/>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sz w:val="24"/>
                <w:szCs w:val="24"/>
                <w:highlight w:val="none"/>
              </w:rPr>
              <w:t>6.加强土壤污染防治</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对农用地实施分类管理</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对建设用地实行准入管理</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确定土壤环境污染重点监管企业名单</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实施土壤污染风险管控和修复名录制度</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对污染地块开发利用实行联动监管。</w:t>
            </w:r>
          </w:p>
        </w:tc>
      </w:tr>
      <w:tr w14:paraId="65731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2" w:hRule="atLeast"/>
        </w:trPr>
        <w:tc>
          <w:tcPr>
            <w:tcW w:w="967" w:type="pct"/>
            <w:vAlign w:val="center"/>
          </w:tcPr>
          <w:p w14:paraId="4B8D7BC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outlineLvl w:val="9"/>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环境风险防控</w:t>
            </w:r>
          </w:p>
        </w:tc>
        <w:tc>
          <w:tcPr>
            <w:tcW w:w="4032" w:type="pct"/>
            <w:vAlign w:val="center"/>
          </w:tcPr>
          <w:p w14:paraId="16A4A439">
            <w:pPr>
              <w:keepNext w:val="0"/>
              <w:keepLines w:val="0"/>
              <w:pageBreakBefore w:val="0"/>
              <w:widowControl w:val="0"/>
              <w:kinsoku/>
              <w:wordWrap/>
              <w:overflowPunct/>
              <w:topLinePunct w:val="0"/>
              <w:autoSpaceDE/>
              <w:autoSpaceDN/>
              <w:bidi w:val="0"/>
              <w:adjustRightInd w:val="0"/>
              <w:snapToGrid w:val="0"/>
              <w:spacing w:line="240" w:lineRule="auto"/>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1.强化与其他滇中城市的大气污染防治联防联控协作机制</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加强区域内重污染天气应急联动。</w:t>
            </w:r>
          </w:p>
          <w:p w14:paraId="2FFDB610">
            <w:pPr>
              <w:keepNext w:val="0"/>
              <w:keepLines w:val="0"/>
              <w:pageBreakBefore w:val="0"/>
              <w:widowControl w:val="0"/>
              <w:kinsoku/>
              <w:wordWrap/>
              <w:overflowPunct/>
              <w:topLinePunct w:val="0"/>
              <w:autoSpaceDE/>
              <w:autoSpaceDN/>
              <w:bidi w:val="0"/>
              <w:adjustRightInd w:val="0"/>
              <w:snapToGrid w:val="0"/>
              <w:spacing w:line="240" w:lineRule="auto"/>
              <w:textAlignment w:val="auto"/>
              <w:outlineLvl w:val="9"/>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2.加强环境风险防控和应急管理</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制定和完善突发环境事件和饮用水水源地突发环境事件应急预案</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加强风险防控和突发环境事件应急处理处置能力</w:t>
            </w:r>
            <w:r>
              <w:rPr>
                <w:rFonts w:hint="default" w:ascii="Times New Roman" w:hAnsi="Times New Roman" w:eastAsia="宋体" w:cs="Times New Roman"/>
                <w:color w:val="auto"/>
                <w:sz w:val="24"/>
                <w:szCs w:val="24"/>
                <w:highlight w:val="none"/>
                <w:lang w:eastAsia="zh-CN"/>
              </w:rPr>
              <w:t>。</w:t>
            </w:r>
          </w:p>
        </w:tc>
      </w:tr>
      <w:tr w14:paraId="3E68B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2" w:hRule="atLeast"/>
        </w:trPr>
        <w:tc>
          <w:tcPr>
            <w:tcW w:w="967" w:type="pct"/>
            <w:vAlign w:val="center"/>
          </w:tcPr>
          <w:p w14:paraId="7912D33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outlineLvl w:val="9"/>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lang w:eastAsia="zh-CN"/>
              </w:rPr>
              <w:t>资源开发利用</w:t>
            </w:r>
            <w:r>
              <w:rPr>
                <w:rFonts w:hint="default" w:ascii="Times New Roman" w:hAnsi="Times New Roman" w:eastAsia="宋体" w:cs="Times New Roman"/>
                <w:color w:val="auto"/>
                <w:kern w:val="0"/>
                <w:sz w:val="24"/>
                <w:szCs w:val="24"/>
                <w:highlight w:val="none"/>
              </w:rPr>
              <w:t>效率</w:t>
            </w:r>
          </w:p>
        </w:tc>
        <w:tc>
          <w:tcPr>
            <w:tcW w:w="4032" w:type="pct"/>
            <w:vAlign w:val="center"/>
          </w:tcPr>
          <w:p w14:paraId="2463EAC1">
            <w:pPr>
              <w:keepNext w:val="0"/>
              <w:keepLines w:val="0"/>
              <w:pageBreakBefore w:val="0"/>
              <w:widowControl w:val="0"/>
              <w:kinsoku/>
              <w:wordWrap/>
              <w:overflowPunct/>
              <w:topLinePunct w:val="0"/>
              <w:autoSpaceDE/>
              <w:autoSpaceDN/>
              <w:bidi w:val="0"/>
              <w:adjustRightInd w:val="0"/>
              <w:snapToGrid w:val="0"/>
              <w:spacing w:line="240" w:lineRule="auto"/>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1.降低水、土地、矿产资源消耗强度</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强化约束性指标管理。</w:t>
            </w:r>
          </w:p>
          <w:p w14:paraId="6509950A">
            <w:pPr>
              <w:keepNext w:val="0"/>
              <w:keepLines w:val="0"/>
              <w:pageBreakBefore w:val="0"/>
              <w:widowControl w:val="0"/>
              <w:kinsoku/>
              <w:wordWrap/>
              <w:overflowPunct/>
              <w:topLinePunct w:val="0"/>
              <w:autoSpaceDE/>
              <w:autoSpaceDN/>
              <w:bidi w:val="0"/>
              <w:adjustRightInd w:val="0"/>
              <w:snapToGrid w:val="0"/>
              <w:spacing w:line="240" w:lineRule="auto"/>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2.实行最严格的水资源管理制度</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严格用水总量、强度指标管理</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严格取水管控</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建立重点监控取水单位名录</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强化重点监控取水单位管理。</w:t>
            </w:r>
            <w:r>
              <w:rPr>
                <w:rFonts w:hint="eastAsia" w:ascii="Times New Roman" w:hAnsi="Times New Roman" w:eastAsia="宋体" w:cs="Times New Roman"/>
                <w:color w:val="auto"/>
                <w:sz w:val="24"/>
                <w:szCs w:val="24"/>
                <w:highlight w:val="none"/>
                <w:lang w:val="en-US" w:eastAsia="zh-CN"/>
              </w:rPr>
              <w:t>全县</w:t>
            </w:r>
            <w:r>
              <w:rPr>
                <w:rFonts w:hint="default" w:ascii="Times New Roman" w:hAnsi="Times New Roman" w:eastAsia="宋体" w:cs="Times New Roman"/>
                <w:color w:val="auto"/>
                <w:sz w:val="24"/>
                <w:szCs w:val="24"/>
                <w:highlight w:val="none"/>
              </w:rPr>
              <w:t>年用水总量、万元工业增加值用水量降幅等指标达到省考核要求。</w:t>
            </w:r>
          </w:p>
          <w:p w14:paraId="2D35F049">
            <w:pPr>
              <w:keepNext w:val="0"/>
              <w:keepLines w:val="0"/>
              <w:pageBreakBefore w:val="0"/>
              <w:widowControl w:val="0"/>
              <w:kinsoku/>
              <w:wordWrap/>
              <w:overflowPunct/>
              <w:topLinePunct w:val="0"/>
              <w:autoSpaceDE/>
              <w:autoSpaceDN/>
              <w:bidi w:val="0"/>
              <w:adjustRightInd w:val="0"/>
              <w:snapToGrid w:val="0"/>
              <w:spacing w:line="240" w:lineRule="auto"/>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3.坚持最严格的耕地保护制度</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守住耕地保护红线。坚持节约用地</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严格执行耕地占补平衡等制度</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提高土地投资强度和单位面积产出水平。</w:t>
            </w:r>
          </w:p>
          <w:p w14:paraId="1ECA8F58">
            <w:pPr>
              <w:keepNext w:val="0"/>
              <w:keepLines w:val="0"/>
              <w:pageBreakBefore w:val="0"/>
              <w:widowControl w:val="0"/>
              <w:kinsoku/>
              <w:wordWrap/>
              <w:overflowPunct/>
              <w:topLinePunct w:val="0"/>
              <w:autoSpaceDE/>
              <w:autoSpaceDN/>
              <w:bidi w:val="0"/>
              <w:adjustRightInd w:val="0"/>
              <w:snapToGrid w:val="0"/>
              <w:spacing w:line="240" w:lineRule="auto"/>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4.全市单位GDP能耗持续下降</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能耗增量控制目标达到省考核要求。</w:t>
            </w:r>
          </w:p>
          <w:p w14:paraId="1958EA36">
            <w:pPr>
              <w:keepNext w:val="0"/>
              <w:keepLines w:val="0"/>
              <w:pageBreakBefore w:val="0"/>
              <w:widowControl w:val="0"/>
              <w:kinsoku/>
              <w:wordWrap/>
              <w:overflowPunct/>
              <w:topLinePunct w:val="0"/>
              <w:autoSpaceDE/>
              <w:autoSpaceDN/>
              <w:bidi w:val="0"/>
              <w:adjustRightInd w:val="0"/>
              <w:snapToGrid w:val="0"/>
              <w:spacing w:line="240" w:lineRule="auto"/>
              <w:textAlignment w:val="auto"/>
              <w:outlineLvl w:val="9"/>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5.高污染燃料禁燃区按照《高污染燃料目录》及当地有关禁燃区管理规定执行。</w:t>
            </w:r>
          </w:p>
        </w:tc>
      </w:tr>
    </w:tbl>
    <w:p w14:paraId="7C371AC4">
      <w:pPr>
        <w:spacing w:after="0" w:line="360" w:lineRule="auto"/>
        <w:jc w:val="center"/>
        <w:rPr>
          <w:rFonts w:hint="default" w:ascii="Times New Roman" w:hAnsi="Times New Roman" w:eastAsia="宋体" w:cs="Times New Roman"/>
          <w:b w:val="0"/>
          <w:bCs w:val="0"/>
          <w:color w:val="auto"/>
          <w:kern w:val="2"/>
          <w:sz w:val="28"/>
          <w:szCs w:val="28"/>
          <w:highlight w:val="none"/>
          <w:lang w:val="en-US" w:eastAsia="zh-CN" w:bidi="ar-SA"/>
        </w:rPr>
      </w:pPr>
      <w:r>
        <w:rPr>
          <w:rFonts w:hint="default" w:ascii="Times New Roman" w:hAnsi="Times New Roman" w:eastAsia="宋体" w:cs="Times New Roman"/>
          <w:b w:val="0"/>
          <w:bCs w:val="0"/>
          <w:color w:val="auto"/>
          <w:kern w:val="2"/>
          <w:sz w:val="28"/>
          <w:szCs w:val="28"/>
          <w:highlight w:val="none"/>
          <w:lang w:val="en-US" w:eastAsia="zh-CN" w:bidi="ar-SA"/>
        </w:rPr>
        <w:t>表7.1-3</w:t>
      </w:r>
      <w:r>
        <w:rPr>
          <w:rFonts w:hint="eastAsia" w:ascii="Times New Roman" w:hAnsi="Times New Roman" w:eastAsia="宋体" w:cs="Times New Roman"/>
          <w:b w:val="0"/>
          <w:bCs w:val="0"/>
          <w:color w:val="auto"/>
          <w:kern w:val="2"/>
          <w:sz w:val="28"/>
          <w:szCs w:val="28"/>
          <w:highlight w:val="none"/>
          <w:lang w:val="en-US" w:eastAsia="zh-CN" w:bidi="ar-SA"/>
        </w:rPr>
        <w:t>新平县</w:t>
      </w:r>
      <w:r>
        <w:rPr>
          <w:rFonts w:hint="default" w:ascii="Times New Roman" w:hAnsi="Times New Roman" w:eastAsia="宋体" w:cs="Times New Roman"/>
          <w:b w:val="0"/>
          <w:bCs w:val="0"/>
          <w:color w:val="auto"/>
          <w:kern w:val="2"/>
          <w:sz w:val="28"/>
          <w:szCs w:val="28"/>
          <w:highlight w:val="none"/>
          <w:lang w:val="en-US" w:eastAsia="zh-CN" w:bidi="ar-SA"/>
        </w:rPr>
        <w:t>优先保护单元、一般管控单元生态环境准入清单</w:t>
      </w:r>
    </w:p>
    <w:tbl>
      <w:tblPr>
        <w:tblStyle w:val="26"/>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5"/>
        <w:gridCol w:w="1345"/>
        <w:gridCol w:w="6273"/>
      </w:tblGrid>
      <w:tr w14:paraId="45CF5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blHeader/>
        </w:trPr>
        <w:tc>
          <w:tcPr>
            <w:tcW w:w="1320" w:type="pct"/>
            <w:gridSpan w:val="2"/>
            <w:vAlign w:val="center"/>
          </w:tcPr>
          <w:p w14:paraId="2C905DA7">
            <w:pPr>
              <w:keepNext w:val="0"/>
              <w:keepLines w:val="0"/>
              <w:pageBreakBefore w:val="0"/>
              <w:widowControl/>
              <w:kinsoku/>
              <w:wordWrap/>
              <w:overflowPunct/>
              <w:topLinePunct w:val="0"/>
              <w:autoSpaceDE/>
              <w:autoSpaceDN/>
              <w:bidi w:val="0"/>
              <w:adjustRightInd w:val="0"/>
              <w:snapToGrid w:val="0"/>
              <w:spacing w:line="240" w:lineRule="auto"/>
              <w:jc w:val="center"/>
              <w:outlineLvl w:val="9"/>
              <w:rPr>
                <w:rFonts w:hint="default" w:ascii="Times New Roman" w:hAnsi="Times New Roman" w:eastAsia="宋体" w:cs="Times New Roman"/>
                <w:b w:val="0"/>
                <w:bCs/>
                <w:color w:val="auto"/>
                <w:kern w:val="0"/>
                <w:sz w:val="24"/>
                <w:szCs w:val="24"/>
                <w:highlight w:val="none"/>
                <w:lang w:val="en-US" w:eastAsia="zh-CN" w:bidi="ar-SA"/>
              </w:rPr>
            </w:pPr>
            <w:r>
              <w:rPr>
                <w:rFonts w:hint="default" w:ascii="Times New Roman" w:hAnsi="Times New Roman" w:eastAsia="宋体" w:cs="Times New Roman"/>
                <w:b w:val="0"/>
                <w:bCs/>
                <w:color w:val="auto"/>
                <w:kern w:val="0"/>
                <w:sz w:val="24"/>
                <w:szCs w:val="24"/>
                <w:highlight w:val="none"/>
              </w:rPr>
              <w:t>单元名称</w:t>
            </w:r>
          </w:p>
        </w:tc>
        <w:tc>
          <w:tcPr>
            <w:tcW w:w="3679" w:type="pct"/>
            <w:vAlign w:val="center"/>
          </w:tcPr>
          <w:p w14:paraId="5652002F">
            <w:pPr>
              <w:keepNext w:val="0"/>
              <w:keepLines w:val="0"/>
              <w:pageBreakBefore w:val="0"/>
              <w:widowControl/>
              <w:kinsoku/>
              <w:wordWrap/>
              <w:overflowPunct/>
              <w:topLinePunct w:val="0"/>
              <w:autoSpaceDE/>
              <w:autoSpaceDN/>
              <w:bidi w:val="0"/>
              <w:adjustRightInd w:val="0"/>
              <w:snapToGrid w:val="0"/>
              <w:spacing w:line="240" w:lineRule="auto"/>
              <w:jc w:val="center"/>
              <w:outlineLvl w:val="9"/>
              <w:rPr>
                <w:rFonts w:hint="default" w:ascii="Times New Roman" w:hAnsi="Times New Roman" w:eastAsia="宋体" w:cs="Times New Roman"/>
                <w:b w:val="0"/>
                <w:bCs/>
                <w:color w:val="auto"/>
                <w:kern w:val="0"/>
                <w:sz w:val="24"/>
                <w:szCs w:val="24"/>
                <w:highlight w:val="none"/>
                <w:lang w:val="en-US" w:eastAsia="zh-CN" w:bidi="ar-SA"/>
              </w:rPr>
            </w:pPr>
            <w:r>
              <w:rPr>
                <w:rFonts w:hint="default" w:ascii="Times New Roman" w:hAnsi="Times New Roman" w:eastAsia="宋体" w:cs="Times New Roman"/>
                <w:b w:val="0"/>
                <w:bCs/>
                <w:color w:val="auto"/>
                <w:kern w:val="0"/>
                <w:sz w:val="24"/>
                <w:szCs w:val="24"/>
                <w:highlight w:val="none"/>
              </w:rPr>
              <w:t>管控要求</w:t>
            </w:r>
          </w:p>
        </w:tc>
      </w:tr>
      <w:tr w14:paraId="7AEFC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1" w:type="pct"/>
            <w:vMerge w:val="restart"/>
            <w:vAlign w:val="center"/>
          </w:tcPr>
          <w:p w14:paraId="24767BC9">
            <w:pPr>
              <w:keepNext w:val="0"/>
              <w:keepLines w:val="0"/>
              <w:pageBreakBefore w:val="0"/>
              <w:widowControl/>
              <w:kinsoku/>
              <w:wordWrap/>
              <w:overflowPunct/>
              <w:topLinePunct w:val="0"/>
              <w:autoSpaceDE/>
              <w:autoSpaceDN/>
              <w:bidi w:val="0"/>
              <w:adjustRightInd w:val="0"/>
              <w:snapToGrid w:val="0"/>
              <w:spacing w:line="240" w:lineRule="auto"/>
              <w:jc w:val="center"/>
              <w:textAlignment w:val="bottom"/>
              <w:outlineLvl w:val="9"/>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rPr>
              <w:t>各市县优先保护单元</w:t>
            </w:r>
          </w:p>
        </w:tc>
        <w:tc>
          <w:tcPr>
            <w:tcW w:w="788" w:type="pct"/>
            <w:vAlign w:val="center"/>
          </w:tcPr>
          <w:p w14:paraId="5F0382D1">
            <w:pPr>
              <w:keepNext w:val="0"/>
              <w:keepLines w:val="0"/>
              <w:pageBreakBefore w:val="0"/>
              <w:widowControl/>
              <w:kinsoku/>
              <w:wordWrap/>
              <w:overflowPunct/>
              <w:topLinePunct w:val="0"/>
              <w:autoSpaceDE/>
              <w:autoSpaceDN/>
              <w:bidi w:val="0"/>
              <w:adjustRightInd w:val="0"/>
              <w:snapToGrid w:val="0"/>
              <w:spacing w:line="240" w:lineRule="auto"/>
              <w:jc w:val="center"/>
              <w:textAlignment w:val="bottom"/>
              <w:outlineLvl w:val="9"/>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rPr>
              <w:t>生态保护红线优先保护单元</w:t>
            </w:r>
          </w:p>
        </w:tc>
        <w:tc>
          <w:tcPr>
            <w:tcW w:w="3679" w:type="pct"/>
            <w:vAlign w:val="center"/>
          </w:tcPr>
          <w:p w14:paraId="17F5689C">
            <w:pPr>
              <w:keepNext w:val="0"/>
              <w:keepLines w:val="0"/>
              <w:pageBreakBefore w:val="0"/>
              <w:widowControl/>
              <w:kinsoku/>
              <w:wordWrap/>
              <w:overflowPunct/>
              <w:topLinePunct w:val="0"/>
              <w:autoSpaceDE/>
              <w:autoSpaceDN/>
              <w:bidi w:val="0"/>
              <w:adjustRightInd w:val="0"/>
              <w:snapToGrid w:val="0"/>
              <w:spacing w:line="240" w:lineRule="auto"/>
              <w:jc w:val="left"/>
              <w:outlineLvl w:val="9"/>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1.生态保护红线内</w:t>
            </w:r>
            <w:r>
              <w:rPr>
                <w:rFonts w:hint="default" w:ascii="Times New Roman" w:hAnsi="Times New Roman"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自然保护地核心保护区原则上禁止人为活动</w:t>
            </w:r>
            <w:r>
              <w:rPr>
                <w:rFonts w:hint="default" w:ascii="Times New Roman" w:hAnsi="Times New Roman"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其他区域严格禁止开发性生产性建设活动</w:t>
            </w:r>
            <w:r>
              <w:rPr>
                <w:rFonts w:hint="default" w:ascii="Times New Roman" w:hAnsi="Times New Roman"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法律法规另有规定的</w:t>
            </w:r>
            <w:r>
              <w:rPr>
                <w:rFonts w:hint="default" w:ascii="Times New Roman" w:hAnsi="Times New Roman"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从其规定。</w:t>
            </w:r>
          </w:p>
          <w:p w14:paraId="6FD6D3CC">
            <w:pPr>
              <w:keepNext w:val="0"/>
              <w:keepLines w:val="0"/>
              <w:pageBreakBefore w:val="0"/>
              <w:widowControl/>
              <w:kinsoku/>
              <w:wordWrap/>
              <w:overflowPunct/>
              <w:topLinePunct w:val="0"/>
              <w:autoSpaceDE/>
              <w:autoSpaceDN/>
              <w:bidi w:val="0"/>
              <w:adjustRightInd w:val="0"/>
              <w:snapToGrid w:val="0"/>
              <w:spacing w:line="240" w:lineRule="auto"/>
              <w:jc w:val="left"/>
              <w:outlineLvl w:val="9"/>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rPr>
              <w:t>2.生态保护红线相关管控办法出台后</w:t>
            </w:r>
            <w:r>
              <w:rPr>
                <w:rFonts w:hint="default" w:ascii="Times New Roman" w:hAnsi="Times New Roman"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依据其管理规定执行。</w:t>
            </w:r>
          </w:p>
        </w:tc>
      </w:tr>
      <w:tr w14:paraId="49239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1" w:type="pct"/>
            <w:vMerge w:val="continue"/>
          </w:tcPr>
          <w:p w14:paraId="63E75B91">
            <w:pPr>
              <w:pStyle w:val="23"/>
              <w:adjustRightInd w:val="0"/>
              <w:snapToGrid w:val="0"/>
              <w:spacing w:before="0" w:beforeAutospacing="0" w:after="0" w:afterAutospacing="0" w:line="240" w:lineRule="auto"/>
              <w:jc w:val="center"/>
              <w:outlineLvl w:val="9"/>
              <w:rPr>
                <w:rStyle w:val="28"/>
                <w:rFonts w:hint="default" w:ascii="Times New Roman" w:hAnsi="Times New Roman" w:eastAsia="宋体" w:cs="Times New Roman"/>
                <w:b w:val="0"/>
                <w:bCs w:val="0"/>
                <w:color w:val="auto"/>
                <w:sz w:val="24"/>
                <w:szCs w:val="24"/>
                <w:highlight w:val="none"/>
                <w:vertAlign w:val="baseline"/>
              </w:rPr>
            </w:pPr>
          </w:p>
        </w:tc>
        <w:tc>
          <w:tcPr>
            <w:tcW w:w="788" w:type="pct"/>
            <w:vAlign w:val="center"/>
          </w:tcPr>
          <w:p w14:paraId="0763A1F8">
            <w:pPr>
              <w:keepNext w:val="0"/>
              <w:keepLines w:val="0"/>
              <w:pageBreakBefore w:val="0"/>
              <w:widowControl/>
              <w:kinsoku/>
              <w:wordWrap/>
              <w:overflowPunct/>
              <w:topLinePunct w:val="0"/>
              <w:autoSpaceDE/>
              <w:autoSpaceDN/>
              <w:bidi w:val="0"/>
              <w:adjustRightInd w:val="0"/>
              <w:snapToGrid w:val="0"/>
              <w:spacing w:line="240" w:lineRule="auto"/>
              <w:jc w:val="center"/>
              <w:textAlignment w:val="bottom"/>
              <w:outlineLvl w:val="9"/>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rPr>
              <w:t>一般生态空间优先保护单元</w:t>
            </w:r>
          </w:p>
        </w:tc>
        <w:tc>
          <w:tcPr>
            <w:tcW w:w="3679" w:type="pct"/>
            <w:vAlign w:val="center"/>
          </w:tcPr>
          <w:p w14:paraId="7CA68E07">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jc w:val="left"/>
              <w:outlineLvl w:val="9"/>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1.执行《云南省人民政府关于实施“三线一单”生态环境分区管控的意见》（云政发〔2020〕29号）。原则上按照限制开发区域的要求进行管理，严格限制大规模开发建设活动。以保护和修复生态环境、提供生态产品为首要任务</w:t>
            </w:r>
            <w:r>
              <w:rPr>
                <w:rFonts w:hint="eastAsia" w:ascii="Times New Roman" w:hAnsi="Times New Roman" w:eastAsia="宋体" w:cs="Times New Roman"/>
                <w:color w:val="auto"/>
                <w:kern w:val="0"/>
                <w:sz w:val="24"/>
                <w:szCs w:val="24"/>
                <w:highlight w:val="none"/>
                <w:lang w:val="en-US" w:eastAsia="zh-CN" w:bidi="ar-SA"/>
              </w:rPr>
              <w:t>，</w:t>
            </w:r>
            <w:r>
              <w:rPr>
                <w:rFonts w:hint="default" w:ascii="Times New Roman" w:hAnsi="Times New Roman" w:eastAsia="宋体" w:cs="Times New Roman"/>
                <w:color w:val="auto"/>
                <w:kern w:val="0"/>
                <w:sz w:val="24"/>
                <w:szCs w:val="24"/>
                <w:highlight w:val="none"/>
                <w:lang w:val="en-US" w:eastAsia="zh-CN" w:bidi="ar-SA"/>
              </w:rPr>
              <w:t>因地制宜地发展不影响主体功能定位的产业。</w:t>
            </w:r>
          </w:p>
          <w:p w14:paraId="32D6B30A">
            <w:pPr>
              <w:keepNext w:val="0"/>
              <w:keepLines w:val="0"/>
              <w:pageBreakBefore w:val="0"/>
              <w:widowControl/>
              <w:numPr>
                <w:ilvl w:val="0"/>
                <w:numId w:val="0"/>
              </w:numPr>
              <w:kinsoku/>
              <w:wordWrap/>
              <w:overflowPunct/>
              <w:topLinePunct w:val="0"/>
              <w:autoSpaceDE/>
              <w:autoSpaceDN/>
              <w:bidi w:val="0"/>
              <w:adjustRightInd w:val="0"/>
              <w:snapToGrid w:val="0"/>
              <w:spacing w:line="240" w:lineRule="auto"/>
              <w:jc w:val="left"/>
              <w:outlineLvl w:val="9"/>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2.重要湿地依据《湿地保护管理规定》《国务院办公厅关于印发湿地保护修复制度方案的通知》《云南省湿地保护条例》《云南省人民政府关于加强湿地保护工作的意见》等进行管理；生态公益林依据《国家级公益林管理办法</w:t>
            </w:r>
            <w:r>
              <w:rPr>
                <w:rFonts w:hint="eastAsia" w:ascii="Times New Roman" w:hAnsi="Times New Roman" w:eastAsia="宋体" w:cs="Times New Roman"/>
                <w:color w:val="auto"/>
                <w:kern w:val="0"/>
                <w:sz w:val="24"/>
                <w:szCs w:val="24"/>
                <w:highlight w:val="none"/>
                <w:lang w:val="en-US" w:eastAsia="zh-CN" w:bidi="ar-SA"/>
              </w:rPr>
              <w:t>》《</w:t>
            </w:r>
            <w:r>
              <w:rPr>
                <w:rFonts w:hint="default" w:ascii="Times New Roman" w:hAnsi="Times New Roman" w:eastAsia="宋体" w:cs="Times New Roman"/>
                <w:color w:val="auto"/>
                <w:kern w:val="0"/>
                <w:sz w:val="24"/>
                <w:szCs w:val="24"/>
                <w:highlight w:val="none"/>
                <w:lang w:val="en-US" w:eastAsia="zh-CN" w:bidi="ar-SA"/>
              </w:rPr>
              <w:t>云南省地方公益林管理办法》进行管理；天然林依据《国家林业局关于严格保护天然林的通知》（林资发〔2015〕181号）、《中共中央办公厅国务院办公厅关于印发〈天然林保护修复制度方案〉的通知》（厅字〔2019〕39号）等进行管理；基本草原依据《中华人民共和国草原法》进行管理。</w:t>
            </w:r>
          </w:p>
        </w:tc>
      </w:tr>
      <w:tr w14:paraId="23357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1" w:type="pct"/>
            <w:vMerge w:val="continue"/>
          </w:tcPr>
          <w:p w14:paraId="2E027DC9">
            <w:pPr>
              <w:pStyle w:val="23"/>
              <w:adjustRightInd w:val="0"/>
              <w:snapToGrid w:val="0"/>
              <w:spacing w:before="0" w:beforeAutospacing="0" w:after="0" w:afterAutospacing="0" w:line="240" w:lineRule="auto"/>
              <w:jc w:val="center"/>
              <w:outlineLvl w:val="9"/>
              <w:rPr>
                <w:rStyle w:val="28"/>
                <w:rFonts w:hint="default" w:ascii="Times New Roman" w:hAnsi="Times New Roman" w:eastAsia="宋体" w:cs="Times New Roman"/>
                <w:b w:val="0"/>
                <w:bCs w:val="0"/>
                <w:color w:val="auto"/>
                <w:sz w:val="24"/>
                <w:szCs w:val="24"/>
                <w:highlight w:val="none"/>
                <w:vertAlign w:val="baseline"/>
              </w:rPr>
            </w:pPr>
          </w:p>
        </w:tc>
        <w:tc>
          <w:tcPr>
            <w:tcW w:w="788" w:type="pct"/>
            <w:vAlign w:val="center"/>
          </w:tcPr>
          <w:p w14:paraId="53531B19">
            <w:pPr>
              <w:keepNext w:val="0"/>
              <w:keepLines w:val="0"/>
              <w:pageBreakBefore w:val="0"/>
              <w:widowControl/>
              <w:kinsoku/>
              <w:wordWrap/>
              <w:overflowPunct/>
              <w:topLinePunct w:val="0"/>
              <w:autoSpaceDE/>
              <w:autoSpaceDN/>
              <w:bidi w:val="0"/>
              <w:adjustRightInd w:val="0"/>
              <w:snapToGrid w:val="0"/>
              <w:spacing w:line="240" w:lineRule="auto"/>
              <w:jc w:val="center"/>
              <w:textAlignment w:val="bottom"/>
              <w:outlineLvl w:val="9"/>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rPr>
              <w:t>饮用水源地优先保护单元</w:t>
            </w:r>
          </w:p>
        </w:tc>
        <w:tc>
          <w:tcPr>
            <w:tcW w:w="3679" w:type="pct"/>
            <w:vAlign w:val="center"/>
          </w:tcPr>
          <w:p w14:paraId="2B63F7C2">
            <w:pPr>
              <w:keepNext w:val="0"/>
              <w:keepLines w:val="0"/>
              <w:pageBreakBefore w:val="0"/>
              <w:widowControl/>
              <w:kinsoku/>
              <w:wordWrap/>
              <w:overflowPunct/>
              <w:topLinePunct w:val="0"/>
              <w:autoSpaceDE/>
              <w:autoSpaceDN/>
              <w:bidi w:val="0"/>
              <w:adjustRightInd w:val="0"/>
              <w:snapToGrid w:val="0"/>
              <w:spacing w:line="240" w:lineRule="auto"/>
              <w:jc w:val="left"/>
              <w:outlineLvl w:val="9"/>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rPr>
              <w:t>依据《中华人民共和国水污染防治法》《饮用水水源保护区污染防治管理规定》《中华人民共和国水法》《地下水管理条例》进行管理。</w:t>
            </w:r>
          </w:p>
        </w:tc>
      </w:tr>
      <w:tr w14:paraId="70CA6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1" w:type="pct"/>
            <w:vAlign w:val="center"/>
          </w:tcPr>
          <w:p w14:paraId="54D1C9F9">
            <w:pPr>
              <w:keepNext w:val="0"/>
              <w:keepLines w:val="0"/>
              <w:pageBreakBefore w:val="0"/>
              <w:widowControl/>
              <w:kinsoku/>
              <w:wordWrap/>
              <w:overflowPunct/>
              <w:topLinePunct w:val="0"/>
              <w:autoSpaceDE/>
              <w:autoSpaceDN/>
              <w:bidi w:val="0"/>
              <w:adjustRightInd w:val="0"/>
              <w:snapToGrid w:val="0"/>
              <w:spacing w:line="240" w:lineRule="auto"/>
              <w:jc w:val="center"/>
              <w:outlineLvl w:val="9"/>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rPr>
              <w:t>各市县一般管控单元</w:t>
            </w:r>
          </w:p>
        </w:tc>
        <w:tc>
          <w:tcPr>
            <w:tcW w:w="788" w:type="pct"/>
            <w:vAlign w:val="center"/>
          </w:tcPr>
          <w:p w14:paraId="7C26625E">
            <w:pPr>
              <w:keepNext w:val="0"/>
              <w:keepLines w:val="0"/>
              <w:pageBreakBefore w:val="0"/>
              <w:widowControl/>
              <w:kinsoku/>
              <w:wordWrap/>
              <w:overflowPunct/>
              <w:topLinePunct w:val="0"/>
              <w:autoSpaceDE/>
              <w:autoSpaceDN/>
              <w:bidi w:val="0"/>
              <w:adjustRightInd w:val="0"/>
              <w:snapToGrid w:val="0"/>
              <w:spacing w:line="240" w:lineRule="auto"/>
              <w:jc w:val="center"/>
              <w:outlineLvl w:val="9"/>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空间布局</w:t>
            </w:r>
          </w:p>
          <w:p w14:paraId="749B7A35">
            <w:pPr>
              <w:keepNext w:val="0"/>
              <w:keepLines w:val="0"/>
              <w:pageBreakBefore w:val="0"/>
              <w:widowControl/>
              <w:kinsoku/>
              <w:wordWrap/>
              <w:overflowPunct/>
              <w:topLinePunct w:val="0"/>
              <w:autoSpaceDE/>
              <w:autoSpaceDN/>
              <w:bidi w:val="0"/>
              <w:adjustRightInd w:val="0"/>
              <w:snapToGrid w:val="0"/>
              <w:spacing w:line="240" w:lineRule="auto"/>
              <w:jc w:val="center"/>
              <w:outlineLvl w:val="9"/>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rPr>
              <w:t>约束</w:t>
            </w:r>
          </w:p>
        </w:tc>
        <w:tc>
          <w:tcPr>
            <w:tcW w:w="3679" w:type="pct"/>
            <w:vAlign w:val="center"/>
          </w:tcPr>
          <w:p w14:paraId="5A60CD2D">
            <w:pPr>
              <w:keepNext w:val="0"/>
              <w:keepLines w:val="0"/>
              <w:pageBreakBefore w:val="0"/>
              <w:widowControl/>
              <w:kinsoku/>
              <w:wordWrap/>
              <w:overflowPunct/>
              <w:topLinePunct w:val="0"/>
              <w:autoSpaceDE/>
              <w:autoSpaceDN/>
              <w:bidi w:val="0"/>
              <w:adjustRightInd w:val="0"/>
              <w:snapToGrid w:val="0"/>
              <w:spacing w:line="240" w:lineRule="auto"/>
              <w:outlineLvl w:val="9"/>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rPr>
              <w:t>落实生态环境保护基本要求</w:t>
            </w:r>
            <w:r>
              <w:rPr>
                <w:rFonts w:hint="default" w:ascii="Times New Roman" w:hAnsi="Times New Roman" w:eastAsia="宋体" w:cs="Times New Roman"/>
                <w:color w:val="auto"/>
                <w:kern w:val="0"/>
                <w:sz w:val="24"/>
                <w:szCs w:val="24"/>
                <w:highlight w:val="none"/>
                <w:lang w:eastAsia="zh-CN"/>
              </w:rPr>
              <w:t>，</w:t>
            </w:r>
            <w:r>
              <w:rPr>
                <w:rFonts w:hint="default" w:ascii="Times New Roman" w:hAnsi="Times New Roman" w:eastAsia="宋体" w:cs="Times New Roman"/>
                <w:color w:val="auto"/>
                <w:kern w:val="0"/>
                <w:sz w:val="24"/>
                <w:szCs w:val="24"/>
                <w:highlight w:val="none"/>
              </w:rPr>
              <w:t>项目建设和运行应满足产业准入、总量控制、排放标准等管理规定。</w:t>
            </w:r>
          </w:p>
        </w:tc>
      </w:tr>
    </w:tbl>
    <w:p w14:paraId="698BDA4A">
      <w:pPr>
        <w:pStyle w:val="23"/>
        <w:keepNext w:val="0"/>
        <w:keepLines w:val="0"/>
        <w:pageBreakBefore w:val="0"/>
        <w:widowControl w:val="0"/>
        <w:kinsoku/>
        <w:wordWrap/>
        <w:overflowPunct/>
        <w:topLinePunct w:val="0"/>
        <w:autoSpaceDE/>
        <w:autoSpaceDN/>
        <w:bidi w:val="0"/>
        <w:adjustRightInd w:val="0"/>
        <w:snapToGrid w:val="0"/>
        <w:spacing w:before="0" w:beforeAutospacing="0" w:after="0" w:afterAutospacing="0" w:line="360" w:lineRule="auto"/>
        <w:jc w:val="center"/>
        <w:textAlignment w:val="auto"/>
        <w:outlineLvl w:val="9"/>
        <w:rPr>
          <w:rStyle w:val="28"/>
          <w:rFonts w:hint="default" w:ascii="Times New Roman" w:hAnsi="Times New Roman" w:eastAsia="宋体" w:cs="Times New Roman"/>
          <w:b w:val="0"/>
          <w:bCs w:val="0"/>
          <w:color w:val="auto"/>
          <w:sz w:val="28"/>
          <w:szCs w:val="28"/>
          <w:highlight w:val="none"/>
        </w:rPr>
      </w:pPr>
      <w:r>
        <w:rPr>
          <w:rStyle w:val="28"/>
          <w:rFonts w:hint="default" w:ascii="Times New Roman" w:hAnsi="Times New Roman" w:eastAsia="宋体" w:cs="Times New Roman"/>
          <w:b w:val="0"/>
          <w:bCs w:val="0"/>
          <w:color w:val="auto"/>
          <w:sz w:val="28"/>
          <w:szCs w:val="28"/>
          <w:highlight w:val="none"/>
          <w:lang w:eastAsia="zh-CN"/>
        </w:rPr>
        <w:t>表</w:t>
      </w:r>
      <w:r>
        <w:rPr>
          <w:rStyle w:val="28"/>
          <w:rFonts w:hint="default" w:ascii="Times New Roman" w:hAnsi="Times New Roman" w:eastAsia="宋体" w:cs="Times New Roman"/>
          <w:b w:val="0"/>
          <w:bCs w:val="0"/>
          <w:color w:val="auto"/>
          <w:sz w:val="28"/>
          <w:szCs w:val="28"/>
          <w:highlight w:val="none"/>
          <w:lang w:val="en-US" w:eastAsia="zh-CN"/>
        </w:rPr>
        <w:t>7.1-4新平县</w:t>
      </w:r>
      <w:r>
        <w:rPr>
          <w:rStyle w:val="28"/>
          <w:rFonts w:hint="default" w:ascii="Times New Roman" w:hAnsi="Times New Roman" w:eastAsia="宋体" w:cs="Times New Roman"/>
          <w:b w:val="0"/>
          <w:bCs w:val="0"/>
          <w:color w:val="auto"/>
          <w:sz w:val="28"/>
          <w:szCs w:val="28"/>
          <w:highlight w:val="none"/>
        </w:rPr>
        <w:t>重点管控单元生态环境准入清单</w:t>
      </w:r>
    </w:p>
    <w:tbl>
      <w:tblPr>
        <w:tblStyle w:val="25"/>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77"/>
        <w:gridCol w:w="1378"/>
        <w:gridCol w:w="6268"/>
      </w:tblGrid>
      <w:tr w14:paraId="0D781C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5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30A69">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单元名称</w:t>
            </w:r>
          </w:p>
        </w:tc>
        <w:tc>
          <w:tcPr>
            <w:tcW w:w="448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DE1679">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管控要</w:t>
            </w:r>
            <w:r>
              <w:rPr>
                <w:rStyle w:val="183"/>
                <w:rFonts w:hint="default" w:ascii="Times New Roman" w:hAnsi="Times New Roman" w:eastAsia="宋体" w:cs="Times New Roman"/>
                <w:sz w:val="24"/>
                <w:szCs w:val="24"/>
                <w:lang w:val="en-US" w:eastAsia="zh-CN" w:bidi="ar"/>
              </w:rPr>
              <w:t>求</w:t>
            </w:r>
          </w:p>
        </w:tc>
      </w:tr>
      <w:tr w14:paraId="3C781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20" w:hRule="atLeast"/>
        </w:trPr>
        <w:tc>
          <w:tcPr>
            <w:tcW w:w="51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D07190">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工业集中区重点管控单元</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71E63">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空间布局约束</w:t>
            </w:r>
          </w:p>
        </w:tc>
        <w:tc>
          <w:tcPr>
            <w:tcW w:w="3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4129A">
            <w:pPr>
              <w:keepNext w:val="0"/>
              <w:keepLines w:val="0"/>
              <w:pageBreakBefore w:val="0"/>
              <w:widowControl/>
              <w:numPr>
                <w:ilvl w:val="0"/>
                <w:numId w:val="2"/>
              </w:numPr>
              <w:kinsoku/>
              <w:wordWrap/>
              <w:overflowPunct/>
              <w:topLinePunct w:val="0"/>
              <w:autoSpaceDE/>
              <w:autoSpaceDN/>
              <w:bidi w:val="0"/>
              <w:adjustRightInd w:val="0"/>
              <w:snapToGrid w:val="0"/>
              <w:spacing w:line="240" w:lineRule="auto"/>
              <w:outlineLvl w:val="9"/>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优化园区空间布局，合理控制园区开发强度。桂山片区属于产城融合区，应逐步取消三类工业用地。扬武片区应对他克冲水库及后期拟划定的水源保护区予以避让；大开门地块合理确定钢铁及配套焦化产业、废弃资源综合利用等产业规模；戛洒片区白糯格地块根据受纳水体环境容量控制制糖及造纸项目等发展规模。</w:t>
            </w:r>
          </w:p>
          <w:p w14:paraId="5B8FC10C">
            <w:pPr>
              <w:keepNext w:val="0"/>
              <w:keepLines w:val="0"/>
              <w:pageBreakBefore w:val="0"/>
              <w:widowControl/>
              <w:numPr>
                <w:ilvl w:val="0"/>
                <w:numId w:val="2"/>
              </w:numPr>
              <w:kinsoku/>
              <w:wordWrap/>
              <w:overflowPunct/>
              <w:topLinePunct w:val="0"/>
              <w:autoSpaceDE/>
              <w:autoSpaceDN/>
              <w:bidi w:val="0"/>
              <w:adjustRightInd w:val="0"/>
              <w:snapToGrid w:val="0"/>
              <w:spacing w:line="240" w:lineRule="auto"/>
              <w:outlineLvl w:val="9"/>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lang w:val="en-US" w:eastAsia="zh-CN"/>
              </w:rPr>
              <w:t>逐步淘汰现有不符合区域发展定位和环境保护要求的企业。与规划功能、产业定位不相符的现有企业有序转移到与规划相符的片区。</w:t>
            </w:r>
          </w:p>
        </w:tc>
      </w:tr>
      <w:tr w14:paraId="3C30C4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50" w:hRule="atLeast"/>
        </w:trPr>
        <w:tc>
          <w:tcPr>
            <w:tcW w:w="5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095CF1">
            <w:pPr>
              <w:keepNext w:val="0"/>
              <w:keepLines w:val="0"/>
              <w:pageBreakBefore w:val="0"/>
              <w:widowControl/>
              <w:kinsoku/>
              <w:wordWrap/>
              <w:overflowPunct/>
              <w:topLinePunct w:val="0"/>
              <w:autoSpaceDE/>
              <w:autoSpaceDN/>
              <w:bidi w:val="0"/>
              <w:adjustRightInd/>
              <w:snapToGrid w:val="0"/>
              <w:spacing w:line="240" w:lineRule="auto"/>
              <w:jc w:val="center"/>
              <w:rPr>
                <w:rFonts w:hint="default" w:ascii="Times New Roman" w:hAnsi="Times New Roman" w:eastAsia="宋体" w:cs="Times New Roman"/>
                <w:i w:val="0"/>
                <w:iCs w:val="0"/>
                <w:color w:val="000000"/>
                <w:sz w:val="24"/>
                <w:szCs w:val="24"/>
                <w:u w:val="none"/>
              </w:rPr>
            </w:pP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0B508">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污染</w:t>
            </w:r>
            <w:r>
              <w:rPr>
                <w:rStyle w:val="184"/>
                <w:rFonts w:hint="default" w:ascii="Times New Roman" w:hAnsi="Times New Roman" w:eastAsia="宋体" w:cs="Times New Roman"/>
                <w:sz w:val="24"/>
                <w:szCs w:val="24"/>
                <w:lang w:val="en-US" w:eastAsia="zh-CN" w:bidi="ar"/>
              </w:rPr>
              <w:t>物排放管控</w:t>
            </w:r>
          </w:p>
        </w:tc>
        <w:tc>
          <w:tcPr>
            <w:tcW w:w="3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610B3">
            <w:pPr>
              <w:keepNext w:val="0"/>
              <w:keepLines w:val="0"/>
              <w:pageBreakBefore w:val="0"/>
              <w:widowControl/>
              <w:numPr>
                <w:ilvl w:val="0"/>
                <w:numId w:val="3"/>
              </w:numPr>
              <w:kinsoku/>
              <w:wordWrap/>
              <w:overflowPunct/>
              <w:topLinePunct w:val="0"/>
              <w:autoSpaceDE/>
              <w:autoSpaceDN/>
              <w:bidi w:val="0"/>
              <w:adjustRightInd w:val="0"/>
              <w:snapToGrid w:val="0"/>
              <w:spacing w:line="240" w:lineRule="auto"/>
              <w:outlineLvl w:val="9"/>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加快推进污水管网、污水处理厂的建设及提标改造。2.桂山片区采取优化排污口和提标改造等措施，加强区域水环境综合整治，确保区域影响范围内控制断面水质稳定满足水环境质量要求。</w:t>
            </w:r>
          </w:p>
          <w:p w14:paraId="3743358D">
            <w:pPr>
              <w:keepNext w:val="0"/>
              <w:keepLines w:val="0"/>
              <w:pageBreakBefore w:val="0"/>
              <w:widowControl/>
              <w:numPr>
                <w:ilvl w:val="0"/>
                <w:numId w:val="3"/>
              </w:numPr>
              <w:kinsoku/>
              <w:wordWrap/>
              <w:overflowPunct/>
              <w:topLinePunct w:val="0"/>
              <w:autoSpaceDE/>
              <w:autoSpaceDN/>
              <w:bidi w:val="0"/>
              <w:adjustRightInd w:val="0"/>
              <w:snapToGrid w:val="0"/>
              <w:spacing w:line="240" w:lineRule="auto"/>
              <w:outlineLvl w:val="9"/>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扬武片区大开门地块须采取有效措施减少主要污染物和二噁英、苯并[α]芘等特征污染物的排放量。</w:t>
            </w:r>
          </w:p>
          <w:p w14:paraId="3DDE72D8">
            <w:pPr>
              <w:keepNext w:val="0"/>
              <w:keepLines w:val="0"/>
              <w:pageBreakBefore w:val="0"/>
              <w:widowControl/>
              <w:numPr>
                <w:ilvl w:val="0"/>
                <w:numId w:val="3"/>
              </w:numPr>
              <w:kinsoku/>
              <w:wordWrap/>
              <w:overflowPunct/>
              <w:topLinePunct w:val="0"/>
              <w:autoSpaceDE/>
              <w:autoSpaceDN/>
              <w:bidi w:val="0"/>
              <w:adjustRightInd w:val="0"/>
              <w:snapToGrid w:val="0"/>
              <w:spacing w:line="240" w:lineRule="auto"/>
              <w:outlineLvl w:val="9"/>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lang w:val="en-US" w:eastAsia="zh-CN"/>
              </w:rPr>
              <w:t>戛洒片区白糯格地块制浆造纸产业采取先进的工艺及严格的污染防治措施，避免废水排放对区域环境质量造成污染影响。</w:t>
            </w:r>
          </w:p>
          <w:p w14:paraId="5B0EF7C1">
            <w:pPr>
              <w:keepNext w:val="0"/>
              <w:keepLines w:val="0"/>
              <w:pageBreakBefore w:val="0"/>
              <w:widowControl/>
              <w:numPr>
                <w:ilvl w:val="0"/>
                <w:numId w:val="3"/>
              </w:numPr>
              <w:kinsoku/>
              <w:wordWrap/>
              <w:overflowPunct/>
              <w:topLinePunct w:val="0"/>
              <w:autoSpaceDE/>
              <w:autoSpaceDN/>
              <w:bidi w:val="0"/>
              <w:adjustRightInd w:val="0"/>
              <w:snapToGrid w:val="0"/>
              <w:spacing w:line="240" w:lineRule="auto"/>
              <w:outlineLvl w:val="9"/>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lang w:val="en-US" w:eastAsia="zh-CN"/>
              </w:rPr>
              <w:t>固体废物应依法依规集中收集和处理处置。</w:t>
            </w:r>
          </w:p>
        </w:tc>
      </w:tr>
      <w:tr w14:paraId="76CDF1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0" w:hRule="atLeast"/>
        </w:trPr>
        <w:tc>
          <w:tcPr>
            <w:tcW w:w="5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BA4037">
            <w:pPr>
              <w:keepNext w:val="0"/>
              <w:keepLines w:val="0"/>
              <w:pageBreakBefore w:val="0"/>
              <w:widowControl/>
              <w:kinsoku/>
              <w:wordWrap/>
              <w:overflowPunct/>
              <w:topLinePunct w:val="0"/>
              <w:autoSpaceDE/>
              <w:autoSpaceDN/>
              <w:bidi w:val="0"/>
              <w:adjustRightInd/>
              <w:snapToGrid w:val="0"/>
              <w:spacing w:line="240" w:lineRule="auto"/>
              <w:jc w:val="center"/>
              <w:rPr>
                <w:rFonts w:hint="default" w:ascii="Times New Roman" w:hAnsi="Times New Roman" w:eastAsia="宋体" w:cs="Times New Roman"/>
                <w:i w:val="0"/>
                <w:iCs w:val="0"/>
                <w:color w:val="000000"/>
                <w:sz w:val="24"/>
                <w:szCs w:val="24"/>
                <w:u w:val="none"/>
              </w:rPr>
            </w:pP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F17CE">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环境风险防控</w:t>
            </w:r>
          </w:p>
        </w:tc>
        <w:tc>
          <w:tcPr>
            <w:tcW w:w="3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5299B">
            <w:pPr>
              <w:keepNext w:val="0"/>
              <w:keepLines w:val="0"/>
              <w:pageBreakBefore w:val="0"/>
              <w:widowControl/>
              <w:numPr>
                <w:ilvl w:val="0"/>
                <w:numId w:val="4"/>
              </w:numPr>
              <w:kinsoku/>
              <w:wordWrap/>
              <w:overflowPunct/>
              <w:topLinePunct w:val="0"/>
              <w:autoSpaceDE/>
              <w:autoSpaceDN/>
              <w:bidi w:val="0"/>
              <w:adjustRightInd w:val="0"/>
              <w:snapToGrid w:val="0"/>
              <w:spacing w:line="240" w:lineRule="auto"/>
              <w:outlineLvl w:val="9"/>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入园项目须按规定设置足够的防护距离，避免对周边居民造成影响。</w:t>
            </w:r>
          </w:p>
          <w:p w14:paraId="48DE8AF7">
            <w:pPr>
              <w:keepNext w:val="0"/>
              <w:keepLines w:val="0"/>
              <w:pageBreakBefore w:val="0"/>
              <w:widowControl/>
              <w:numPr>
                <w:ilvl w:val="0"/>
                <w:numId w:val="4"/>
              </w:numPr>
              <w:kinsoku/>
              <w:wordWrap/>
              <w:overflowPunct/>
              <w:topLinePunct w:val="0"/>
              <w:autoSpaceDE/>
              <w:autoSpaceDN/>
              <w:bidi w:val="0"/>
              <w:adjustRightInd w:val="0"/>
              <w:snapToGrid w:val="0"/>
              <w:spacing w:line="240" w:lineRule="auto"/>
              <w:outlineLvl w:val="9"/>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lang w:val="en-US" w:eastAsia="zh-CN"/>
              </w:rPr>
              <w:t>加强区内重要污染源管控，强化园区危险化学品储运及尾矿库的环境风险管理，建立应急响应联动机制。</w:t>
            </w:r>
          </w:p>
        </w:tc>
      </w:tr>
      <w:tr w14:paraId="10AD76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5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94D63E">
            <w:pPr>
              <w:keepNext w:val="0"/>
              <w:keepLines w:val="0"/>
              <w:pageBreakBefore w:val="0"/>
              <w:widowControl/>
              <w:kinsoku/>
              <w:wordWrap/>
              <w:overflowPunct/>
              <w:topLinePunct w:val="0"/>
              <w:autoSpaceDE/>
              <w:autoSpaceDN/>
              <w:bidi w:val="0"/>
              <w:adjustRightInd/>
              <w:snapToGrid w:val="0"/>
              <w:spacing w:line="240" w:lineRule="auto"/>
              <w:jc w:val="center"/>
              <w:rPr>
                <w:rFonts w:hint="default" w:ascii="Times New Roman" w:hAnsi="Times New Roman" w:eastAsia="宋体" w:cs="Times New Roman"/>
                <w:i w:val="0"/>
                <w:iCs w:val="0"/>
                <w:color w:val="000000"/>
                <w:sz w:val="24"/>
                <w:szCs w:val="24"/>
                <w:u w:val="none"/>
              </w:rPr>
            </w:pP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951C2">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资源开发效率要求</w:t>
            </w:r>
          </w:p>
        </w:tc>
        <w:tc>
          <w:tcPr>
            <w:tcW w:w="3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2C353">
            <w:pPr>
              <w:keepNext w:val="0"/>
              <w:keepLines w:val="0"/>
              <w:pageBreakBefore w:val="0"/>
              <w:widowControl/>
              <w:numPr>
                <w:ilvl w:val="0"/>
                <w:numId w:val="5"/>
              </w:numPr>
              <w:kinsoku/>
              <w:wordWrap/>
              <w:overflowPunct/>
              <w:topLinePunct w:val="0"/>
              <w:autoSpaceDE/>
              <w:autoSpaceDN/>
              <w:bidi w:val="0"/>
              <w:adjustRightInd w:val="0"/>
              <w:snapToGrid w:val="0"/>
              <w:spacing w:line="240" w:lineRule="auto"/>
              <w:outlineLvl w:val="9"/>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引进项目应从生产工艺、设备、单位产品能耗、物耗、污染物排放和资源利用等方面，进一步提高清洁生产水平。</w:t>
            </w:r>
          </w:p>
          <w:p w14:paraId="01A69961">
            <w:pPr>
              <w:keepNext w:val="0"/>
              <w:keepLines w:val="0"/>
              <w:pageBreakBefore w:val="0"/>
              <w:widowControl/>
              <w:numPr>
                <w:ilvl w:val="0"/>
                <w:numId w:val="5"/>
              </w:numPr>
              <w:kinsoku/>
              <w:wordWrap/>
              <w:overflowPunct/>
              <w:topLinePunct w:val="0"/>
              <w:autoSpaceDE/>
              <w:autoSpaceDN/>
              <w:bidi w:val="0"/>
              <w:adjustRightInd w:val="0"/>
              <w:snapToGrid w:val="0"/>
              <w:spacing w:line="240" w:lineRule="auto"/>
              <w:outlineLvl w:val="9"/>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lang w:val="en-US" w:eastAsia="zh-CN"/>
              </w:rPr>
              <w:t>大红山地块应加强矿山深部资源开发利用对地下水的环境影响论证工作。</w:t>
            </w:r>
          </w:p>
        </w:tc>
      </w:tr>
      <w:tr w14:paraId="289A2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51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7F8274">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县城城镇生活污染重点管控单元</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38DA7">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空间布局约束</w:t>
            </w:r>
          </w:p>
        </w:tc>
        <w:tc>
          <w:tcPr>
            <w:tcW w:w="3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C3CA3">
            <w:pPr>
              <w:keepNext w:val="0"/>
              <w:keepLines w:val="0"/>
              <w:pageBreakBefore w:val="0"/>
              <w:widowControl/>
              <w:kinsoku/>
              <w:wordWrap/>
              <w:overflowPunct/>
              <w:topLinePunct w:val="0"/>
              <w:autoSpaceDE/>
              <w:autoSpaceDN/>
              <w:bidi w:val="0"/>
              <w:adjustRightInd w:val="0"/>
              <w:snapToGrid w:val="0"/>
              <w:spacing w:line="240" w:lineRule="auto"/>
              <w:outlineLvl w:val="9"/>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lang w:val="en-US" w:eastAsia="zh-CN"/>
              </w:rPr>
              <w:t>禁止在人口集中地区、交通干线附近和其他依法需要特殊保护的区域内焚烧沥青、油毡、橡胶、塑料、皮革、秸秆、落叶、垃圾以及其他产生有毒有害烟尘和恶臭气体的物质。</w:t>
            </w:r>
          </w:p>
        </w:tc>
      </w:tr>
      <w:tr w14:paraId="04EC50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5" w:hRule="atLeast"/>
        </w:trPr>
        <w:tc>
          <w:tcPr>
            <w:tcW w:w="5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859E1F">
            <w:pPr>
              <w:keepNext w:val="0"/>
              <w:keepLines w:val="0"/>
              <w:pageBreakBefore w:val="0"/>
              <w:widowControl/>
              <w:kinsoku/>
              <w:wordWrap/>
              <w:overflowPunct/>
              <w:topLinePunct w:val="0"/>
              <w:autoSpaceDE/>
              <w:autoSpaceDN/>
              <w:bidi w:val="0"/>
              <w:adjustRightInd/>
              <w:snapToGrid w:val="0"/>
              <w:spacing w:line="240" w:lineRule="auto"/>
              <w:jc w:val="center"/>
              <w:rPr>
                <w:rFonts w:hint="default" w:ascii="Times New Roman" w:hAnsi="Times New Roman" w:eastAsia="宋体" w:cs="Times New Roman"/>
                <w:i w:val="0"/>
                <w:iCs w:val="0"/>
                <w:color w:val="000000"/>
                <w:sz w:val="24"/>
                <w:szCs w:val="24"/>
                <w:u w:val="none"/>
              </w:rPr>
            </w:pP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1C889">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污染</w:t>
            </w:r>
            <w:r>
              <w:rPr>
                <w:rStyle w:val="184"/>
                <w:rFonts w:hint="default" w:ascii="Times New Roman" w:hAnsi="Times New Roman" w:eastAsia="宋体" w:cs="Times New Roman"/>
                <w:sz w:val="24"/>
                <w:szCs w:val="24"/>
                <w:lang w:val="en-US" w:eastAsia="zh-CN" w:bidi="ar"/>
              </w:rPr>
              <w:t>物排放管控</w:t>
            </w:r>
          </w:p>
        </w:tc>
        <w:tc>
          <w:tcPr>
            <w:tcW w:w="3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46B20B">
            <w:pPr>
              <w:keepNext w:val="0"/>
              <w:keepLines w:val="0"/>
              <w:pageBreakBefore w:val="0"/>
              <w:widowControl/>
              <w:numPr>
                <w:ilvl w:val="0"/>
                <w:numId w:val="6"/>
              </w:numPr>
              <w:kinsoku/>
              <w:wordWrap/>
              <w:overflowPunct/>
              <w:topLinePunct w:val="0"/>
              <w:autoSpaceDE/>
              <w:autoSpaceDN/>
              <w:bidi w:val="0"/>
              <w:adjustRightInd w:val="0"/>
              <w:snapToGrid w:val="0"/>
              <w:spacing w:line="240" w:lineRule="auto"/>
              <w:outlineLvl w:val="9"/>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现有污水处理厂应升级改造，增加脱磷除氮等设施，确保COD、氨氮等指标稳定达到更严格的排放标准。城镇污水处理厂出水应达到《城镇污水处理厂污染物排放标准》（GB18918－2002）一级标准的A标准。</w:t>
            </w:r>
          </w:p>
          <w:p w14:paraId="75F4E759">
            <w:pPr>
              <w:keepNext w:val="0"/>
              <w:keepLines w:val="0"/>
              <w:pageBreakBefore w:val="0"/>
              <w:widowControl/>
              <w:numPr>
                <w:ilvl w:val="0"/>
                <w:numId w:val="6"/>
              </w:numPr>
              <w:kinsoku/>
              <w:wordWrap/>
              <w:overflowPunct/>
              <w:topLinePunct w:val="0"/>
              <w:autoSpaceDE/>
              <w:autoSpaceDN/>
              <w:bidi w:val="0"/>
              <w:adjustRightInd w:val="0"/>
              <w:snapToGrid w:val="0"/>
              <w:spacing w:line="240" w:lineRule="auto"/>
              <w:outlineLvl w:val="9"/>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lang w:val="en-US" w:eastAsia="zh-CN"/>
              </w:rPr>
              <w:t>全面推行建筑工地扬尘污染防治网格化管理，严格渣土运输车辆规范化管理，严格执行餐饮业油烟排放标准。</w:t>
            </w:r>
          </w:p>
          <w:p w14:paraId="6EB72CE5">
            <w:pPr>
              <w:keepNext w:val="0"/>
              <w:keepLines w:val="0"/>
              <w:pageBreakBefore w:val="0"/>
              <w:widowControl/>
              <w:numPr>
                <w:ilvl w:val="0"/>
                <w:numId w:val="6"/>
              </w:numPr>
              <w:kinsoku/>
              <w:wordWrap/>
              <w:overflowPunct/>
              <w:topLinePunct w:val="0"/>
              <w:autoSpaceDE/>
              <w:autoSpaceDN/>
              <w:bidi w:val="0"/>
              <w:adjustRightInd w:val="0"/>
              <w:snapToGrid w:val="0"/>
              <w:spacing w:line="240" w:lineRule="auto"/>
              <w:outlineLvl w:val="9"/>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lang w:val="en-US" w:eastAsia="zh-CN"/>
              </w:rPr>
              <w:t>严禁洗车污水、餐饮泔水、施工泥浆等通过雨水口进入管网后直排入河。</w:t>
            </w:r>
          </w:p>
        </w:tc>
      </w:tr>
      <w:tr w14:paraId="70B710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5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48EF30">
            <w:pPr>
              <w:keepNext w:val="0"/>
              <w:keepLines w:val="0"/>
              <w:pageBreakBefore w:val="0"/>
              <w:widowControl/>
              <w:kinsoku/>
              <w:wordWrap/>
              <w:overflowPunct/>
              <w:topLinePunct w:val="0"/>
              <w:autoSpaceDE/>
              <w:autoSpaceDN/>
              <w:bidi w:val="0"/>
              <w:adjustRightInd/>
              <w:snapToGrid w:val="0"/>
              <w:spacing w:line="240" w:lineRule="auto"/>
              <w:jc w:val="center"/>
              <w:rPr>
                <w:rFonts w:hint="default" w:ascii="Times New Roman" w:hAnsi="Times New Roman" w:eastAsia="宋体" w:cs="Times New Roman"/>
                <w:i w:val="0"/>
                <w:iCs w:val="0"/>
                <w:color w:val="000000"/>
                <w:sz w:val="24"/>
                <w:szCs w:val="24"/>
                <w:u w:val="none"/>
              </w:rPr>
            </w:pP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EABAF">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环境风险防控</w:t>
            </w:r>
          </w:p>
        </w:tc>
        <w:tc>
          <w:tcPr>
            <w:tcW w:w="3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E49C9">
            <w:pPr>
              <w:keepNext w:val="0"/>
              <w:keepLines w:val="0"/>
              <w:pageBreakBefore w:val="0"/>
              <w:widowControl/>
              <w:kinsoku/>
              <w:wordWrap/>
              <w:overflowPunct/>
              <w:topLinePunct w:val="0"/>
              <w:autoSpaceDE/>
              <w:autoSpaceDN/>
              <w:bidi w:val="0"/>
              <w:adjustRightInd w:val="0"/>
              <w:snapToGrid w:val="0"/>
              <w:spacing w:line="240" w:lineRule="auto"/>
              <w:outlineLvl w:val="9"/>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lang w:val="en-US" w:eastAsia="zh-CN"/>
              </w:rPr>
              <w:t>禁止建设排放重金属、“三致物”、剧毒物质污染物的项目，严格控制持久性有机污染物的项目。</w:t>
            </w:r>
          </w:p>
        </w:tc>
      </w:tr>
      <w:tr w14:paraId="631BE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5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604363">
            <w:pPr>
              <w:keepNext w:val="0"/>
              <w:keepLines w:val="0"/>
              <w:pageBreakBefore w:val="0"/>
              <w:widowControl/>
              <w:kinsoku/>
              <w:wordWrap/>
              <w:overflowPunct/>
              <w:topLinePunct w:val="0"/>
              <w:autoSpaceDE/>
              <w:autoSpaceDN/>
              <w:bidi w:val="0"/>
              <w:adjustRightInd/>
              <w:snapToGrid w:val="0"/>
              <w:spacing w:line="240" w:lineRule="auto"/>
              <w:jc w:val="center"/>
              <w:rPr>
                <w:rFonts w:hint="default" w:ascii="Times New Roman" w:hAnsi="Times New Roman" w:eastAsia="宋体" w:cs="Times New Roman"/>
                <w:i w:val="0"/>
                <w:iCs w:val="0"/>
                <w:color w:val="000000"/>
                <w:sz w:val="24"/>
                <w:szCs w:val="24"/>
                <w:u w:val="none"/>
              </w:rPr>
            </w:pP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0DFB2">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资源开发效率要求</w:t>
            </w:r>
          </w:p>
        </w:tc>
        <w:tc>
          <w:tcPr>
            <w:tcW w:w="3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3EA57">
            <w:pPr>
              <w:keepNext w:val="0"/>
              <w:keepLines w:val="0"/>
              <w:pageBreakBefore w:val="0"/>
              <w:widowControl/>
              <w:kinsoku/>
              <w:wordWrap/>
              <w:overflowPunct/>
              <w:topLinePunct w:val="0"/>
              <w:autoSpaceDE/>
              <w:autoSpaceDN/>
              <w:bidi w:val="0"/>
              <w:adjustRightInd w:val="0"/>
              <w:snapToGrid w:val="0"/>
              <w:spacing w:line="240" w:lineRule="auto"/>
              <w:outlineLvl w:val="9"/>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lang w:val="en-US" w:eastAsia="zh-CN"/>
              </w:rPr>
              <w:t>1.全县所有城镇污水处理厂、城市中水处理设施应尽快配套建成再生水处理设施和回用管网，再生水回用率确保不低于30%。2.推进“煤改气</w:t>
            </w:r>
            <w:r>
              <w:rPr>
                <w:rFonts w:hint="eastAsia" w:ascii="Times New Roman" w:hAnsi="Times New Roman" w:eastAsia="宋体"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highlight w:val="none"/>
                <w:lang w:val="en-US" w:eastAsia="zh-CN"/>
              </w:rPr>
              <w:t>煤改电”。3.提高土地节约集约利用水平。</w:t>
            </w:r>
          </w:p>
        </w:tc>
      </w:tr>
      <w:tr w14:paraId="6F9605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50" w:hRule="atLeast"/>
        </w:trPr>
        <w:tc>
          <w:tcPr>
            <w:tcW w:w="51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1F9333">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土壤污染重点管控单元</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52E9B">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空间布局约束</w:t>
            </w:r>
          </w:p>
        </w:tc>
        <w:tc>
          <w:tcPr>
            <w:tcW w:w="3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2D6E6">
            <w:pPr>
              <w:keepNext w:val="0"/>
              <w:keepLines w:val="0"/>
              <w:pageBreakBefore w:val="0"/>
              <w:widowControl/>
              <w:numPr>
                <w:ilvl w:val="0"/>
                <w:numId w:val="7"/>
              </w:numPr>
              <w:kinsoku/>
              <w:wordWrap/>
              <w:overflowPunct/>
              <w:topLinePunct w:val="0"/>
              <w:autoSpaceDE/>
              <w:autoSpaceDN/>
              <w:bidi w:val="0"/>
              <w:adjustRightInd w:val="0"/>
              <w:snapToGrid w:val="0"/>
              <w:spacing w:line="240" w:lineRule="auto"/>
              <w:outlineLvl w:val="9"/>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禁止将重金属或者其他有毒有害物质含量超标的工业固体废物、生活垃圾或者污染土壤用于土地复垦。</w:t>
            </w:r>
          </w:p>
          <w:p w14:paraId="1980721E">
            <w:pPr>
              <w:keepNext w:val="0"/>
              <w:keepLines w:val="0"/>
              <w:pageBreakBefore w:val="0"/>
              <w:widowControl/>
              <w:numPr>
                <w:ilvl w:val="0"/>
                <w:numId w:val="7"/>
              </w:numPr>
              <w:kinsoku/>
              <w:wordWrap/>
              <w:overflowPunct/>
              <w:topLinePunct w:val="0"/>
              <w:autoSpaceDE/>
              <w:autoSpaceDN/>
              <w:bidi w:val="0"/>
              <w:adjustRightInd w:val="0"/>
              <w:snapToGrid w:val="0"/>
              <w:spacing w:line="240" w:lineRule="auto"/>
              <w:outlineLvl w:val="9"/>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lang w:val="en-US" w:eastAsia="zh-CN"/>
              </w:rPr>
              <w:t>加强对严格管控类耕地的用途管理，依法划定特定农产品禁止生产区域，严禁种植食用农产品。</w:t>
            </w:r>
          </w:p>
          <w:p w14:paraId="4C17C45B">
            <w:pPr>
              <w:keepNext w:val="0"/>
              <w:keepLines w:val="0"/>
              <w:pageBreakBefore w:val="0"/>
              <w:widowControl/>
              <w:numPr>
                <w:ilvl w:val="0"/>
                <w:numId w:val="7"/>
              </w:numPr>
              <w:kinsoku/>
              <w:wordWrap/>
              <w:overflowPunct/>
              <w:topLinePunct w:val="0"/>
              <w:autoSpaceDE/>
              <w:autoSpaceDN/>
              <w:bidi w:val="0"/>
              <w:adjustRightInd w:val="0"/>
              <w:snapToGrid w:val="0"/>
              <w:spacing w:line="240" w:lineRule="auto"/>
              <w:outlineLvl w:val="9"/>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lang w:val="en-US" w:eastAsia="zh-CN"/>
              </w:rPr>
              <w:t>严格执行有色金属冶炼行业等环境准入要求，涉重金属行业分布集中、产业规模大、环境问题突出的地区，制定实施更严格的地方污染物排放标准和环境准入标准，依法关停达标无望、治理整顿后仍不能稳定达标的涉重金属企业。</w:t>
            </w:r>
          </w:p>
        </w:tc>
      </w:tr>
      <w:tr w14:paraId="556554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0" w:hRule="atLeast"/>
        </w:trPr>
        <w:tc>
          <w:tcPr>
            <w:tcW w:w="5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385CBB">
            <w:pPr>
              <w:keepNext w:val="0"/>
              <w:keepLines w:val="0"/>
              <w:pageBreakBefore w:val="0"/>
              <w:widowControl/>
              <w:kinsoku/>
              <w:wordWrap/>
              <w:overflowPunct/>
              <w:topLinePunct w:val="0"/>
              <w:autoSpaceDE/>
              <w:autoSpaceDN/>
              <w:bidi w:val="0"/>
              <w:adjustRightInd/>
              <w:snapToGrid w:val="0"/>
              <w:spacing w:line="240" w:lineRule="auto"/>
              <w:jc w:val="center"/>
              <w:rPr>
                <w:rFonts w:hint="default" w:ascii="Times New Roman" w:hAnsi="Times New Roman" w:eastAsia="宋体" w:cs="Times New Roman"/>
                <w:i w:val="0"/>
                <w:iCs w:val="0"/>
                <w:color w:val="000000"/>
                <w:sz w:val="24"/>
                <w:szCs w:val="24"/>
                <w:u w:val="none"/>
              </w:rPr>
            </w:pP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9843E">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污染</w:t>
            </w:r>
            <w:r>
              <w:rPr>
                <w:rStyle w:val="184"/>
                <w:rFonts w:hint="default" w:ascii="Times New Roman" w:hAnsi="Times New Roman" w:eastAsia="宋体" w:cs="Times New Roman"/>
                <w:sz w:val="24"/>
                <w:szCs w:val="24"/>
                <w:lang w:val="en-US" w:eastAsia="zh-CN" w:bidi="ar"/>
              </w:rPr>
              <w:t>物排放管控</w:t>
            </w:r>
          </w:p>
        </w:tc>
        <w:tc>
          <w:tcPr>
            <w:tcW w:w="3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C850A">
            <w:pPr>
              <w:keepNext w:val="0"/>
              <w:keepLines w:val="0"/>
              <w:pageBreakBefore w:val="0"/>
              <w:widowControl/>
              <w:numPr>
                <w:ilvl w:val="0"/>
                <w:numId w:val="8"/>
              </w:numPr>
              <w:kinsoku/>
              <w:wordWrap/>
              <w:overflowPunct/>
              <w:topLinePunct w:val="0"/>
              <w:autoSpaceDE/>
              <w:autoSpaceDN/>
              <w:bidi w:val="0"/>
              <w:adjustRightInd w:val="0"/>
              <w:snapToGrid w:val="0"/>
              <w:spacing w:line="240" w:lineRule="auto"/>
              <w:outlineLvl w:val="9"/>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加强现有有关行业企业的环境监管，鼓励企业采用新技术、新工艺，提高生产技术和污染治理水平，加快提标升级改造和深度治理，确保稳定达到排放标准。</w:t>
            </w:r>
          </w:p>
          <w:p w14:paraId="24677EC4">
            <w:pPr>
              <w:keepNext w:val="0"/>
              <w:keepLines w:val="0"/>
              <w:pageBreakBefore w:val="0"/>
              <w:widowControl/>
              <w:numPr>
                <w:ilvl w:val="0"/>
                <w:numId w:val="8"/>
              </w:numPr>
              <w:kinsoku/>
              <w:wordWrap/>
              <w:overflowPunct/>
              <w:topLinePunct w:val="0"/>
              <w:autoSpaceDE/>
              <w:autoSpaceDN/>
              <w:bidi w:val="0"/>
              <w:adjustRightInd w:val="0"/>
              <w:snapToGrid w:val="0"/>
              <w:spacing w:line="240" w:lineRule="auto"/>
              <w:outlineLvl w:val="9"/>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lang w:val="en-US" w:eastAsia="zh-CN"/>
              </w:rPr>
              <w:t>铜冶炼、铅锌冶炼、铅酸蓄电池制造等主要涉重金属行业重金属排放强度低于全国平均水平。</w:t>
            </w:r>
          </w:p>
        </w:tc>
      </w:tr>
      <w:tr w14:paraId="6C1F93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0" w:hRule="atLeast"/>
        </w:trPr>
        <w:tc>
          <w:tcPr>
            <w:tcW w:w="5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CC24CB">
            <w:pPr>
              <w:keepNext w:val="0"/>
              <w:keepLines w:val="0"/>
              <w:pageBreakBefore w:val="0"/>
              <w:widowControl/>
              <w:kinsoku/>
              <w:wordWrap/>
              <w:overflowPunct/>
              <w:topLinePunct w:val="0"/>
              <w:autoSpaceDE/>
              <w:autoSpaceDN/>
              <w:bidi w:val="0"/>
              <w:adjustRightInd/>
              <w:snapToGrid w:val="0"/>
              <w:spacing w:line="240" w:lineRule="auto"/>
              <w:jc w:val="center"/>
              <w:rPr>
                <w:rFonts w:hint="default" w:ascii="Times New Roman" w:hAnsi="Times New Roman" w:eastAsia="宋体" w:cs="Times New Roman"/>
                <w:i w:val="0"/>
                <w:iCs w:val="0"/>
                <w:color w:val="000000"/>
                <w:sz w:val="24"/>
                <w:szCs w:val="24"/>
                <w:u w:val="none"/>
              </w:rPr>
            </w:pP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940252">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环境风险防控</w:t>
            </w:r>
          </w:p>
        </w:tc>
        <w:tc>
          <w:tcPr>
            <w:tcW w:w="3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A01BEE">
            <w:pPr>
              <w:keepNext w:val="0"/>
              <w:keepLines w:val="0"/>
              <w:pageBreakBefore w:val="0"/>
              <w:widowControl/>
              <w:numPr>
                <w:ilvl w:val="0"/>
                <w:numId w:val="9"/>
              </w:numPr>
              <w:kinsoku/>
              <w:wordWrap/>
              <w:overflowPunct/>
              <w:topLinePunct w:val="0"/>
              <w:autoSpaceDE/>
              <w:autoSpaceDN/>
              <w:bidi w:val="0"/>
              <w:adjustRightInd w:val="0"/>
              <w:snapToGrid w:val="0"/>
              <w:spacing w:line="240" w:lineRule="auto"/>
              <w:outlineLvl w:val="9"/>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生产、储存危险化学品及产生大量废水的企业，应配套有效措施，防止因渗漏污染地下水、土壤。</w:t>
            </w:r>
          </w:p>
          <w:p w14:paraId="65583AEA">
            <w:pPr>
              <w:keepNext w:val="0"/>
              <w:keepLines w:val="0"/>
              <w:pageBreakBefore w:val="0"/>
              <w:widowControl/>
              <w:numPr>
                <w:ilvl w:val="0"/>
                <w:numId w:val="9"/>
              </w:numPr>
              <w:kinsoku/>
              <w:wordWrap/>
              <w:overflowPunct/>
              <w:topLinePunct w:val="0"/>
              <w:autoSpaceDE/>
              <w:autoSpaceDN/>
              <w:bidi w:val="0"/>
              <w:adjustRightInd w:val="0"/>
              <w:snapToGrid w:val="0"/>
              <w:spacing w:line="240" w:lineRule="auto"/>
              <w:outlineLvl w:val="9"/>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lang w:val="en-US" w:eastAsia="zh-CN"/>
              </w:rPr>
              <w:t>产生、利用或处置固体废物（含危险废物）的企业在贮存、转移、利用、处置固体废物（含危险废物）过程中，应配套防扬散、防流失、防渗漏及其他防止污染环境的措施。</w:t>
            </w:r>
          </w:p>
          <w:p w14:paraId="22E3071F">
            <w:pPr>
              <w:keepNext w:val="0"/>
              <w:keepLines w:val="0"/>
              <w:pageBreakBefore w:val="0"/>
              <w:widowControl/>
              <w:numPr>
                <w:ilvl w:val="0"/>
                <w:numId w:val="9"/>
              </w:numPr>
              <w:kinsoku/>
              <w:wordWrap/>
              <w:overflowPunct/>
              <w:topLinePunct w:val="0"/>
              <w:autoSpaceDE/>
              <w:autoSpaceDN/>
              <w:bidi w:val="0"/>
              <w:adjustRightInd w:val="0"/>
              <w:snapToGrid w:val="0"/>
              <w:spacing w:line="240" w:lineRule="auto"/>
              <w:outlineLvl w:val="9"/>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lang w:val="en-US" w:eastAsia="zh-CN"/>
              </w:rPr>
              <w:t>有重点监管尾矿库的企业要开展环境风险评估，完善污染治理设施，储备应急物资。</w:t>
            </w:r>
          </w:p>
        </w:tc>
      </w:tr>
      <w:tr w14:paraId="2CE814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50" w:hRule="atLeast"/>
        </w:trPr>
        <w:tc>
          <w:tcPr>
            <w:tcW w:w="51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BF2A90">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矿产资源重点管控单元</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49375">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空间布局约束</w:t>
            </w:r>
          </w:p>
        </w:tc>
        <w:tc>
          <w:tcPr>
            <w:tcW w:w="3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BFD37">
            <w:pPr>
              <w:keepNext w:val="0"/>
              <w:keepLines w:val="0"/>
              <w:pageBreakBefore w:val="0"/>
              <w:widowControl/>
              <w:numPr>
                <w:ilvl w:val="0"/>
                <w:numId w:val="10"/>
              </w:numPr>
              <w:kinsoku/>
              <w:wordWrap/>
              <w:overflowPunct/>
              <w:topLinePunct w:val="0"/>
              <w:autoSpaceDE/>
              <w:autoSpaceDN/>
              <w:bidi w:val="0"/>
              <w:adjustRightInd w:val="0"/>
              <w:snapToGrid w:val="0"/>
              <w:spacing w:line="240" w:lineRule="auto"/>
              <w:outlineLvl w:val="9"/>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限制开采高硫、高灰、高砷、高氟煤炭和湿地泥炭，以及砂金、砂铁等重砂矿物。</w:t>
            </w:r>
          </w:p>
          <w:p w14:paraId="60AECFD4">
            <w:pPr>
              <w:keepNext w:val="0"/>
              <w:keepLines w:val="0"/>
              <w:pageBreakBefore w:val="0"/>
              <w:widowControl/>
              <w:numPr>
                <w:ilvl w:val="0"/>
                <w:numId w:val="10"/>
              </w:numPr>
              <w:kinsoku/>
              <w:wordWrap/>
              <w:overflowPunct/>
              <w:topLinePunct w:val="0"/>
              <w:autoSpaceDE/>
              <w:autoSpaceDN/>
              <w:bidi w:val="0"/>
              <w:adjustRightInd w:val="0"/>
              <w:snapToGrid w:val="0"/>
              <w:spacing w:line="240" w:lineRule="auto"/>
              <w:outlineLvl w:val="9"/>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lang w:val="en-US" w:eastAsia="zh-CN"/>
              </w:rPr>
              <w:t>新建矿山严格控制最低开采规模及最低服务年限。</w:t>
            </w:r>
          </w:p>
          <w:p w14:paraId="6841200C">
            <w:pPr>
              <w:keepNext w:val="0"/>
              <w:keepLines w:val="0"/>
              <w:pageBreakBefore w:val="0"/>
              <w:widowControl/>
              <w:numPr>
                <w:ilvl w:val="0"/>
                <w:numId w:val="10"/>
              </w:numPr>
              <w:kinsoku/>
              <w:wordWrap/>
              <w:overflowPunct/>
              <w:topLinePunct w:val="0"/>
              <w:autoSpaceDE/>
              <w:autoSpaceDN/>
              <w:bidi w:val="0"/>
              <w:adjustRightInd w:val="0"/>
              <w:snapToGrid w:val="0"/>
              <w:spacing w:line="240" w:lineRule="auto"/>
              <w:outlineLvl w:val="9"/>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lang w:val="en-US" w:eastAsia="zh-CN"/>
              </w:rPr>
              <w:t>严格执行禁止开采区规定，对各类保护区内已设置的商业探矿权和采矿权，依法退出；对各类保护区设立之前已存在的合法探矿权和采矿权，以及各类保护区设立之后各项手续完备且已征得保护区主管部门同意设立的探矿权和采矿权，分类提出差别化的补偿和退出方案，在保障探矿权和采矿权人合法权益的前提下，依法有序退出。</w:t>
            </w:r>
          </w:p>
          <w:p w14:paraId="045A709D">
            <w:pPr>
              <w:keepNext w:val="0"/>
              <w:keepLines w:val="0"/>
              <w:pageBreakBefore w:val="0"/>
              <w:widowControl/>
              <w:numPr>
                <w:ilvl w:val="0"/>
                <w:numId w:val="10"/>
              </w:numPr>
              <w:kinsoku/>
              <w:wordWrap/>
              <w:overflowPunct/>
              <w:topLinePunct w:val="0"/>
              <w:autoSpaceDE/>
              <w:autoSpaceDN/>
              <w:bidi w:val="0"/>
              <w:adjustRightInd w:val="0"/>
              <w:snapToGrid w:val="0"/>
              <w:spacing w:line="240" w:lineRule="auto"/>
              <w:outlineLvl w:val="9"/>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lang w:val="en-US" w:eastAsia="zh-CN"/>
              </w:rPr>
              <w:t>严格尾矿库建设项目准入，严控新增环境污染风险。</w:t>
            </w:r>
          </w:p>
        </w:tc>
      </w:tr>
      <w:tr w14:paraId="5B3A6F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90" w:hRule="atLeast"/>
        </w:trPr>
        <w:tc>
          <w:tcPr>
            <w:tcW w:w="5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4D15AB">
            <w:pPr>
              <w:keepNext w:val="0"/>
              <w:keepLines w:val="0"/>
              <w:pageBreakBefore w:val="0"/>
              <w:widowControl/>
              <w:kinsoku/>
              <w:wordWrap/>
              <w:overflowPunct/>
              <w:topLinePunct w:val="0"/>
              <w:autoSpaceDE/>
              <w:autoSpaceDN/>
              <w:bidi w:val="0"/>
              <w:adjustRightInd/>
              <w:snapToGrid w:val="0"/>
              <w:spacing w:line="240" w:lineRule="auto"/>
              <w:jc w:val="center"/>
              <w:rPr>
                <w:rFonts w:hint="default" w:ascii="Times New Roman" w:hAnsi="Times New Roman" w:eastAsia="宋体" w:cs="Times New Roman"/>
                <w:i w:val="0"/>
                <w:iCs w:val="0"/>
                <w:color w:val="000000"/>
                <w:sz w:val="24"/>
                <w:szCs w:val="24"/>
                <w:u w:val="none"/>
              </w:rPr>
            </w:pP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03D43">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污染</w:t>
            </w:r>
            <w:r>
              <w:rPr>
                <w:rStyle w:val="184"/>
                <w:rFonts w:hint="default" w:ascii="Times New Roman" w:hAnsi="Times New Roman" w:eastAsia="宋体" w:cs="Times New Roman"/>
                <w:sz w:val="24"/>
                <w:szCs w:val="24"/>
                <w:lang w:val="en-US" w:eastAsia="zh-CN" w:bidi="ar"/>
              </w:rPr>
              <w:t>物排放管控</w:t>
            </w:r>
          </w:p>
        </w:tc>
        <w:tc>
          <w:tcPr>
            <w:tcW w:w="3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204024">
            <w:pPr>
              <w:keepNext w:val="0"/>
              <w:keepLines w:val="0"/>
              <w:pageBreakBefore w:val="0"/>
              <w:widowControl/>
              <w:numPr>
                <w:ilvl w:val="0"/>
                <w:numId w:val="11"/>
              </w:numPr>
              <w:kinsoku/>
              <w:wordWrap/>
              <w:overflowPunct/>
              <w:topLinePunct w:val="0"/>
              <w:autoSpaceDE/>
              <w:autoSpaceDN/>
              <w:bidi w:val="0"/>
              <w:adjustRightInd w:val="0"/>
              <w:snapToGrid w:val="0"/>
              <w:spacing w:line="240" w:lineRule="auto"/>
              <w:outlineLvl w:val="9"/>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推行清洁生产工艺，严格矿产资源开发的污染物排放。</w:t>
            </w:r>
          </w:p>
          <w:p w14:paraId="4AE7143B">
            <w:pPr>
              <w:keepNext w:val="0"/>
              <w:keepLines w:val="0"/>
              <w:pageBreakBefore w:val="0"/>
              <w:widowControl/>
              <w:numPr>
                <w:ilvl w:val="0"/>
                <w:numId w:val="11"/>
              </w:numPr>
              <w:kinsoku/>
              <w:wordWrap/>
              <w:overflowPunct/>
              <w:topLinePunct w:val="0"/>
              <w:autoSpaceDE/>
              <w:autoSpaceDN/>
              <w:bidi w:val="0"/>
              <w:adjustRightInd w:val="0"/>
              <w:snapToGrid w:val="0"/>
              <w:spacing w:line="240" w:lineRule="auto"/>
              <w:outlineLvl w:val="9"/>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lang w:val="en-US" w:eastAsia="zh-CN"/>
              </w:rPr>
              <w:t>对原有大中型矿业进行技术改造，淘汰污染严重、资源利用率低的落后设备与工艺。</w:t>
            </w:r>
          </w:p>
          <w:p w14:paraId="76BF7AD9">
            <w:pPr>
              <w:keepNext w:val="0"/>
              <w:keepLines w:val="0"/>
              <w:pageBreakBefore w:val="0"/>
              <w:widowControl/>
              <w:numPr>
                <w:ilvl w:val="0"/>
                <w:numId w:val="11"/>
              </w:numPr>
              <w:kinsoku/>
              <w:wordWrap/>
              <w:overflowPunct/>
              <w:topLinePunct w:val="0"/>
              <w:autoSpaceDE/>
              <w:autoSpaceDN/>
              <w:bidi w:val="0"/>
              <w:adjustRightInd w:val="0"/>
              <w:snapToGrid w:val="0"/>
              <w:spacing w:line="240" w:lineRule="auto"/>
              <w:outlineLvl w:val="9"/>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lang w:val="en-US" w:eastAsia="zh-CN"/>
              </w:rPr>
              <w:t>加强绿色勘查开采新技术、新方法和新工艺研发与推广，积极推进绿色勘查与开发。</w:t>
            </w:r>
          </w:p>
          <w:p w14:paraId="6F787077">
            <w:pPr>
              <w:keepNext w:val="0"/>
              <w:keepLines w:val="0"/>
              <w:pageBreakBefore w:val="0"/>
              <w:widowControl/>
              <w:numPr>
                <w:ilvl w:val="0"/>
                <w:numId w:val="11"/>
              </w:numPr>
              <w:kinsoku/>
              <w:wordWrap/>
              <w:overflowPunct/>
              <w:topLinePunct w:val="0"/>
              <w:autoSpaceDE/>
              <w:autoSpaceDN/>
              <w:bidi w:val="0"/>
              <w:adjustRightInd w:val="0"/>
              <w:snapToGrid w:val="0"/>
              <w:spacing w:line="240" w:lineRule="auto"/>
              <w:outlineLvl w:val="9"/>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lang w:val="en-US" w:eastAsia="zh-CN"/>
              </w:rPr>
              <w:t>推进绿色矿山建设，完善尾矿库污染防治措施，严格排污许可制度。</w:t>
            </w:r>
          </w:p>
        </w:tc>
      </w:tr>
      <w:tr w14:paraId="39F30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5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69A075">
            <w:pPr>
              <w:keepNext w:val="0"/>
              <w:keepLines w:val="0"/>
              <w:pageBreakBefore w:val="0"/>
              <w:widowControl/>
              <w:kinsoku/>
              <w:wordWrap/>
              <w:overflowPunct/>
              <w:topLinePunct w:val="0"/>
              <w:autoSpaceDE/>
              <w:autoSpaceDN/>
              <w:bidi w:val="0"/>
              <w:adjustRightInd/>
              <w:snapToGrid w:val="0"/>
              <w:spacing w:line="240" w:lineRule="auto"/>
              <w:jc w:val="center"/>
              <w:rPr>
                <w:rFonts w:hint="default" w:ascii="Times New Roman" w:hAnsi="Times New Roman" w:eastAsia="宋体" w:cs="Times New Roman"/>
                <w:i w:val="0"/>
                <w:iCs w:val="0"/>
                <w:color w:val="000000"/>
                <w:sz w:val="24"/>
                <w:szCs w:val="24"/>
                <w:u w:val="none"/>
              </w:rPr>
            </w:pP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4AC91">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环境风险防控</w:t>
            </w:r>
          </w:p>
        </w:tc>
        <w:tc>
          <w:tcPr>
            <w:tcW w:w="3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320F6">
            <w:pPr>
              <w:keepNext w:val="0"/>
              <w:keepLines w:val="0"/>
              <w:pageBreakBefore w:val="0"/>
              <w:widowControl/>
              <w:numPr>
                <w:ilvl w:val="0"/>
                <w:numId w:val="12"/>
              </w:numPr>
              <w:kinsoku/>
              <w:wordWrap/>
              <w:overflowPunct/>
              <w:topLinePunct w:val="0"/>
              <w:autoSpaceDE/>
              <w:autoSpaceDN/>
              <w:bidi w:val="0"/>
              <w:adjustRightInd w:val="0"/>
              <w:snapToGrid w:val="0"/>
              <w:spacing w:line="240" w:lineRule="auto"/>
              <w:outlineLvl w:val="9"/>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矿山采选区、废水处理设施、固体废物储存场所等应配备完善的污染防治措施，严防对水体和土壤造成污染。</w:t>
            </w:r>
          </w:p>
          <w:p w14:paraId="1F88F099">
            <w:pPr>
              <w:keepNext w:val="0"/>
              <w:keepLines w:val="0"/>
              <w:pageBreakBefore w:val="0"/>
              <w:widowControl/>
              <w:numPr>
                <w:ilvl w:val="0"/>
                <w:numId w:val="12"/>
              </w:numPr>
              <w:kinsoku/>
              <w:wordWrap/>
              <w:overflowPunct/>
              <w:topLinePunct w:val="0"/>
              <w:autoSpaceDE/>
              <w:autoSpaceDN/>
              <w:bidi w:val="0"/>
              <w:adjustRightInd w:val="0"/>
              <w:snapToGrid w:val="0"/>
              <w:spacing w:line="240" w:lineRule="auto"/>
              <w:outlineLvl w:val="9"/>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lang w:val="en-US" w:eastAsia="zh-CN"/>
              </w:rPr>
              <w:t>对尾矿库、废石堆通过平整、覆土、种植等措施开展复垦还绿，严防重金属污染。</w:t>
            </w:r>
          </w:p>
          <w:p w14:paraId="3361F78F">
            <w:pPr>
              <w:keepNext w:val="0"/>
              <w:keepLines w:val="0"/>
              <w:pageBreakBefore w:val="0"/>
              <w:widowControl/>
              <w:numPr>
                <w:ilvl w:val="0"/>
                <w:numId w:val="12"/>
              </w:numPr>
              <w:kinsoku/>
              <w:wordWrap/>
              <w:overflowPunct/>
              <w:topLinePunct w:val="0"/>
              <w:autoSpaceDE/>
              <w:autoSpaceDN/>
              <w:bidi w:val="0"/>
              <w:adjustRightInd w:val="0"/>
              <w:snapToGrid w:val="0"/>
              <w:spacing w:line="240" w:lineRule="auto"/>
              <w:outlineLvl w:val="9"/>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lang w:val="en-US" w:eastAsia="zh-CN"/>
              </w:rPr>
              <w:t>重点尾矿库所属企业按照有关规定，开展污染状况自行监测。</w:t>
            </w:r>
          </w:p>
        </w:tc>
      </w:tr>
      <w:tr w14:paraId="721DFC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4" w:hRule="atLeast"/>
        </w:trPr>
        <w:tc>
          <w:tcPr>
            <w:tcW w:w="51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EC9B1F">
            <w:pPr>
              <w:keepNext w:val="0"/>
              <w:keepLines w:val="0"/>
              <w:pageBreakBefore w:val="0"/>
              <w:widowControl/>
              <w:kinsoku/>
              <w:wordWrap/>
              <w:overflowPunct/>
              <w:topLinePunct w:val="0"/>
              <w:autoSpaceDE/>
              <w:autoSpaceDN/>
              <w:bidi w:val="0"/>
              <w:adjustRightInd/>
              <w:snapToGrid w:val="0"/>
              <w:spacing w:line="240" w:lineRule="auto"/>
              <w:jc w:val="center"/>
              <w:rPr>
                <w:rFonts w:hint="default" w:ascii="Times New Roman" w:hAnsi="Times New Roman" w:eastAsia="宋体" w:cs="Times New Roman"/>
                <w:i w:val="0"/>
                <w:iCs w:val="0"/>
                <w:color w:val="000000"/>
                <w:sz w:val="24"/>
                <w:szCs w:val="24"/>
                <w:u w:val="none"/>
              </w:rPr>
            </w:pP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F91AC">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资源开发效率要求</w:t>
            </w:r>
          </w:p>
        </w:tc>
        <w:tc>
          <w:tcPr>
            <w:tcW w:w="3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744907">
            <w:pPr>
              <w:keepNext w:val="0"/>
              <w:keepLines w:val="0"/>
              <w:pageBreakBefore w:val="0"/>
              <w:widowControl/>
              <w:numPr>
                <w:ilvl w:val="0"/>
                <w:numId w:val="13"/>
              </w:numPr>
              <w:kinsoku/>
              <w:wordWrap/>
              <w:overflowPunct/>
              <w:topLinePunct w:val="0"/>
              <w:autoSpaceDE/>
              <w:autoSpaceDN/>
              <w:bidi w:val="0"/>
              <w:adjustRightInd w:val="0"/>
              <w:snapToGrid w:val="0"/>
              <w:spacing w:line="240" w:lineRule="auto"/>
              <w:outlineLvl w:val="9"/>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从源头减少废水产生，实施清污分流，充分利用矿井水、循环利用选矿水。</w:t>
            </w:r>
          </w:p>
          <w:p w14:paraId="697C138B">
            <w:pPr>
              <w:keepNext w:val="0"/>
              <w:keepLines w:val="0"/>
              <w:pageBreakBefore w:val="0"/>
              <w:widowControl/>
              <w:numPr>
                <w:ilvl w:val="0"/>
                <w:numId w:val="13"/>
              </w:numPr>
              <w:kinsoku/>
              <w:wordWrap/>
              <w:overflowPunct/>
              <w:topLinePunct w:val="0"/>
              <w:autoSpaceDE/>
              <w:autoSpaceDN/>
              <w:bidi w:val="0"/>
              <w:adjustRightInd w:val="0"/>
              <w:snapToGrid w:val="0"/>
              <w:spacing w:line="240" w:lineRule="auto"/>
              <w:outlineLvl w:val="9"/>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lang w:val="en-US" w:eastAsia="zh-CN"/>
              </w:rPr>
              <w:t>提高矿产资源回采率和综合回收率，大力开展粉煤灰、炉渣、冶炼废渣、尾矿等资源化利用。</w:t>
            </w:r>
          </w:p>
        </w:tc>
      </w:tr>
      <w:tr w14:paraId="5A324C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5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C09C5">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大气环境布局敏感重点管控单元</w:t>
            </w:r>
          </w:p>
        </w:tc>
        <w:tc>
          <w:tcPr>
            <w:tcW w:w="8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CABFE6">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空间布局约束</w:t>
            </w:r>
          </w:p>
        </w:tc>
        <w:tc>
          <w:tcPr>
            <w:tcW w:w="3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2C400">
            <w:pPr>
              <w:keepNext w:val="0"/>
              <w:keepLines w:val="0"/>
              <w:pageBreakBefore w:val="0"/>
              <w:widowControl/>
              <w:kinsoku/>
              <w:wordWrap/>
              <w:overflowPunct/>
              <w:topLinePunct w:val="0"/>
              <w:autoSpaceDE/>
              <w:autoSpaceDN/>
              <w:bidi w:val="0"/>
              <w:adjustRightInd w:val="0"/>
              <w:snapToGrid w:val="0"/>
              <w:spacing w:line="240" w:lineRule="auto"/>
              <w:outlineLvl w:val="9"/>
              <w:rPr>
                <w:rFonts w:hint="default"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lang w:val="en-US" w:eastAsia="zh-CN"/>
              </w:rPr>
              <w:t>限制新（改、扩）建燃煤电厂、钢铁、水泥、有色冶炼、铁合金冶炼、石化、水泥等对大气污染严重的项目，确需建设该类项目应严格进行科学论证，确保不对周边敏感目标造成严重环境影响。</w:t>
            </w:r>
          </w:p>
        </w:tc>
      </w:tr>
    </w:tbl>
    <w:p w14:paraId="664C64DE">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bookmarkStart w:id="525" w:name="_Toc16583"/>
      <w:bookmarkStart w:id="526" w:name="_Toc32470"/>
      <w:bookmarkStart w:id="527" w:name="_Toc10611"/>
      <w:bookmarkStart w:id="528" w:name="_Toc26243"/>
      <w:r>
        <w:rPr>
          <w:rFonts w:hint="default" w:ascii="Times New Roman" w:hAnsi="Times New Roman" w:eastAsia="方正仿宋_GBK" w:cs="方正仿宋_GBK"/>
          <w:b w:val="0"/>
          <w:bCs w:val="0"/>
          <w:color w:val="auto"/>
          <w:kern w:val="2"/>
          <w:sz w:val="28"/>
          <w:szCs w:val="28"/>
          <w:lang w:val="en-US" w:eastAsia="zh-CN" w:bidi="ar-SA"/>
        </w:rPr>
        <w:t>3、主要任务</w:t>
      </w:r>
    </w:p>
    <w:p w14:paraId="116DA686">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加快推进“三线一单”成果落地应用。县人民政府切实提高政治站位，落实“三线一单”硬约束，将“三线一单”作为推动生态环境治理体系和治理能力现代化的重要举措，将生态保护红线作为空间管制要求，将环境质量底线和资源利用上线作为容量管控和生态环境准入要求</w:t>
      </w:r>
      <w:r>
        <w:rPr>
          <w:rFonts w:hint="eastAsia" w:ascii="Times New Roman" w:hAnsi="Times New Roman" w:eastAsia="方正仿宋_GBK" w:cs="方正仿宋_GBK"/>
          <w:b w:val="0"/>
          <w:bCs w:val="0"/>
          <w:color w:val="auto"/>
          <w:kern w:val="2"/>
          <w:sz w:val="28"/>
          <w:szCs w:val="28"/>
          <w:lang w:val="en-US" w:eastAsia="zh-CN" w:bidi="ar-SA"/>
        </w:rPr>
        <w:t>，</w:t>
      </w:r>
      <w:r>
        <w:rPr>
          <w:rFonts w:hint="default" w:ascii="Times New Roman" w:hAnsi="Times New Roman" w:eastAsia="方正仿宋_GBK" w:cs="方正仿宋_GBK"/>
          <w:b w:val="0"/>
          <w:bCs w:val="0"/>
          <w:color w:val="auto"/>
          <w:kern w:val="2"/>
          <w:sz w:val="28"/>
          <w:szCs w:val="28"/>
          <w:lang w:val="en-US" w:eastAsia="zh-CN" w:bidi="ar-SA"/>
        </w:rPr>
        <w:t>确保“三线一单”落地生效。要以生态环境质量改善为核心，确保发展不超载、底线不突破。</w:t>
      </w:r>
    </w:p>
    <w:p w14:paraId="4F592363">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服务区域经济高质量发展。正确处理好发展与保护的关系，将“三线一单”确定的生态环境管控单元及生态环境准入清单作为资源开发、产业布局和结构调整、城镇建设、重大项目选址的重要依据。规划环评、项目环评和排污许可等环境政策应落实“三线一单”生态环境分区管控要求，制定的相关政策、规划、方案要与“三线一单”充分衔接。</w:t>
      </w:r>
    </w:p>
    <w:p w14:paraId="108BC248">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支撑区域生态环境高水平保护。县人民政府应将生态环境分区管控作为推进生态修复、污染物排放控制、环境风险防控等工作的重要依据和生态环境监管的重点内容，严格落实生态环境分区管控要求，促进区域生态环境高水平保护。</w:t>
      </w:r>
    </w:p>
    <w:p w14:paraId="35A9EB33">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配合实施动态更新调整。配合市生态环境局对“三线一单”实施情况开展评估</w:t>
      </w:r>
      <w:r>
        <w:rPr>
          <w:rFonts w:hint="eastAsia" w:ascii="Times New Roman" w:hAnsi="Times New Roman" w:eastAsia="方正仿宋_GBK" w:cs="方正仿宋_GBK"/>
          <w:b w:val="0"/>
          <w:bCs w:val="0"/>
          <w:color w:val="auto"/>
          <w:kern w:val="2"/>
          <w:sz w:val="28"/>
          <w:szCs w:val="28"/>
          <w:lang w:val="en-US" w:eastAsia="zh-CN" w:bidi="ar-SA"/>
        </w:rPr>
        <w:t>，</w:t>
      </w:r>
      <w:r>
        <w:rPr>
          <w:rFonts w:hint="default" w:ascii="Times New Roman" w:hAnsi="Times New Roman" w:eastAsia="方正仿宋_GBK" w:cs="方正仿宋_GBK"/>
          <w:b w:val="0"/>
          <w:bCs w:val="0"/>
          <w:color w:val="auto"/>
          <w:kern w:val="2"/>
          <w:sz w:val="28"/>
          <w:szCs w:val="28"/>
          <w:lang w:val="en-US" w:eastAsia="zh-CN" w:bidi="ar-SA"/>
        </w:rPr>
        <w:t>原则上每5年开展1次评估调整。</w:t>
      </w:r>
    </w:p>
    <w:bookmarkEnd w:id="525"/>
    <w:bookmarkEnd w:id="526"/>
    <w:p w14:paraId="5149B22C">
      <w:pPr>
        <w:keepNext w:val="0"/>
        <w:keepLines w:val="0"/>
        <w:pageBreakBefore w:val="0"/>
        <w:numPr>
          <w:ilvl w:val="0"/>
          <w:numId w:val="0"/>
        </w:numPr>
        <w:kinsoku/>
        <w:wordWrap/>
        <w:overflowPunct/>
        <w:topLinePunct w:val="0"/>
        <w:autoSpaceDE/>
        <w:autoSpaceDN/>
        <w:bidi w:val="0"/>
        <w:snapToGrid w:val="0"/>
        <w:spacing w:before="157" w:beforeLines="50" w:after="157" w:afterLines="50" w:line="500" w:lineRule="exact"/>
        <w:textAlignment w:val="auto"/>
        <w:outlineLvl w:val="2"/>
        <w:rPr>
          <w:rFonts w:hint="default" w:ascii="Times New Roman" w:hAnsi="Times New Roman" w:eastAsia="宋体" w:cs="Times New Roman"/>
          <w:b/>
          <w:bCs/>
          <w:snapToGrid w:val="0"/>
          <w:color w:val="auto"/>
          <w:kern w:val="2"/>
          <w:sz w:val="28"/>
          <w:szCs w:val="28"/>
          <w:highlight w:val="none"/>
          <w:lang w:val="en-US" w:eastAsia="zh-CN" w:bidi="ar-SA"/>
        </w:rPr>
      </w:pPr>
      <w:bookmarkStart w:id="529" w:name="_Toc19108"/>
      <w:bookmarkStart w:id="530" w:name="_Toc2954"/>
      <w:bookmarkStart w:id="531" w:name="_Toc10305"/>
      <w:r>
        <w:rPr>
          <w:rFonts w:hint="default" w:ascii="Times New Roman" w:hAnsi="Times New Roman" w:eastAsia="宋体" w:cs="Times New Roman"/>
          <w:b/>
          <w:bCs/>
          <w:snapToGrid w:val="0"/>
          <w:color w:val="auto"/>
          <w:kern w:val="2"/>
          <w:sz w:val="28"/>
          <w:szCs w:val="28"/>
          <w:highlight w:val="none"/>
          <w:lang w:val="en-US" w:eastAsia="zh-CN" w:bidi="ar-SA"/>
        </w:rPr>
        <w:t>7.1.2生态保护红线和生态空间</w:t>
      </w:r>
      <w:bookmarkEnd w:id="527"/>
      <w:bookmarkEnd w:id="528"/>
      <w:bookmarkEnd w:id="529"/>
      <w:bookmarkEnd w:id="530"/>
      <w:bookmarkEnd w:id="531"/>
    </w:p>
    <w:p w14:paraId="02089A8C">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bookmarkStart w:id="532" w:name="_Toc533688379"/>
      <w:bookmarkStart w:id="533" w:name="_Toc472853961"/>
      <w:r>
        <w:rPr>
          <w:rFonts w:hint="default" w:ascii="Times New Roman" w:hAnsi="Times New Roman" w:eastAsia="方正仿宋_GBK" w:cs="方正仿宋_GBK"/>
          <w:b w:val="0"/>
          <w:bCs w:val="0"/>
          <w:color w:val="auto"/>
          <w:kern w:val="2"/>
          <w:sz w:val="28"/>
          <w:szCs w:val="28"/>
          <w:lang w:val="en-US" w:eastAsia="zh-CN" w:bidi="ar-SA"/>
        </w:rPr>
        <w:t>1、生态保护红线管控要求</w:t>
      </w:r>
    </w:p>
    <w:p w14:paraId="1BED7758">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将自然保护地和生态空间中具有特殊重要生态功能、必须强制性严格保护的区域，主要包括哀牢山自然保护区、磨盘山国家森林公园、玉白顶自然保护区等区域，生态红线划定面积为1203.31平方公里，占全县国土面积的28.4%。生态红线划定后完成勘界定标，保障生态保护红线落地。生态保护红线一旦划定，非经法定程序不得调整。强化生态保护红线刚性约束。生态保护红线内，自然保护地核心保护区原则上禁止人为活动，其他区域严格禁止开发性、生产性建设活动，在符合现行法律法规前提下，除国家重大战略项目外，仅允许对生态功能不造成破坏的有限人为活动，严禁开展与其主导功能定位不相符合的开发利用活动。制定人为活动准入“正面清单”，并严格监督管理。</w:t>
      </w:r>
    </w:p>
    <w:p w14:paraId="19BFC5E6">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2、生态空间管控</w:t>
      </w:r>
    </w:p>
    <w:bookmarkEnd w:id="532"/>
    <w:bookmarkEnd w:id="533"/>
    <w:p w14:paraId="66EAA8DD">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一是优先确定生态空间。坚持保护优先、自然恢复为主的方针，遵循生态保护连续性原则，加强生态空间与城镇空间、农业空间中的江河水系、绿地系统、森林、耕地等山水林田湖草生态要素的衔接联通，构建健康、完整、连续的绿色空间网络，明确哀牢山、磨盘山自然保护区、磨盘山国家森林公园、古州野林省级森林公园等自然保护地、生态重要和敏感地区为生态保护区，构建全域以哀牢山、磨盘山、红河、绿汁江等为重要生态屏障和生态廊道，形成连续、完整、系统的生态保护格局和开敞空间网络体系，确定生态保护与修复重点区域，合理预留基础设施廊道，维护生态安全和生物多样性，构建生态保护格局。强化县域中西部生态屏障作用，巩固新平作为云南重要生物多样性宝库的地位和作用。二是在现有《玉溪市“三线一单”生态环境分区管控实施方案》的基础，州和县两级应细化生态空间分级分类，对生态保护红线和一般生态空间实施差别化管控，制定差别化的准入条件、用途转用和生态修复要求。三是生态空间原则上按照限制开发区进行管理。以保护为主，严格限制区域开发强度，区域内污染物排放总量不得增加，严格限制矿产资源开发和水利水电开发项目，禁止采石、取土、采砂等活动，在进行各类建设开发活动前，应加强对生物多样性影响的评估，避免开发建设活动损害其生态系统服务功能。四是统筹一般生态空间保护和利用。在一般生态空间范围内按依法依规、限制开发的要求进行管理，允许在不降低生态功能、不破坏生态系统的前提下，进行土地利用结构和布局的调整。</w:t>
      </w:r>
    </w:p>
    <w:p w14:paraId="7F39B182">
      <w:pPr>
        <w:keepNext w:val="0"/>
        <w:keepLines w:val="0"/>
        <w:pageBreakBefore w:val="0"/>
        <w:numPr>
          <w:ilvl w:val="0"/>
          <w:numId w:val="0"/>
        </w:numPr>
        <w:kinsoku/>
        <w:wordWrap/>
        <w:overflowPunct/>
        <w:topLinePunct w:val="0"/>
        <w:autoSpaceDE/>
        <w:autoSpaceDN/>
        <w:bidi w:val="0"/>
        <w:snapToGrid w:val="0"/>
        <w:spacing w:before="157" w:beforeLines="50" w:after="157" w:afterLines="50" w:line="500" w:lineRule="exact"/>
        <w:textAlignment w:val="auto"/>
        <w:outlineLvl w:val="2"/>
        <w:rPr>
          <w:rFonts w:hint="default" w:ascii="Times New Roman" w:hAnsi="Times New Roman" w:eastAsia="宋体" w:cs="Times New Roman"/>
          <w:b/>
          <w:bCs/>
          <w:snapToGrid w:val="0"/>
          <w:color w:val="auto"/>
          <w:kern w:val="2"/>
          <w:sz w:val="28"/>
          <w:szCs w:val="28"/>
          <w:highlight w:val="none"/>
          <w:lang w:val="en-US" w:eastAsia="zh-CN" w:bidi="ar-SA"/>
        </w:rPr>
      </w:pPr>
      <w:bookmarkStart w:id="534" w:name="_Toc28929"/>
      <w:bookmarkStart w:id="535" w:name="_Toc24729"/>
      <w:bookmarkStart w:id="536" w:name="_Toc23723"/>
      <w:bookmarkStart w:id="537" w:name="_Toc1200"/>
      <w:bookmarkStart w:id="538" w:name="_Toc28105"/>
      <w:r>
        <w:rPr>
          <w:rFonts w:hint="default" w:ascii="Times New Roman" w:hAnsi="Times New Roman" w:eastAsia="宋体" w:cs="Times New Roman"/>
          <w:b/>
          <w:bCs/>
          <w:snapToGrid w:val="0"/>
          <w:color w:val="auto"/>
          <w:kern w:val="2"/>
          <w:sz w:val="28"/>
          <w:szCs w:val="28"/>
          <w:highlight w:val="none"/>
          <w:lang w:val="en-US" w:eastAsia="zh-CN" w:bidi="ar-SA"/>
        </w:rPr>
        <w:t>7.1.3永久基本农田和农业空间</w:t>
      </w:r>
      <w:bookmarkEnd w:id="534"/>
      <w:bookmarkEnd w:id="535"/>
      <w:bookmarkEnd w:id="536"/>
      <w:bookmarkEnd w:id="537"/>
      <w:bookmarkEnd w:id="538"/>
    </w:p>
    <w:p w14:paraId="4DB22175">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严守耕地和基本农田红线：坚持最严格的耕地保护制度和最严格的节约用地制度，守住耕地保护红线。依据《中华人民共和国土地管理法》和《基本农田保护条例》等法律法规及有关文件，实施最严格的耕地保护和节约用地制度，有效处理县城东侧前期划定不实、划定后违法占用破坏永久基本农田问题。严守永久基本农田保护红线，落实永久基本农田储备区划定及管理。将全县永久基本农田逐一落实到地块，与土地承包经营权登记数据相结合，切实做到落地到户、落实责任、更新标志，实现永久基本农田数量、质量、生态“三位一体”保护。严格落实永久基本农田保护责任，强化全面监测监管，建立健全“划、建、管、护”长效机制。开展综合评价，对现状耕地及现状永久基本农田布局集中度、质量、粮食作物种植、土壤污染等情况以及耕地后备资源、永久基本农田储备区等布局开展评价，依据国家和省下达的永久基本农田保护任务，结合国土空间规划分区划定工作，并按照规划分区管控和用途管制的要求，层层落实划定永久基本农田。《中共中央国务院关于做好2022年全面推进乡村振兴重点工作的意见》发布，即2022年中央一号文件，分类明确耕地用途，严格落实耕地利用优先序，耕地主要用于粮食和棉、油、糖、蔬菜等农产品及饲草饲料生产，永久基本农田重点用于粮食生产，高标准农田原则上全部用于粮食生产。</w:t>
      </w:r>
    </w:p>
    <w:p w14:paraId="52AB2A97">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农业空间管控要求，一是建立和完善基本农田保护负面清单，符合法定条件的重点项目选址确实难以避免永久基本农田的，必须进行严格论证，报国务院批准并补划；制定空间准入条件和负面清单，因地制宜制定禁止和限制发展产业名录。二是依据国土空间适宜性，科学合理引导农业结构调整，构建“一带两区”生态农业空间格局，提高农用地综合效益和质量。三是加强一般耕地“三位一体”保护，条件符合的，划入基本农田整备空间。</w:t>
      </w:r>
    </w:p>
    <w:p w14:paraId="5C8A659E">
      <w:pPr>
        <w:keepNext w:val="0"/>
        <w:keepLines w:val="0"/>
        <w:pageBreakBefore w:val="0"/>
        <w:numPr>
          <w:ilvl w:val="0"/>
          <w:numId w:val="0"/>
        </w:numPr>
        <w:kinsoku/>
        <w:wordWrap/>
        <w:overflowPunct/>
        <w:topLinePunct w:val="0"/>
        <w:autoSpaceDE/>
        <w:autoSpaceDN/>
        <w:bidi w:val="0"/>
        <w:snapToGrid w:val="0"/>
        <w:spacing w:before="157" w:beforeLines="50" w:after="157" w:afterLines="50" w:line="500" w:lineRule="exact"/>
        <w:textAlignment w:val="auto"/>
        <w:outlineLvl w:val="2"/>
        <w:rPr>
          <w:rFonts w:hint="default" w:ascii="Times New Roman" w:hAnsi="Times New Roman" w:eastAsia="宋体" w:cs="Times New Roman"/>
          <w:b/>
          <w:bCs/>
          <w:snapToGrid w:val="0"/>
          <w:color w:val="auto"/>
          <w:kern w:val="2"/>
          <w:sz w:val="28"/>
          <w:szCs w:val="28"/>
          <w:highlight w:val="none"/>
          <w:lang w:val="en-US" w:eastAsia="zh-CN" w:bidi="ar-SA"/>
        </w:rPr>
      </w:pPr>
      <w:bookmarkStart w:id="539" w:name="_Toc25712"/>
      <w:bookmarkStart w:id="540" w:name="_Toc28979"/>
      <w:bookmarkStart w:id="541" w:name="_Toc9396"/>
      <w:bookmarkStart w:id="542" w:name="_Toc15798"/>
      <w:bookmarkStart w:id="543" w:name="_Toc26685"/>
      <w:r>
        <w:rPr>
          <w:rFonts w:hint="default" w:ascii="Times New Roman" w:hAnsi="Times New Roman" w:eastAsia="宋体" w:cs="Times New Roman"/>
          <w:b/>
          <w:bCs/>
          <w:snapToGrid w:val="0"/>
          <w:color w:val="auto"/>
          <w:kern w:val="2"/>
          <w:sz w:val="28"/>
          <w:szCs w:val="28"/>
          <w:highlight w:val="none"/>
          <w:lang w:val="en-US" w:eastAsia="zh-CN" w:bidi="ar-SA"/>
        </w:rPr>
        <w:t>7.1.4城镇开发边界线和城镇空间</w:t>
      </w:r>
      <w:bookmarkEnd w:id="539"/>
      <w:bookmarkEnd w:id="540"/>
      <w:bookmarkEnd w:id="541"/>
      <w:bookmarkEnd w:id="542"/>
      <w:bookmarkEnd w:id="543"/>
    </w:p>
    <w:p w14:paraId="697C3459">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落实省、市国土空间总体规划城镇开发边界划定的规模与管控要求，立足地形条件、自然生态、环境容量等因素，综合考虑人口、产业、城镇规模和发展趋势，划定县城及戛洒镇、扬武镇、漠沙镇等集镇城镇开发边界，把建成区、集中连片城镇建设区和城中村、城边村、依法设立的各类开发区划入城镇集中建设区，确保不突破国土空间总体规划建设用地规模并预留一定弹性。按照集约适度、绿色发展的要求，结合产业发展和城市功能需求，统筹城乡建设用地，积极利用存量，合理配置增量，保障城乡发展空间。</w:t>
      </w:r>
    </w:p>
    <w:p w14:paraId="178D9124">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城镇空间管控要求，一是实行城镇开发边界分级审批，城镇开发边界一经批准不得擅自修改，确需修改的，应按程序报相应审批机关批准。二是实施规划编制许可制度，开展分区规划、专项规划、详细规划等相关规划编制工作，不得突破城镇开发边界进行空间布局。三是实施建设开发行为许可制度，各类城镇开发和集中建设活动，必须在城镇开发边界内选址，符合土地利用总体规划和城市总体规划的空间管控要。</w:t>
      </w:r>
    </w:p>
    <w:p w14:paraId="183ABB33">
      <w:pPr>
        <w:pStyle w:val="4"/>
        <w:pageBreakBefore w:val="0"/>
        <w:kinsoku/>
        <w:wordWrap/>
        <w:overflowPunct/>
        <w:topLinePunct w:val="0"/>
        <w:autoSpaceDE/>
        <w:autoSpaceDN/>
        <w:bidi w:val="0"/>
        <w:spacing w:before="260" w:after="260" w:line="500" w:lineRule="exact"/>
        <w:ind w:firstLine="0"/>
        <w:textAlignment w:val="auto"/>
        <w:rPr>
          <w:rFonts w:hint="default" w:ascii="Times New Roman" w:hAnsi="Times New Roman" w:eastAsia="仿宋" w:cs="Times New Roman"/>
          <w:color w:val="auto"/>
          <w:sz w:val="32"/>
          <w:lang w:val="zh-CN" w:eastAsia="zh-CN"/>
        </w:rPr>
      </w:pPr>
      <w:bookmarkStart w:id="544" w:name="_Toc28812"/>
      <w:bookmarkStart w:id="545" w:name="_Toc32448"/>
      <w:bookmarkStart w:id="546" w:name="_Toc30977"/>
      <w:bookmarkStart w:id="547" w:name="_Toc32563"/>
      <w:bookmarkStart w:id="548" w:name="_Toc24362"/>
      <w:bookmarkStart w:id="549" w:name="_Toc27556"/>
      <w:bookmarkStart w:id="550" w:name="_Toc20700"/>
      <w:bookmarkStart w:id="551" w:name="_Toc23605"/>
      <w:bookmarkStart w:id="552" w:name="_Toc20523"/>
      <w:bookmarkStart w:id="553" w:name="_Toc2254"/>
      <w:r>
        <w:rPr>
          <w:rFonts w:hint="default" w:ascii="Times New Roman" w:hAnsi="Times New Roman" w:eastAsia="仿宋" w:cs="Times New Roman"/>
          <w:color w:val="auto"/>
          <w:sz w:val="32"/>
          <w:lang w:val="en-US" w:eastAsia="zh-CN"/>
        </w:rPr>
        <w:t>7</w:t>
      </w:r>
      <w:r>
        <w:rPr>
          <w:rFonts w:hint="default" w:ascii="Times New Roman" w:hAnsi="Times New Roman" w:eastAsia="仿宋" w:cs="Times New Roman"/>
          <w:color w:val="auto"/>
          <w:sz w:val="32"/>
          <w:lang w:val="zh-CN" w:eastAsia="zh-CN"/>
        </w:rPr>
        <w:t>.</w:t>
      </w:r>
      <w:r>
        <w:rPr>
          <w:rFonts w:hint="default" w:ascii="Times New Roman" w:hAnsi="Times New Roman" w:eastAsia="仿宋" w:cs="Times New Roman"/>
          <w:color w:val="auto"/>
          <w:sz w:val="32"/>
          <w:lang w:val="en-US" w:eastAsia="zh-CN"/>
        </w:rPr>
        <w:t>2</w:t>
      </w:r>
      <w:r>
        <w:rPr>
          <w:rFonts w:hint="default" w:ascii="Times New Roman" w:hAnsi="Times New Roman" w:eastAsia="仿宋" w:cs="Times New Roman"/>
          <w:color w:val="auto"/>
          <w:sz w:val="32"/>
          <w:lang w:val="zh-CN" w:eastAsia="zh-CN"/>
        </w:rPr>
        <w:t>构建自然保护地体系</w:t>
      </w:r>
      <w:bookmarkEnd w:id="544"/>
      <w:bookmarkEnd w:id="545"/>
      <w:bookmarkEnd w:id="546"/>
      <w:bookmarkEnd w:id="547"/>
      <w:bookmarkEnd w:id="548"/>
      <w:bookmarkEnd w:id="549"/>
      <w:bookmarkEnd w:id="550"/>
      <w:bookmarkEnd w:id="551"/>
      <w:bookmarkEnd w:id="552"/>
      <w:bookmarkEnd w:id="553"/>
    </w:p>
    <w:p w14:paraId="5BE2F7BD">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丰富和强化自然保护地体系建设，完善管理制度，加强哀牢山、磨盘山等自然保护区的科学考察、生态监测和物种保护，加强保护区保护设施和能力建设，提高自然保护区生物多样性。开展云南哀牢山国家级自然保护区（新平片区）、玉溪玉白顶市级自然保护区（新平片区）、新平哀牢山县级自然保护区、新平磨盘山县级自然保护区、云南磨盘山国家森林公园五个自然保护地的优化整合工作，将原核心区、缓冲区转换为核心保护区，将原实验区转换为一般控制区，优化功能分区界线。</w:t>
      </w:r>
    </w:p>
    <w:p w14:paraId="760E84F6">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default" w:ascii="Times New Roman" w:hAnsi="Times New Roman" w:eastAsia="方正仿宋_GBK" w:cs="方正仿宋_GBK"/>
          <w:b w:val="0"/>
          <w:bCs w:val="0"/>
          <w:color w:val="auto"/>
          <w:kern w:val="2"/>
          <w:sz w:val="28"/>
          <w:szCs w:val="28"/>
          <w:lang w:val="en-US" w:eastAsia="zh-CN" w:bidi="ar-SA"/>
        </w:rPr>
        <w:t>1、</w:t>
      </w:r>
      <w:r>
        <w:rPr>
          <w:rFonts w:hint="default" w:ascii="Times New Roman" w:hAnsi="Times New Roman" w:eastAsia="方正仿宋_GBK" w:cs="方正仿宋_GBK"/>
          <w:b w:val="0"/>
          <w:bCs w:val="0"/>
          <w:color w:val="auto"/>
          <w:kern w:val="2"/>
          <w:sz w:val="28"/>
          <w:szCs w:val="28"/>
          <w:lang w:val="zh-CN" w:eastAsia="zh-CN" w:bidi="ar-SA"/>
        </w:rPr>
        <w:t>坚持交叉重叠整合、相邻相连归并、空间布局优化、边界范围细化的原则，规划自然保护地空间布局，采取划入与调出相结合，做到“应保尽保”。编制完成《新平彝族自治县自然保护地整合优化预案》，完成苍山保护机构调整设置，做好各自然保护地范围及功能分区优化调整及管理工作。到</w:t>
      </w:r>
      <w:r>
        <w:rPr>
          <w:rFonts w:hint="default" w:ascii="Times New Roman" w:hAnsi="Times New Roman" w:eastAsia="方正仿宋_GBK" w:cs="方正仿宋_GBK"/>
          <w:b w:val="0"/>
          <w:bCs w:val="0"/>
          <w:color w:val="auto"/>
          <w:kern w:val="2"/>
          <w:sz w:val="28"/>
          <w:szCs w:val="28"/>
          <w:lang w:val="en-US" w:eastAsia="zh-CN" w:bidi="ar-SA"/>
        </w:rPr>
        <w:t>2025年</w:t>
      </w:r>
      <w:r>
        <w:rPr>
          <w:rFonts w:hint="default" w:ascii="Times New Roman" w:hAnsi="Times New Roman" w:eastAsia="方正仿宋_GBK" w:cs="方正仿宋_GBK"/>
          <w:b w:val="0"/>
          <w:bCs w:val="0"/>
          <w:color w:val="auto"/>
          <w:kern w:val="2"/>
          <w:sz w:val="28"/>
          <w:szCs w:val="28"/>
          <w:lang w:val="zh-CN" w:eastAsia="zh-CN" w:bidi="ar-SA"/>
        </w:rPr>
        <w:t>，完成全县</w:t>
      </w:r>
      <w:r>
        <w:rPr>
          <w:rFonts w:hint="default" w:ascii="Times New Roman" w:hAnsi="Times New Roman" w:eastAsia="方正仿宋_GBK" w:cs="方正仿宋_GBK"/>
          <w:b w:val="0"/>
          <w:bCs w:val="0"/>
          <w:color w:val="auto"/>
          <w:kern w:val="2"/>
          <w:sz w:val="28"/>
          <w:szCs w:val="28"/>
          <w:lang w:val="en-US" w:eastAsia="zh-CN" w:bidi="ar-SA"/>
        </w:rPr>
        <w:t>5</w:t>
      </w:r>
      <w:r>
        <w:rPr>
          <w:rFonts w:hint="default" w:ascii="Times New Roman" w:hAnsi="Times New Roman" w:eastAsia="方正仿宋_GBK" w:cs="方正仿宋_GBK"/>
          <w:b w:val="0"/>
          <w:bCs w:val="0"/>
          <w:color w:val="auto"/>
          <w:kern w:val="2"/>
          <w:sz w:val="28"/>
          <w:szCs w:val="28"/>
          <w:lang w:val="zh-CN" w:eastAsia="zh-CN" w:bidi="ar-SA"/>
        </w:rPr>
        <w:t>个自然保护地的整合优化。</w:t>
      </w:r>
    </w:p>
    <w:p w14:paraId="01DAC1F5">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default" w:ascii="Times New Roman" w:hAnsi="Times New Roman" w:eastAsia="方正仿宋_GBK" w:cs="方正仿宋_GBK"/>
          <w:b w:val="0"/>
          <w:bCs w:val="0"/>
          <w:color w:val="auto"/>
          <w:kern w:val="2"/>
          <w:sz w:val="28"/>
          <w:szCs w:val="28"/>
          <w:lang w:val="en-US" w:eastAsia="zh-CN" w:bidi="ar-SA"/>
        </w:rPr>
        <w:t>2、</w:t>
      </w:r>
      <w:r>
        <w:rPr>
          <w:rFonts w:hint="default" w:ascii="Times New Roman" w:hAnsi="Times New Roman" w:eastAsia="方正仿宋_GBK" w:cs="方正仿宋_GBK"/>
          <w:b w:val="0"/>
          <w:bCs w:val="0"/>
          <w:color w:val="auto"/>
          <w:kern w:val="2"/>
          <w:sz w:val="28"/>
          <w:szCs w:val="28"/>
          <w:lang w:val="zh-CN" w:eastAsia="zh-CN" w:bidi="ar-SA"/>
        </w:rPr>
        <w:t>建立完善自然保护地勘界立标边界数据，全面启动整合优化以后自然保护地的勘界立标工作，确保自然保护地的勘界立标与生态保护红线勘界立标相协调；在自然保护地整合优化的基础上，开展各级各类自然保护地资源调查，评估分析各级自然保护地重要生态功能和重点保护对象，结合国土空间规划，编制修订自然保护地发展总体规划。</w:t>
      </w:r>
    </w:p>
    <w:p w14:paraId="475634C0">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default" w:ascii="Times New Roman" w:hAnsi="Times New Roman" w:eastAsia="方正仿宋_GBK" w:cs="方正仿宋_GBK"/>
          <w:b w:val="0"/>
          <w:bCs w:val="0"/>
          <w:color w:val="auto"/>
          <w:kern w:val="2"/>
          <w:sz w:val="28"/>
          <w:szCs w:val="28"/>
          <w:lang w:val="en-US" w:eastAsia="zh-CN" w:bidi="ar-SA"/>
        </w:rPr>
        <w:t>3、</w:t>
      </w:r>
      <w:r>
        <w:rPr>
          <w:rFonts w:hint="default" w:ascii="Times New Roman" w:hAnsi="Times New Roman" w:eastAsia="方正仿宋_GBK" w:cs="方正仿宋_GBK"/>
          <w:b w:val="0"/>
          <w:bCs w:val="0"/>
          <w:color w:val="auto"/>
          <w:kern w:val="2"/>
          <w:sz w:val="28"/>
          <w:szCs w:val="28"/>
          <w:lang w:val="zh-CN" w:eastAsia="zh-CN" w:bidi="ar-SA"/>
        </w:rPr>
        <w:t>建立健全自然保护地管理机构，理顺管理体制，加强自然保护地基础设施和能力建设，推进自然保护地规范化管理，建立和完善自然保护地巡护和监测体系，加强科研平台、教学实习基地及生态科普教育与体验基地建设。</w:t>
      </w:r>
    </w:p>
    <w:p w14:paraId="051DA65B">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default" w:ascii="Times New Roman" w:hAnsi="Times New Roman" w:eastAsia="方正仿宋_GBK" w:cs="方正仿宋_GBK"/>
          <w:b w:val="0"/>
          <w:bCs w:val="0"/>
          <w:color w:val="auto"/>
          <w:kern w:val="2"/>
          <w:sz w:val="28"/>
          <w:szCs w:val="28"/>
          <w:lang w:val="en-US" w:eastAsia="zh-CN" w:bidi="ar-SA"/>
        </w:rPr>
        <w:t>4、</w:t>
      </w:r>
      <w:r>
        <w:rPr>
          <w:rFonts w:hint="default" w:ascii="Times New Roman" w:hAnsi="Times New Roman" w:eastAsia="方正仿宋_GBK" w:cs="方正仿宋_GBK"/>
          <w:b w:val="0"/>
          <w:bCs w:val="0"/>
          <w:color w:val="auto"/>
          <w:kern w:val="2"/>
          <w:sz w:val="28"/>
          <w:szCs w:val="28"/>
          <w:lang w:val="zh-CN" w:eastAsia="zh-CN" w:bidi="ar-SA"/>
        </w:rPr>
        <w:t>落实自然保护地管控要求。根据《关于做好自然保护区范围及功能分区优化调整前期有关工作的函》，自然保护区的核心保护区内，原则上禁止人为活动，经批准，可以开展管护巡护、科学研究、资源调查、灾害防控、退耕还林还草还湿、生态廊道建设等活动。在自然保护区的一般控制区和自然公园内，严格禁止开发性、生产性建设活动，在符合现行法律法规前提下，除国家重大战略项目外，仅允许对生态功能不造成破坏的有限人为活动。</w:t>
      </w:r>
    </w:p>
    <w:p w14:paraId="176C7286">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zh-CN" w:eastAsia="zh-CN" w:bidi="ar-SA"/>
        </w:rPr>
      </w:pPr>
      <w:r>
        <w:rPr>
          <w:rFonts w:hint="default" w:ascii="Times New Roman" w:hAnsi="Times New Roman" w:eastAsia="方正仿宋_GBK" w:cs="方正仿宋_GBK"/>
          <w:b w:val="0"/>
          <w:bCs w:val="0"/>
          <w:color w:val="auto"/>
          <w:kern w:val="2"/>
          <w:sz w:val="28"/>
          <w:szCs w:val="28"/>
          <w:lang w:val="en-US" w:eastAsia="zh-CN" w:bidi="ar-SA"/>
        </w:rPr>
        <w:t>5、</w:t>
      </w:r>
      <w:r>
        <w:rPr>
          <w:rFonts w:hint="default" w:ascii="Times New Roman" w:hAnsi="Times New Roman" w:eastAsia="方正仿宋_GBK" w:cs="方正仿宋_GBK"/>
          <w:b w:val="0"/>
          <w:bCs w:val="0"/>
          <w:color w:val="auto"/>
          <w:kern w:val="2"/>
          <w:sz w:val="28"/>
          <w:szCs w:val="28"/>
          <w:lang w:val="zh-CN" w:eastAsia="zh-CN" w:bidi="ar-SA"/>
        </w:rPr>
        <w:t>完善自然保护地用途管制机制。全县自然保护地内禁止开发性、生产性建设活动，实行空间准入正面清单管理，除可允许的活动及国家重大战略项目、保护管理项目外，仅允许对生态功能不造成破坏的有限人为活动。因地制宜拆除和清理自然保护地内的违法建筑。严格自然保护地外围国土空间用途管制，不得建设污染环境、破坏资源或景观的生产设施。</w:t>
      </w:r>
    </w:p>
    <w:p w14:paraId="3326E497">
      <w:pPr>
        <w:pStyle w:val="4"/>
        <w:pageBreakBefore w:val="0"/>
        <w:kinsoku/>
        <w:wordWrap/>
        <w:overflowPunct/>
        <w:topLinePunct w:val="0"/>
        <w:autoSpaceDE/>
        <w:autoSpaceDN/>
        <w:bidi w:val="0"/>
        <w:spacing w:before="260" w:after="260" w:line="500" w:lineRule="exact"/>
        <w:ind w:firstLine="0"/>
        <w:textAlignment w:val="auto"/>
        <w:rPr>
          <w:rFonts w:hint="default" w:ascii="Times New Roman" w:hAnsi="Times New Roman" w:eastAsia="仿宋" w:cs="Times New Roman"/>
          <w:color w:val="auto"/>
          <w:sz w:val="32"/>
          <w:lang w:val="zh-CN" w:eastAsia="zh-CN"/>
        </w:rPr>
      </w:pPr>
      <w:bookmarkStart w:id="554" w:name="_Toc19248"/>
      <w:bookmarkStart w:id="555" w:name="_Toc22362"/>
      <w:bookmarkStart w:id="556" w:name="_Toc13478"/>
      <w:bookmarkStart w:id="557" w:name="_Toc27450"/>
      <w:bookmarkStart w:id="558" w:name="_Toc18271"/>
      <w:bookmarkStart w:id="559" w:name="_Toc8842"/>
      <w:bookmarkStart w:id="560" w:name="_Toc24979"/>
      <w:bookmarkStart w:id="561" w:name="_Toc5605"/>
      <w:bookmarkStart w:id="562" w:name="_Toc23235"/>
      <w:r>
        <w:rPr>
          <w:rFonts w:hint="default" w:ascii="Times New Roman" w:hAnsi="Times New Roman" w:eastAsia="仿宋" w:cs="Times New Roman"/>
          <w:color w:val="auto"/>
          <w:sz w:val="32"/>
          <w:lang w:val="zh-CN" w:eastAsia="zh-CN"/>
        </w:rPr>
        <w:t>7.</w:t>
      </w:r>
      <w:r>
        <w:rPr>
          <w:rFonts w:hint="default" w:ascii="Times New Roman" w:hAnsi="Times New Roman" w:eastAsia="仿宋" w:cs="Times New Roman"/>
          <w:color w:val="auto"/>
          <w:sz w:val="32"/>
          <w:lang w:val="en-US" w:eastAsia="zh-CN"/>
        </w:rPr>
        <w:t>3</w:t>
      </w:r>
      <w:bookmarkEnd w:id="554"/>
      <w:bookmarkEnd w:id="555"/>
      <w:r>
        <w:rPr>
          <w:rFonts w:hint="default" w:ascii="Times New Roman" w:hAnsi="Times New Roman" w:eastAsia="仿宋" w:cs="Times New Roman"/>
          <w:color w:val="auto"/>
          <w:sz w:val="32"/>
          <w:lang w:val="zh-CN" w:eastAsia="zh-CN"/>
        </w:rPr>
        <w:t>持续优化国土空间布局</w:t>
      </w:r>
      <w:bookmarkEnd w:id="556"/>
      <w:bookmarkEnd w:id="557"/>
      <w:bookmarkEnd w:id="558"/>
      <w:bookmarkEnd w:id="559"/>
      <w:bookmarkEnd w:id="560"/>
      <w:bookmarkEnd w:id="561"/>
      <w:bookmarkEnd w:id="562"/>
    </w:p>
    <w:p w14:paraId="12BFC7EF">
      <w:pPr>
        <w:keepNext w:val="0"/>
        <w:keepLines w:val="0"/>
        <w:pageBreakBefore w:val="0"/>
        <w:numPr>
          <w:ilvl w:val="0"/>
          <w:numId w:val="0"/>
        </w:numPr>
        <w:kinsoku/>
        <w:wordWrap/>
        <w:overflowPunct/>
        <w:topLinePunct w:val="0"/>
        <w:autoSpaceDE/>
        <w:autoSpaceDN/>
        <w:bidi w:val="0"/>
        <w:snapToGrid w:val="0"/>
        <w:spacing w:before="157" w:beforeLines="50" w:after="157" w:afterLines="50" w:line="500" w:lineRule="exact"/>
        <w:textAlignment w:val="auto"/>
        <w:outlineLvl w:val="2"/>
        <w:rPr>
          <w:rFonts w:hint="default" w:ascii="Times New Roman" w:hAnsi="Times New Roman" w:eastAsia="宋体" w:cs="Times New Roman"/>
          <w:b/>
          <w:bCs/>
          <w:snapToGrid w:val="0"/>
          <w:color w:val="auto"/>
          <w:kern w:val="2"/>
          <w:sz w:val="28"/>
          <w:szCs w:val="28"/>
          <w:highlight w:val="none"/>
          <w:lang w:val="en-US" w:eastAsia="zh-CN" w:bidi="ar-SA"/>
        </w:rPr>
      </w:pPr>
      <w:bookmarkStart w:id="563" w:name="_Toc12243"/>
      <w:bookmarkStart w:id="564" w:name="_Toc18694"/>
      <w:bookmarkStart w:id="565" w:name="_Toc9379"/>
      <w:r>
        <w:rPr>
          <w:rFonts w:hint="default" w:ascii="Times New Roman" w:hAnsi="Times New Roman" w:eastAsia="宋体" w:cs="Times New Roman"/>
          <w:b/>
          <w:bCs/>
          <w:snapToGrid w:val="0"/>
          <w:color w:val="auto"/>
          <w:kern w:val="2"/>
          <w:sz w:val="28"/>
          <w:szCs w:val="28"/>
          <w:highlight w:val="none"/>
          <w:lang w:val="en-US" w:eastAsia="zh-CN" w:bidi="ar-SA"/>
        </w:rPr>
        <w:t>7.3.1</w:t>
      </w:r>
      <w:bookmarkEnd w:id="563"/>
      <w:bookmarkEnd w:id="564"/>
      <w:r>
        <w:rPr>
          <w:rFonts w:hint="default" w:ascii="Times New Roman" w:hAnsi="Times New Roman" w:eastAsia="宋体" w:cs="Times New Roman"/>
          <w:b/>
          <w:bCs/>
          <w:snapToGrid w:val="0"/>
          <w:color w:val="auto"/>
          <w:kern w:val="2"/>
          <w:sz w:val="28"/>
          <w:szCs w:val="28"/>
          <w:highlight w:val="none"/>
          <w:lang w:val="en-US" w:eastAsia="zh-CN" w:bidi="ar-SA"/>
        </w:rPr>
        <w:t>加速融入滇中城市群一体化发展</w:t>
      </w:r>
      <w:bookmarkEnd w:id="565"/>
    </w:p>
    <w:p w14:paraId="3F0FAE0A">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云南提出“滇中崛起、沿边开放、滇东北开发、滇西一体化”的区域协调格局。加快滇中崛起，打造以昆明为中心的1小时现代化都市圈，推进昆玉同城化发展。新平要立足滇中外环交通网络，继续增强与滇中地区交通连接，依托昆明都市圈强大的消费市场和人口聚集优势，加快特色农产品优势区生产基地、农产品批发市场、区域性物流配送中心建设，促进农产品消费和农业一二三产融合发展。融入大滇西旅游环线、昆玉红旅游文化带、滇中旅游环线建设，整合县域特色小镇、美丽乡村、民族文化、农业庄园等旅游资源，加强与石屏、峨山、元江等地区旅游合作，推进旅游线路设计和打造，吸引游客聚集。强化园区间协调联动，推进新平产业园区建设，融入全省先进产业集群培育，发展壮大绿色矿冶、先进装备制造、生物资源加工等优势产业。推进生态共建共保，加强与双柏、元江等地建立协调机制，共同推进哀牢山生态屏障保护、红河谷—绿汁江综合开发和保护等。</w:t>
      </w:r>
    </w:p>
    <w:p w14:paraId="2E3307F5">
      <w:pPr>
        <w:keepNext w:val="0"/>
        <w:keepLines w:val="0"/>
        <w:pageBreakBefore w:val="0"/>
        <w:numPr>
          <w:ilvl w:val="0"/>
          <w:numId w:val="0"/>
        </w:numPr>
        <w:kinsoku/>
        <w:wordWrap/>
        <w:overflowPunct/>
        <w:topLinePunct w:val="0"/>
        <w:autoSpaceDE/>
        <w:autoSpaceDN/>
        <w:bidi w:val="0"/>
        <w:snapToGrid w:val="0"/>
        <w:spacing w:before="157" w:beforeLines="50" w:after="157" w:afterLines="50" w:line="500" w:lineRule="exact"/>
        <w:textAlignment w:val="auto"/>
        <w:outlineLvl w:val="2"/>
        <w:rPr>
          <w:rFonts w:hint="default" w:ascii="Times New Roman" w:hAnsi="Times New Roman" w:eastAsia="宋体" w:cs="Times New Roman"/>
          <w:b/>
          <w:bCs/>
          <w:snapToGrid w:val="0"/>
          <w:color w:val="auto"/>
          <w:kern w:val="2"/>
          <w:sz w:val="28"/>
          <w:szCs w:val="28"/>
          <w:highlight w:val="none"/>
          <w:lang w:val="en-US" w:eastAsia="zh-CN" w:bidi="ar-SA"/>
        </w:rPr>
      </w:pPr>
      <w:bookmarkStart w:id="566" w:name="_Toc7559"/>
      <w:bookmarkStart w:id="567" w:name="_Toc2245"/>
      <w:bookmarkStart w:id="568" w:name="_Toc4608"/>
      <w:bookmarkStart w:id="569" w:name="_Toc5450"/>
      <w:bookmarkStart w:id="570" w:name="_Toc24685"/>
      <w:r>
        <w:rPr>
          <w:rFonts w:hint="default" w:ascii="Times New Roman" w:hAnsi="Times New Roman" w:eastAsia="宋体" w:cs="Times New Roman"/>
          <w:b/>
          <w:bCs/>
          <w:snapToGrid w:val="0"/>
          <w:color w:val="auto"/>
          <w:kern w:val="2"/>
          <w:sz w:val="28"/>
          <w:szCs w:val="28"/>
          <w:highlight w:val="none"/>
          <w:lang w:val="en-US" w:eastAsia="zh-CN" w:bidi="ar-SA"/>
        </w:rPr>
        <w:t>7.3.2优化生产力空间布局</w:t>
      </w:r>
      <w:bookmarkEnd w:id="566"/>
    </w:p>
    <w:p w14:paraId="02BF6EC8">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统筹全域发展布局，发挥区域比较优势，构建“一核三极三带”的生产力空间布局。</w:t>
      </w:r>
    </w:p>
    <w:p w14:paraId="7D19EE91">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一核：即新平县城。全面提升县城规划、建设和管理水平，进一步提升“美丽县城”建设水平，发挥新平县城的政治、经济、文化中心作用，推动人口、科技、文化等要素集聚，深化桂山和古城一体化发展，以新型城镇化为重点，强化行政服务、商贸服务、金融服务等功能，提升公共服务质量，提高城市承载能力，做强商贸物流、文化旅游、休闲度假、房地产等产业，增强中心城区辐射带动能力，不断提升城市首位度，引领全县服务水平提升和产业升级，打造县域发展核心。</w:t>
      </w:r>
    </w:p>
    <w:p w14:paraId="5CED4AFF">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三极：放大戛洒、扬武、漠沙的交通区位、资源禀赋、产业基础等优势，做大做强中心城镇，增强集聚、辐射功能，打造戛洒文化旅游、漠沙现代农业、扬武绿色矿冶三个县域经济增长极。</w:t>
      </w:r>
    </w:p>
    <w:p w14:paraId="40522D2F">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戛洒文化旅游增长极。坚持文化与旅游、城镇建设、庄园农业等多领域深度融合发展的模式，以文化旅游为重点，巩固提升矿产资源采选及加工业，大力发展庄园经济，把腰街作为全县乡村振兴先行先试示范区，力争把戛洒花腰傣风情小镇创建成为全省特色小镇，把戛洒打造成为带动全县发展花腰傣文化旅游的重要增长极和西部次中心。</w:t>
      </w:r>
    </w:p>
    <w:p w14:paraId="131A9D9C">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扬武绿色矿冶增长极。发挥昆磨高速、大开门至宝秀高速和玉磨铁路在扬武交汇的区位交通优势，以大开门片区综合开发为依托，做大做强扬武中心城镇经济实力，把扬武打造成带动全县发展绿色矿冶的重要增长极和东部次中心。</w:t>
      </w:r>
    </w:p>
    <w:p w14:paraId="4BB399B4">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漠沙现代农业增长极。充分发挥立体气候优势，以漠沙现代农业示范区建设带动建兴、平掌，大力发展蔬菜、水果、甘蔗、茶叶、中药材等高原特色农业和生态旅游，把漠沙打造成为带动全县发展高原特色现代农业的重要增长极和南部次中心。</w:t>
      </w:r>
    </w:p>
    <w:p w14:paraId="0EE4C3EF">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三带：把握交通、热区河谷资源等带来的发展溢出效应，因地制宜，整合区域发展要素，打造昆曼国际通道产业发展带、红河谷—绿汁江热区产业经济带、哀牢山—磨盘山绿色经济带。</w:t>
      </w:r>
    </w:p>
    <w:p w14:paraId="49B63D54">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昆曼国际通道产业发展带。依托全资源型经济转型发展建设机遇，以扬武镇全域为主体，立足绿色钢城建设，加强与昆曼公路沿线县区产业联动发展，推动工业重心东移，以绿色矿冶集聚区建设推进城乡要素均衡配置，加快大开门综合开发，提升扬武集镇综合承载力，大力发展矿冶及配套、商贸物流等产业，打造昆曼国际通道产业经济带，形成支撑全县工业经济发展的主动脉。</w:t>
      </w:r>
    </w:p>
    <w:p w14:paraId="45F3499D">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红河谷—绿汁江热区产业经济带。按照全市热区产业发展规划布局，发挥新化、老厂、者竜、水塘、戛洒、漠沙的热区资源优势，厚植产业发展基础，培育新产业新动能，做强热区特色农业，做大沿江两岸经济，推动流域农业发展、旅游开发、生态治理，以热区农业综合开发促进居民生产生活条件改善、巩固拓展脱贫攻坚成果，打造红河谷—绿汁江热区产业经济带，实现农旅融合发展，形成支撑全县现代农业发展的核心区。</w:t>
      </w:r>
    </w:p>
    <w:p w14:paraId="1BA5E56D">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哀牢山—磨盘山绿色经济带。牢固树立“绿水青山就是金山银山”理念，坚持自然资源保护与开发并重，深挖哀牢山、磨盘山文化旅游资源，探索生态价值转换路径，大力发展以生态旅游为主的绿色经济和森林康养基地建设，依托扬武、平甸、新化、者竜、水塘、戛洒、漠沙、建兴、平掌，夯实旅游基础设施，开发民族文化、科考探险、登山越野、康体养生等多种旅游形态，提升景区综合功能，增强景区吸引力，打造哀牢山—磨盘山绿色经济带，实现文旅深度融合发展，构建“处处有风景，全域皆可游”的新平生态旅游大格局。</w:t>
      </w:r>
    </w:p>
    <w:p w14:paraId="59FE0996">
      <w:pPr>
        <w:keepNext w:val="0"/>
        <w:keepLines w:val="0"/>
        <w:pageBreakBefore w:val="0"/>
        <w:numPr>
          <w:ilvl w:val="0"/>
          <w:numId w:val="0"/>
        </w:numPr>
        <w:kinsoku/>
        <w:wordWrap/>
        <w:overflowPunct/>
        <w:topLinePunct w:val="0"/>
        <w:autoSpaceDE/>
        <w:autoSpaceDN/>
        <w:bidi w:val="0"/>
        <w:snapToGrid w:val="0"/>
        <w:spacing w:before="157" w:beforeLines="50" w:after="157" w:afterLines="50" w:line="500" w:lineRule="exact"/>
        <w:textAlignment w:val="auto"/>
        <w:outlineLvl w:val="2"/>
        <w:rPr>
          <w:rFonts w:hint="default" w:ascii="Times New Roman" w:hAnsi="Times New Roman" w:eastAsia="宋体" w:cs="Times New Roman"/>
          <w:b/>
          <w:bCs/>
          <w:snapToGrid w:val="0"/>
          <w:color w:val="auto"/>
          <w:kern w:val="2"/>
          <w:sz w:val="28"/>
          <w:szCs w:val="28"/>
          <w:highlight w:val="none"/>
          <w:lang w:val="en-US" w:eastAsia="zh-CN" w:bidi="ar-SA"/>
        </w:rPr>
      </w:pPr>
      <w:bookmarkStart w:id="571" w:name="_Toc13518"/>
      <w:r>
        <w:rPr>
          <w:rFonts w:hint="default" w:ascii="Times New Roman" w:hAnsi="Times New Roman" w:eastAsia="宋体" w:cs="Times New Roman"/>
          <w:b/>
          <w:bCs/>
          <w:snapToGrid w:val="0"/>
          <w:color w:val="auto"/>
          <w:kern w:val="2"/>
          <w:sz w:val="28"/>
          <w:szCs w:val="28"/>
          <w:highlight w:val="none"/>
          <w:lang w:val="en-US" w:eastAsia="zh-CN" w:bidi="ar-SA"/>
        </w:rPr>
        <w:t>7.3.</w:t>
      </w:r>
      <w:bookmarkEnd w:id="567"/>
      <w:bookmarkEnd w:id="568"/>
      <w:bookmarkEnd w:id="569"/>
      <w:bookmarkEnd w:id="570"/>
      <w:r>
        <w:rPr>
          <w:rFonts w:hint="default" w:ascii="Times New Roman" w:hAnsi="Times New Roman" w:eastAsia="宋体" w:cs="Times New Roman"/>
          <w:b/>
          <w:bCs/>
          <w:snapToGrid w:val="0"/>
          <w:color w:val="auto"/>
          <w:kern w:val="2"/>
          <w:sz w:val="28"/>
          <w:szCs w:val="28"/>
          <w:highlight w:val="none"/>
          <w:lang w:val="en-US" w:eastAsia="zh-CN" w:bidi="ar-SA"/>
        </w:rPr>
        <w:t>3巩固“两</w:t>
      </w:r>
      <w:r>
        <w:rPr>
          <w:rFonts w:hint="default" w:ascii="Times New Roman" w:hAnsi="Times New Roman" w:eastAsia="宋体" w:cs="Times New Roman"/>
          <w:b/>
          <w:bCs/>
          <w:snapToGrid w:val="0"/>
          <w:color w:val="auto"/>
          <w:kern w:val="2"/>
          <w:sz w:val="28"/>
          <w:szCs w:val="28"/>
          <w:highlight w:val="none"/>
          <w:lang w:eastAsia="zh-CN" w:bidi="ar-SA"/>
        </w:rPr>
        <w:t>山</w:t>
      </w:r>
      <w:r>
        <w:rPr>
          <w:rFonts w:hint="default" w:ascii="Times New Roman" w:hAnsi="Times New Roman" w:eastAsia="宋体" w:cs="Times New Roman"/>
          <w:b/>
          <w:bCs/>
          <w:snapToGrid w:val="0"/>
          <w:color w:val="auto"/>
          <w:kern w:val="2"/>
          <w:sz w:val="28"/>
          <w:szCs w:val="28"/>
          <w:highlight w:val="none"/>
          <w:lang w:val="en-US" w:eastAsia="zh-CN" w:bidi="ar-SA"/>
        </w:rPr>
        <w:t>一</w:t>
      </w:r>
      <w:r>
        <w:rPr>
          <w:rFonts w:hint="default" w:ascii="Times New Roman" w:hAnsi="Times New Roman" w:eastAsia="宋体" w:cs="Times New Roman"/>
          <w:b/>
          <w:bCs/>
          <w:snapToGrid w:val="0"/>
          <w:color w:val="auto"/>
          <w:kern w:val="2"/>
          <w:sz w:val="28"/>
          <w:szCs w:val="28"/>
          <w:highlight w:val="none"/>
          <w:lang w:eastAsia="zh-CN" w:bidi="ar-SA"/>
        </w:rPr>
        <w:t>江</w:t>
      </w:r>
      <w:r>
        <w:rPr>
          <w:rFonts w:hint="default" w:ascii="Times New Roman" w:hAnsi="Times New Roman" w:eastAsia="宋体" w:cs="Times New Roman"/>
          <w:b/>
          <w:bCs/>
          <w:snapToGrid w:val="0"/>
          <w:color w:val="auto"/>
          <w:kern w:val="2"/>
          <w:sz w:val="28"/>
          <w:szCs w:val="28"/>
          <w:highlight w:val="none"/>
          <w:lang w:val="en-US" w:eastAsia="zh-CN" w:bidi="ar-SA"/>
        </w:rPr>
        <w:t>多点”的生态安全格局</w:t>
      </w:r>
      <w:bookmarkEnd w:id="571"/>
    </w:p>
    <w:p w14:paraId="72D6AF93">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践行生态文明理念，统筹“山水林田湖草”全要素保护，开展全域环境治理和生态修复，丰富生境类型，增强生物多样性，构筑“两山一江多点”的生态安全格局。</w:t>
      </w:r>
    </w:p>
    <w:p w14:paraId="44DBCE5E">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两山：哀牢山生态屏障，以哀牢山国家级自然保护区保护范围为核心，严格保护以云南特有树种中山湿性常绿阔叶林生态系统、黑冠长臂猿、绿孔雀等珍稀动植物、候鸟迁徙地为主的生物多样性保护重要区域，加快申报设立哀牢山国家公园。磨盘山—玉白顶生态屏障。以磨盘山国家级森林公园为核心构建以中山湿性常绿阔叶林、半湿性常绿阔叶林生态系统及珍稀濒危动植物资源为主的保护区域。</w:t>
      </w:r>
    </w:p>
    <w:p w14:paraId="350779F1">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一江：加强戛洒江—绿汁江生态安全廊道保护。推进建设流域绿色屏障隔离带及河流生态廊道建设。清水绿廊以生态保育为核心，强化水体优化提质、土地功能调整、产业转型升级、公共空间连通、环境景观塑造等复合功能植入，清退两侧污染源，严控临侧建设，打造绿色洪涝通道、绿色引水通道、绿色景观人文通道等综合廊道。</w:t>
      </w:r>
    </w:p>
    <w:p w14:paraId="76A4FFB7">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多点：构建以古州野林、陈氏苏铁保护区、旱地油杉保护区、绿孔雀栖息地保护区为主的生态多样性保护格局。陈氏苏铁保护区，主要分布于老厂乡、者竜。旱地油杉保护区，主要分布于水塘、者竜、老厂、新化、戛洒、漠沙六个乡镇。绿孔雀栖息地保护区，主要分布在者竜乡、老厂乡和新化乡。</w:t>
      </w:r>
    </w:p>
    <w:p w14:paraId="49128324">
      <w:pPr>
        <w:keepNext w:val="0"/>
        <w:keepLines w:val="0"/>
        <w:pageBreakBefore w:val="0"/>
        <w:numPr>
          <w:ilvl w:val="0"/>
          <w:numId w:val="0"/>
        </w:numPr>
        <w:kinsoku/>
        <w:wordWrap/>
        <w:overflowPunct/>
        <w:topLinePunct w:val="0"/>
        <w:autoSpaceDE/>
        <w:autoSpaceDN/>
        <w:bidi w:val="0"/>
        <w:snapToGrid w:val="0"/>
        <w:spacing w:before="157" w:beforeLines="50" w:after="157" w:afterLines="50" w:line="500" w:lineRule="exact"/>
        <w:textAlignment w:val="auto"/>
        <w:outlineLvl w:val="2"/>
        <w:rPr>
          <w:rFonts w:hint="default" w:ascii="Times New Roman" w:hAnsi="Times New Roman" w:eastAsia="宋体" w:cs="Times New Roman"/>
          <w:b/>
          <w:bCs/>
          <w:snapToGrid w:val="0"/>
          <w:color w:val="auto"/>
          <w:kern w:val="2"/>
          <w:sz w:val="28"/>
          <w:szCs w:val="28"/>
          <w:highlight w:val="none"/>
          <w:lang w:val="en-US" w:eastAsia="zh-CN" w:bidi="ar-SA"/>
        </w:rPr>
      </w:pPr>
      <w:bookmarkStart w:id="572" w:name="_Toc20626"/>
      <w:bookmarkStart w:id="573" w:name="_Toc15124"/>
      <w:r>
        <w:rPr>
          <w:rFonts w:hint="default" w:ascii="Times New Roman" w:hAnsi="Times New Roman" w:eastAsia="宋体" w:cs="Times New Roman"/>
          <w:b/>
          <w:bCs/>
          <w:snapToGrid w:val="0"/>
          <w:color w:val="auto"/>
          <w:kern w:val="2"/>
          <w:sz w:val="28"/>
          <w:szCs w:val="28"/>
          <w:highlight w:val="none"/>
          <w:lang w:val="en-US" w:eastAsia="zh-CN" w:bidi="ar-SA"/>
        </w:rPr>
        <w:t>7.3.4优化产业发展布局</w:t>
      </w:r>
      <w:bookmarkEnd w:id="572"/>
    </w:p>
    <w:p w14:paraId="42E1B8A3">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1、高原特色农业发展空间布局</w:t>
      </w:r>
    </w:p>
    <w:p w14:paraId="47C82DA1">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围绕新平县实现高质量跨越式发展、经济社会发展再上新台阶、新时代新新平建设取得明显进展的目标，以资源环境承载力及国土空间开发适宜性评价为基础，以永金高速、大戛高速等骨干交通网络和红河谷、绿汁江为依托，严格耕地保护红线和粮食播种面积底线，加快推进高原特色农业现代化</w:t>
      </w:r>
      <w:r>
        <w:rPr>
          <w:rFonts w:hint="eastAsia" w:ascii="Times New Roman" w:hAnsi="Times New Roman" w:eastAsia="方正仿宋_GBK" w:cs="方正仿宋_GBK"/>
          <w:b w:val="0"/>
          <w:bCs w:val="0"/>
          <w:color w:val="auto"/>
          <w:kern w:val="2"/>
          <w:sz w:val="28"/>
          <w:szCs w:val="28"/>
          <w:lang w:val="en-US" w:eastAsia="zh-CN" w:bidi="ar-SA"/>
        </w:rPr>
        <w:t>，</w:t>
      </w:r>
      <w:r>
        <w:rPr>
          <w:rFonts w:hint="default" w:ascii="Times New Roman" w:hAnsi="Times New Roman" w:eastAsia="方正仿宋_GBK" w:cs="方正仿宋_GBK"/>
          <w:b w:val="0"/>
          <w:bCs w:val="0"/>
          <w:color w:val="auto"/>
          <w:kern w:val="2"/>
          <w:sz w:val="28"/>
          <w:szCs w:val="28"/>
          <w:lang w:val="en-US" w:eastAsia="zh-CN" w:bidi="ar-SA"/>
        </w:rPr>
        <w:t>做精做强特色优势产业</w:t>
      </w:r>
      <w:r>
        <w:rPr>
          <w:rFonts w:hint="eastAsia" w:ascii="Times New Roman" w:hAnsi="Times New Roman" w:eastAsia="方正仿宋_GBK" w:cs="方正仿宋_GBK"/>
          <w:b w:val="0"/>
          <w:bCs w:val="0"/>
          <w:color w:val="auto"/>
          <w:kern w:val="2"/>
          <w:sz w:val="28"/>
          <w:szCs w:val="28"/>
          <w:lang w:val="en-US" w:eastAsia="zh-CN" w:bidi="ar-SA"/>
        </w:rPr>
        <w:t>，</w:t>
      </w:r>
      <w:r>
        <w:rPr>
          <w:rFonts w:hint="default" w:ascii="Times New Roman" w:hAnsi="Times New Roman" w:eastAsia="方正仿宋_GBK" w:cs="方正仿宋_GBK"/>
          <w:b w:val="0"/>
          <w:bCs w:val="0"/>
          <w:color w:val="auto"/>
          <w:kern w:val="2"/>
          <w:sz w:val="28"/>
          <w:szCs w:val="28"/>
          <w:lang w:val="en-US" w:eastAsia="zh-CN" w:bidi="ar-SA"/>
        </w:rPr>
        <w:t>大力发展农产品加工业。整合区域资源，挖掘发展动力，促进县域内各乡镇互联互通、协同共进，着力构建“一带三区多点”的立体高原特色农业新格局。</w:t>
      </w:r>
    </w:p>
    <w:p w14:paraId="5616C3F5">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一带：红河谷—绿汁江热区产业经济带。按照玉溪热区产业发展规划布局，发挥新化、老厂、者竜、水塘、戛洒、漠沙的热区资源优势，推动流域农业发展、旅游开发、生态治理，重点发展水果、蔬菜、水稻、甘蔗、畜禽等产业，综合提升农产品质量和多功能价值，促进农旅融合发展，带动居民生产生活条件改善、巩固拓展脱贫攻坚成果，打造全县现代农业发展的核心区域。加强与元江、双柏等地合作，共同推进农业综合开发。</w:t>
      </w:r>
    </w:p>
    <w:p w14:paraId="43FC2633">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三区：低热河谷精品经果生产区。在海拔1300米以下，有农业综合开发后备资源76.2万亩，占全县总面积的12.0%。重点分布于红河流域的宽谷地带及其支流流域的丘陵谷地，依托炎热干燥、少霜冻的气候优势，进行亚热带水果以及甘蔗、冬早蔬菜等经济作物生产。中海拔优质粮烟生产区。在海拔1300～1900米地区，有农业综合开发后备资源117.6万亩，占全县总面积的18.5%。依托温热气候资源，在丘缓坡山区、半山区，推进玉米、水稻、烤烟种植。高海拔生态林药畜生产区。在海拔1900米以上区域，有农业综合开发后备资源30.1万亩，占全县总面积的4.7%。有大量的原始森林和高山草地，具有发展珍稀药材、经济林木、畜牧业及旅游业等自然优势。</w:t>
      </w:r>
    </w:p>
    <w:p w14:paraId="41202E89">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多点：现代农业庄园、田园综合体、产业基地、农产品交易中心等。依托褚橙庄园、桔荔庄园、漠沙猫哆哩庄园等，建设一批优质化、品牌化、专业化农业基地，推进</w:t>
      </w:r>
      <w:r>
        <w:rPr>
          <w:rFonts w:hint="eastAsia" w:ascii="Times New Roman" w:hAnsi="Times New Roman" w:eastAsia="方正仿宋_GBK" w:cs="方正仿宋_GBK"/>
          <w:b w:val="0"/>
          <w:bCs w:val="0"/>
          <w:color w:val="auto"/>
          <w:kern w:val="2"/>
          <w:sz w:val="28"/>
          <w:szCs w:val="28"/>
          <w:lang w:val="en-US" w:eastAsia="zh-CN" w:bidi="ar-SA"/>
        </w:rPr>
        <w:t>一、二、三产业</w:t>
      </w:r>
      <w:r>
        <w:rPr>
          <w:rFonts w:hint="default" w:ascii="Times New Roman" w:hAnsi="Times New Roman" w:eastAsia="方正仿宋_GBK" w:cs="方正仿宋_GBK"/>
          <w:b w:val="0"/>
          <w:bCs w:val="0"/>
          <w:color w:val="auto"/>
          <w:kern w:val="2"/>
          <w:sz w:val="28"/>
          <w:szCs w:val="28"/>
          <w:lang w:val="en-US" w:eastAsia="zh-CN" w:bidi="ar-SA"/>
        </w:rPr>
        <w:t>融合发展，形成现代农业发展示范。</w:t>
      </w:r>
    </w:p>
    <w:p w14:paraId="6AB15002">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2、工业产业空间布局</w:t>
      </w:r>
    </w:p>
    <w:p w14:paraId="6BA56014">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根据新平县地方经济发展的需要，结合县域工业产业发展现状以及外来变化趋势，规划未来产业空间发展采取“中心集聚，轴带拓展，节点增长”的布局模式，以核心引领区域，以区域连接节点，构建特色突出的工业产业格局，快速提升核心区的“引擎”作用，区域发展的聚集作用，节点连接辐射的联动作用。构建“四片区”的工业产业布局，突出四个片区的联动效应，协调县域经济的发展。</w:t>
      </w:r>
    </w:p>
    <w:p w14:paraId="31F938A9">
      <w:pPr>
        <w:keepNext w:val="0"/>
        <w:keepLines w:val="0"/>
        <w:pageBreakBefore w:val="0"/>
        <w:widowControl/>
        <w:kinsoku/>
        <w:wordWrap/>
        <w:overflowPunct/>
        <w:topLinePunct w:val="0"/>
        <w:autoSpaceDE/>
        <w:autoSpaceDN/>
        <w:bidi w:val="0"/>
        <w:adjustRightInd w:val="0"/>
        <w:snapToGrid w:val="0"/>
        <w:spacing w:line="360" w:lineRule="auto"/>
        <w:ind w:firstLine="562" w:firstLineChars="200"/>
        <w:jc w:val="center"/>
        <w:textAlignment w:val="auto"/>
        <w:rPr>
          <w:rFonts w:hint="default" w:ascii="Times New Roman" w:hAnsi="Times New Roman" w:eastAsia="方正仿宋_GBK" w:cs="方正仿宋_GBK"/>
          <w:b/>
          <w:bCs/>
          <w:color w:val="auto"/>
          <w:kern w:val="2"/>
          <w:sz w:val="28"/>
          <w:szCs w:val="28"/>
          <w:lang w:val="en-US" w:eastAsia="zh-CN" w:bidi="ar-SA"/>
        </w:rPr>
      </w:pPr>
      <w:r>
        <w:rPr>
          <w:rFonts w:hint="default" w:ascii="Times New Roman" w:hAnsi="Times New Roman" w:eastAsia="方正仿宋_GBK" w:cs="方正仿宋_GBK"/>
          <w:b/>
          <w:bCs/>
          <w:color w:val="auto"/>
          <w:kern w:val="2"/>
          <w:sz w:val="28"/>
          <w:szCs w:val="28"/>
          <w:lang w:val="en-US" w:eastAsia="zh-CN" w:bidi="ar-SA"/>
        </w:rPr>
        <w:t>7.3-1新平县工业布局优化方向</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83"/>
        <w:gridCol w:w="3390"/>
        <w:gridCol w:w="3043"/>
      </w:tblGrid>
      <w:tr w14:paraId="23648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083" w:type="dxa"/>
            <w:vAlign w:val="center"/>
          </w:tcPr>
          <w:p w14:paraId="6506E1B5">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方正仿宋_GBK" w:cs="Times New Roman"/>
                <w:b/>
                <w:bCs/>
                <w:color w:val="auto"/>
                <w:kern w:val="2"/>
                <w:sz w:val="24"/>
                <w:szCs w:val="24"/>
                <w:highlight w:val="none"/>
                <w:lang w:val="en-US" w:eastAsia="zh-CN" w:bidi="ar-SA"/>
              </w:rPr>
            </w:pPr>
            <w:r>
              <w:rPr>
                <w:rFonts w:hint="default" w:ascii="Times New Roman" w:hAnsi="Times New Roman" w:eastAsia="方正仿宋_GBK" w:cs="Times New Roman"/>
                <w:b/>
                <w:bCs/>
                <w:color w:val="auto"/>
                <w:kern w:val="2"/>
                <w:sz w:val="24"/>
                <w:szCs w:val="24"/>
                <w:highlight w:val="none"/>
                <w:lang w:val="en-US" w:eastAsia="zh-CN" w:bidi="ar-SA"/>
              </w:rPr>
              <w:t>工业发展空间</w:t>
            </w:r>
          </w:p>
        </w:tc>
        <w:tc>
          <w:tcPr>
            <w:tcW w:w="3390" w:type="dxa"/>
            <w:vAlign w:val="center"/>
          </w:tcPr>
          <w:p w14:paraId="442DE43A">
            <w:pPr>
              <w:keepNext w:val="0"/>
              <w:keepLines w:val="0"/>
              <w:pageBreakBefore w:val="0"/>
              <w:widowControl/>
              <w:suppressLineNumbers w:val="0"/>
              <w:kinsoku/>
              <w:wordWrap/>
              <w:overflowPunct/>
              <w:topLinePunct w:val="0"/>
              <w:autoSpaceDE/>
              <w:autoSpaceDN/>
              <w:bidi w:val="0"/>
              <w:snapToGrid w:val="0"/>
              <w:spacing w:line="240" w:lineRule="auto"/>
              <w:jc w:val="center"/>
              <w:textAlignment w:val="auto"/>
              <w:rPr>
                <w:rFonts w:hint="default" w:ascii="Times New Roman" w:hAnsi="Times New Roman" w:eastAsia="方正仿宋_GBK" w:cs="Times New Roman"/>
                <w:b/>
                <w:bCs/>
                <w:color w:val="auto"/>
                <w:kern w:val="2"/>
                <w:sz w:val="24"/>
                <w:szCs w:val="24"/>
                <w:highlight w:val="none"/>
                <w:lang w:val="en-US" w:eastAsia="zh-CN" w:bidi="ar-SA"/>
              </w:rPr>
            </w:pPr>
            <w:r>
              <w:rPr>
                <w:rFonts w:hint="default" w:ascii="Times New Roman" w:hAnsi="Times New Roman" w:eastAsia="方正仿宋_GBK" w:cs="Times New Roman"/>
                <w:b/>
                <w:bCs/>
                <w:color w:val="auto"/>
                <w:kern w:val="2"/>
                <w:sz w:val="24"/>
                <w:szCs w:val="24"/>
                <w:highlight w:val="none"/>
                <w:lang w:val="en-US" w:eastAsia="zh-CN" w:bidi="ar-SA"/>
              </w:rPr>
              <w:t>涵盖区域</w:t>
            </w:r>
          </w:p>
        </w:tc>
        <w:tc>
          <w:tcPr>
            <w:tcW w:w="3043" w:type="dxa"/>
            <w:vAlign w:val="center"/>
          </w:tcPr>
          <w:p w14:paraId="6A2E8B91">
            <w:pPr>
              <w:keepNext w:val="0"/>
              <w:keepLines w:val="0"/>
              <w:widowControl/>
              <w:suppressLineNumbers w:val="0"/>
              <w:spacing w:line="240" w:lineRule="auto"/>
              <w:jc w:val="center"/>
              <w:rPr>
                <w:rFonts w:hint="default" w:ascii="Times New Roman" w:hAnsi="Times New Roman" w:eastAsia="方正仿宋_GBK" w:cs="Times New Roman"/>
                <w:b/>
                <w:bCs/>
                <w:color w:val="auto"/>
                <w:kern w:val="2"/>
                <w:sz w:val="24"/>
                <w:szCs w:val="24"/>
                <w:highlight w:val="none"/>
                <w:lang w:val="en-US" w:eastAsia="zh-CN" w:bidi="ar-SA"/>
              </w:rPr>
            </w:pPr>
            <w:r>
              <w:rPr>
                <w:rFonts w:hint="default" w:ascii="Times New Roman" w:hAnsi="Times New Roman" w:eastAsia="方正仿宋_GBK" w:cs="Times New Roman"/>
                <w:b/>
                <w:bCs/>
                <w:color w:val="auto"/>
                <w:kern w:val="2"/>
                <w:sz w:val="24"/>
                <w:szCs w:val="24"/>
                <w:highlight w:val="none"/>
                <w:lang w:val="en-US" w:eastAsia="zh-CN" w:bidi="ar-SA"/>
              </w:rPr>
              <w:t>产业布局优化</w:t>
            </w:r>
          </w:p>
        </w:tc>
      </w:tr>
      <w:tr w14:paraId="51ADE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vAlign w:val="center"/>
          </w:tcPr>
          <w:p w14:paraId="4354F5AD">
            <w:pPr>
              <w:keepNext w:val="0"/>
              <w:keepLines w:val="0"/>
              <w:pageBreakBefore w:val="0"/>
              <w:widowControl/>
              <w:suppressLineNumbers w:val="0"/>
              <w:kinsoku/>
              <w:wordWrap/>
              <w:overflowPunct/>
              <w:topLinePunct w:val="0"/>
              <w:autoSpaceDE/>
              <w:autoSpaceDN/>
              <w:bidi w:val="0"/>
              <w:snapToGrid w:val="0"/>
              <w:spacing w:line="240" w:lineRule="auto"/>
              <w:jc w:val="center"/>
              <w:textAlignment w:val="auto"/>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桂山片区</w:t>
            </w:r>
          </w:p>
        </w:tc>
        <w:tc>
          <w:tcPr>
            <w:tcW w:w="3390" w:type="dxa"/>
            <w:vAlign w:val="center"/>
          </w:tcPr>
          <w:p w14:paraId="02C34199">
            <w:pPr>
              <w:keepNext w:val="0"/>
              <w:keepLines w:val="0"/>
              <w:pageBreakBefore w:val="0"/>
              <w:widowControl/>
              <w:suppressLineNumbers w:val="0"/>
              <w:kinsoku/>
              <w:wordWrap/>
              <w:overflowPunct/>
              <w:topLinePunct w:val="0"/>
              <w:autoSpaceDE/>
              <w:autoSpaceDN/>
              <w:bidi w:val="0"/>
              <w:snapToGrid w:val="0"/>
              <w:spacing w:line="240" w:lineRule="auto"/>
              <w:jc w:val="center"/>
              <w:textAlignment w:val="auto"/>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以县城为中心，涵盖桂山街道、古城街道、平甸乡和新化乡所辖区域</w:t>
            </w:r>
          </w:p>
        </w:tc>
        <w:tc>
          <w:tcPr>
            <w:tcW w:w="3043" w:type="dxa"/>
            <w:vAlign w:val="center"/>
          </w:tcPr>
          <w:p w14:paraId="6F76A7F0">
            <w:pPr>
              <w:keepNext w:val="0"/>
              <w:keepLines w:val="0"/>
              <w:pageBreakBefore w:val="0"/>
              <w:widowControl/>
              <w:suppressLineNumbers w:val="0"/>
              <w:kinsoku/>
              <w:wordWrap/>
              <w:overflowPunct/>
              <w:topLinePunct w:val="0"/>
              <w:autoSpaceDE/>
              <w:autoSpaceDN/>
              <w:bidi w:val="0"/>
              <w:snapToGrid w:val="0"/>
              <w:spacing w:line="240" w:lineRule="auto"/>
              <w:jc w:val="center"/>
              <w:textAlignment w:val="auto"/>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以绿色食品加工、生物制药、生物资源加工、现代物流、新材料、电子信息、新型建材等产业，建设全县产业研发中心</w:t>
            </w:r>
          </w:p>
        </w:tc>
      </w:tr>
      <w:tr w14:paraId="0C5A4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vAlign w:val="center"/>
          </w:tcPr>
          <w:p w14:paraId="61691DFC">
            <w:pPr>
              <w:keepNext w:val="0"/>
              <w:keepLines w:val="0"/>
              <w:pageBreakBefore w:val="0"/>
              <w:widowControl/>
              <w:suppressLineNumbers w:val="0"/>
              <w:kinsoku/>
              <w:wordWrap/>
              <w:overflowPunct/>
              <w:topLinePunct w:val="0"/>
              <w:autoSpaceDE/>
              <w:autoSpaceDN/>
              <w:bidi w:val="0"/>
              <w:snapToGrid w:val="0"/>
              <w:spacing w:line="240" w:lineRule="auto"/>
              <w:jc w:val="center"/>
              <w:textAlignment w:val="auto"/>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扬武片区</w:t>
            </w:r>
          </w:p>
        </w:tc>
        <w:tc>
          <w:tcPr>
            <w:tcW w:w="3390" w:type="dxa"/>
            <w:vAlign w:val="center"/>
          </w:tcPr>
          <w:p w14:paraId="2FECC4A9">
            <w:pPr>
              <w:keepNext w:val="0"/>
              <w:keepLines w:val="0"/>
              <w:pageBreakBefore w:val="0"/>
              <w:widowControl/>
              <w:suppressLineNumbers w:val="0"/>
              <w:kinsoku/>
              <w:wordWrap/>
              <w:overflowPunct/>
              <w:topLinePunct w:val="0"/>
              <w:autoSpaceDE/>
              <w:autoSpaceDN/>
              <w:bidi w:val="0"/>
              <w:snapToGrid w:val="0"/>
              <w:spacing w:line="240" w:lineRule="auto"/>
              <w:jc w:val="center"/>
              <w:textAlignment w:val="auto"/>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涵盖扬武镇所辖区域。</w:t>
            </w:r>
          </w:p>
        </w:tc>
        <w:tc>
          <w:tcPr>
            <w:tcW w:w="3043" w:type="dxa"/>
            <w:vAlign w:val="center"/>
          </w:tcPr>
          <w:p w14:paraId="26E8F102">
            <w:pPr>
              <w:keepNext w:val="0"/>
              <w:keepLines w:val="0"/>
              <w:pageBreakBefore w:val="0"/>
              <w:widowControl/>
              <w:suppressLineNumbers w:val="0"/>
              <w:kinsoku/>
              <w:wordWrap/>
              <w:overflowPunct/>
              <w:topLinePunct w:val="0"/>
              <w:autoSpaceDE/>
              <w:autoSpaceDN/>
              <w:bidi w:val="0"/>
              <w:snapToGrid w:val="0"/>
              <w:spacing w:line="240" w:lineRule="auto"/>
              <w:jc w:val="center"/>
              <w:textAlignment w:val="auto"/>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以高科技支撑的绿色矿产品精深加工、智能装备制造产业、建筑材料、现代物流等产业，推进产城融合</w:t>
            </w:r>
          </w:p>
        </w:tc>
      </w:tr>
      <w:tr w14:paraId="06E1C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vAlign w:val="center"/>
          </w:tcPr>
          <w:p w14:paraId="5CB45D50">
            <w:pPr>
              <w:keepNext w:val="0"/>
              <w:keepLines w:val="0"/>
              <w:pageBreakBefore w:val="0"/>
              <w:widowControl/>
              <w:suppressLineNumbers w:val="0"/>
              <w:kinsoku/>
              <w:wordWrap/>
              <w:overflowPunct/>
              <w:topLinePunct w:val="0"/>
              <w:autoSpaceDE/>
              <w:autoSpaceDN/>
              <w:bidi w:val="0"/>
              <w:snapToGrid w:val="0"/>
              <w:spacing w:line="240" w:lineRule="auto"/>
              <w:jc w:val="center"/>
              <w:textAlignment w:val="auto"/>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戛洒片区</w:t>
            </w:r>
          </w:p>
        </w:tc>
        <w:tc>
          <w:tcPr>
            <w:tcW w:w="3390" w:type="dxa"/>
            <w:vAlign w:val="center"/>
          </w:tcPr>
          <w:p w14:paraId="622BD987">
            <w:pPr>
              <w:keepNext w:val="0"/>
              <w:keepLines w:val="0"/>
              <w:pageBreakBefore w:val="0"/>
              <w:widowControl/>
              <w:suppressLineNumbers w:val="0"/>
              <w:kinsoku/>
              <w:wordWrap/>
              <w:overflowPunct/>
              <w:topLinePunct w:val="0"/>
              <w:autoSpaceDE/>
              <w:autoSpaceDN/>
              <w:bidi w:val="0"/>
              <w:snapToGrid w:val="0"/>
              <w:spacing w:line="240" w:lineRule="auto"/>
              <w:jc w:val="center"/>
              <w:textAlignment w:val="auto"/>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以戛洒为中心，涵盖者竜、水塘所辖区域</w:t>
            </w:r>
          </w:p>
        </w:tc>
        <w:tc>
          <w:tcPr>
            <w:tcW w:w="3043" w:type="dxa"/>
            <w:vAlign w:val="center"/>
          </w:tcPr>
          <w:p w14:paraId="369D0F30">
            <w:pPr>
              <w:keepNext w:val="0"/>
              <w:keepLines w:val="0"/>
              <w:pageBreakBefore w:val="0"/>
              <w:widowControl/>
              <w:suppressLineNumbers w:val="0"/>
              <w:kinsoku/>
              <w:wordWrap/>
              <w:overflowPunct/>
              <w:topLinePunct w:val="0"/>
              <w:autoSpaceDE/>
              <w:autoSpaceDN/>
              <w:bidi w:val="0"/>
              <w:snapToGrid w:val="0"/>
              <w:spacing w:line="240" w:lineRule="auto"/>
              <w:jc w:val="center"/>
              <w:textAlignment w:val="auto"/>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重点发展铜、铁矿色及配套产业、水电开发、特色农产品加工、冷链物流等产业</w:t>
            </w:r>
          </w:p>
        </w:tc>
      </w:tr>
      <w:tr w14:paraId="52D57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83" w:type="dxa"/>
            <w:vAlign w:val="center"/>
          </w:tcPr>
          <w:p w14:paraId="20B3B628">
            <w:pPr>
              <w:keepNext w:val="0"/>
              <w:keepLines w:val="0"/>
              <w:pageBreakBefore w:val="0"/>
              <w:widowControl/>
              <w:suppressLineNumbers w:val="0"/>
              <w:kinsoku/>
              <w:wordWrap/>
              <w:overflowPunct/>
              <w:topLinePunct w:val="0"/>
              <w:autoSpaceDE/>
              <w:autoSpaceDN/>
              <w:bidi w:val="0"/>
              <w:snapToGrid w:val="0"/>
              <w:spacing w:line="240" w:lineRule="auto"/>
              <w:jc w:val="center"/>
              <w:textAlignment w:val="auto"/>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漠沙片区</w:t>
            </w:r>
          </w:p>
        </w:tc>
        <w:tc>
          <w:tcPr>
            <w:tcW w:w="3390" w:type="dxa"/>
            <w:vAlign w:val="center"/>
          </w:tcPr>
          <w:p w14:paraId="2F2EB4DE">
            <w:pPr>
              <w:keepNext w:val="0"/>
              <w:keepLines w:val="0"/>
              <w:pageBreakBefore w:val="0"/>
              <w:widowControl/>
              <w:suppressLineNumbers w:val="0"/>
              <w:kinsoku/>
              <w:wordWrap/>
              <w:overflowPunct/>
              <w:topLinePunct w:val="0"/>
              <w:autoSpaceDE/>
              <w:autoSpaceDN/>
              <w:bidi w:val="0"/>
              <w:snapToGrid w:val="0"/>
              <w:spacing w:line="240" w:lineRule="auto"/>
              <w:jc w:val="center"/>
              <w:textAlignment w:val="auto"/>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以漠沙为中心，涵盖平掌、建兴所辖区域</w:t>
            </w:r>
          </w:p>
        </w:tc>
        <w:tc>
          <w:tcPr>
            <w:tcW w:w="3043" w:type="dxa"/>
            <w:vAlign w:val="center"/>
          </w:tcPr>
          <w:p w14:paraId="36D8861B">
            <w:pPr>
              <w:keepNext w:val="0"/>
              <w:keepLines w:val="0"/>
              <w:pageBreakBefore w:val="0"/>
              <w:widowControl/>
              <w:suppressLineNumbers w:val="0"/>
              <w:kinsoku/>
              <w:wordWrap/>
              <w:overflowPunct/>
              <w:topLinePunct w:val="0"/>
              <w:autoSpaceDE/>
              <w:autoSpaceDN/>
              <w:bidi w:val="0"/>
              <w:snapToGrid w:val="0"/>
              <w:spacing w:line="240" w:lineRule="auto"/>
              <w:jc w:val="center"/>
              <w:textAlignment w:val="auto"/>
              <w:rPr>
                <w:rFonts w:hint="default" w:ascii="Times New Roman" w:hAnsi="Times New Roman" w:eastAsia="方正仿宋_GBK" w:cs="Times New Roman"/>
                <w:color w:val="auto"/>
                <w:kern w:val="2"/>
                <w:sz w:val="24"/>
                <w:szCs w:val="24"/>
                <w:highlight w:val="none"/>
                <w:lang w:val="en-US" w:eastAsia="zh-CN" w:bidi="ar-SA"/>
              </w:rPr>
            </w:pPr>
            <w:r>
              <w:rPr>
                <w:rFonts w:hint="default" w:ascii="Times New Roman" w:hAnsi="Times New Roman" w:eastAsia="方正仿宋_GBK" w:cs="Times New Roman"/>
                <w:color w:val="auto"/>
                <w:kern w:val="2"/>
                <w:sz w:val="24"/>
                <w:szCs w:val="24"/>
                <w:highlight w:val="none"/>
                <w:lang w:val="en-US" w:eastAsia="zh-CN" w:bidi="ar-SA"/>
              </w:rPr>
              <w:t>重点发展特色农产品加工、冷链物流、生物制药、生物资源加工等产业</w:t>
            </w:r>
          </w:p>
        </w:tc>
      </w:tr>
    </w:tbl>
    <w:p w14:paraId="77FC07E0">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3、旅游产业空间布局。</w:t>
      </w:r>
    </w:p>
    <w:p w14:paraId="5E9B4AA2">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根据新平县旅游资源的地域组合结构、类型结构、时空分布格局、开发利用方向，围绕“风情花腰傣·神秘哀牢山”形象定位，按照全地域覆盖、全资源整合、全要素配置、全产业融合的原则，统筹旅游资源、交通区位等优势，构建“一地、两极、三区、四环、五带、六重点”的旅游总体空间布局。</w:t>
      </w:r>
    </w:p>
    <w:p w14:paraId="12F3DB54">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一地：中国花腰傣文化旅游目的地；两极：县城旅游集散极、戛洒旅游中心极；</w:t>
      </w:r>
    </w:p>
    <w:p w14:paraId="0F4DE856">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三区：哀牢山生态文化旅游区、红河谷—绿汁江特色农业花腰傣风情体验旅游区、磨盘山户外运动健康旅游区；</w:t>
      </w:r>
    </w:p>
    <w:p w14:paraId="3401D1BA">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四环：县城特色旅游环线、哀牢山旅游环线、红河谷—绿汁江旅游环线、磨盘山旅游环线；</w:t>
      </w:r>
    </w:p>
    <w:p w14:paraId="2F7CFBC9">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五带：哀牢山生态观光休闲康养户外运动旅游带、古州野林—哈科底生态观光休闲旅游带、磨盘山乡村休闲户外运动旅游带、红河谷—绿汁江花腰傣民族风情和亚热带风光旅游带、县城周边乡村休闲旅游带；</w:t>
      </w:r>
    </w:p>
    <w:p w14:paraId="0481EA69">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六重点：戛洒国家级特色旅游小镇、哀牢山乡村旅游示范区、磨盘山康体养生户外运动区、扬武驿站经济小镇、漠沙田园综合体、建兴生态休闲旅游区。</w:t>
      </w:r>
    </w:p>
    <w:p w14:paraId="759BA8D8">
      <w:pPr>
        <w:keepNext w:val="0"/>
        <w:keepLines w:val="0"/>
        <w:pageBreakBefore w:val="0"/>
        <w:numPr>
          <w:ilvl w:val="0"/>
          <w:numId w:val="0"/>
        </w:numPr>
        <w:kinsoku/>
        <w:wordWrap/>
        <w:overflowPunct/>
        <w:topLinePunct w:val="0"/>
        <w:autoSpaceDE/>
        <w:autoSpaceDN/>
        <w:bidi w:val="0"/>
        <w:snapToGrid w:val="0"/>
        <w:spacing w:before="157" w:beforeLines="50" w:after="157" w:afterLines="50" w:line="500" w:lineRule="exact"/>
        <w:textAlignment w:val="auto"/>
        <w:outlineLvl w:val="2"/>
        <w:rPr>
          <w:rFonts w:hint="default" w:ascii="Times New Roman" w:hAnsi="Times New Roman" w:eastAsia="宋体" w:cs="Times New Roman"/>
          <w:b/>
          <w:bCs/>
          <w:snapToGrid w:val="0"/>
          <w:color w:val="auto"/>
          <w:kern w:val="2"/>
          <w:sz w:val="28"/>
          <w:szCs w:val="28"/>
          <w:highlight w:val="none"/>
          <w:lang w:val="en-US" w:eastAsia="zh-CN" w:bidi="ar-SA"/>
        </w:rPr>
      </w:pPr>
      <w:bookmarkStart w:id="574" w:name="_Toc25138"/>
      <w:r>
        <w:rPr>
          <w:rFonts w:hint="default" w:ascii="Times New Roman" w:hAnsi="Times New Roman" w:eastAsia="宋体" w:cs="Times New Roman"/>
          <w:b/>
          <w:bCs/>
          <w:snapToGrid w:val="0"/>
          <w:color w:val="auto"/>
          <w:kern w:val="2"/>
          <w:sz w:val="28"/>
          <w:szCs w:val="28"/>
          <w:highlight w:val="none"/>
          <w:lang w:val="en-US" w:eastAsia="zh-CN" w:bidi="ar-SA"/>
        </w:rPr>
        <w:t>7.3.5优化城乡发展空间</w:t>
      </w:r>
      <w:bookmarkEnd w:id="573"/>
      <w:bookmarkEnd w:id="574"/>
    </w:p>
    <w:p w14:paraId="53AC1ABE">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遵循新平县地理空间格局以及资源禀赋特征、城镇发展差异，依托交通网络轴线，基于自然山水与生态格局，构建“一核三极两轴”的空间结构，促进各级城镇点轴联动发展。</w:t>
      </w:r>
    </w:p>
    <w:p w14:paraId="7CC540A5">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“一核”即新平县城。由县城构成县域经济中心区，形成经济实力强、服务功能全、文化品位高的城镇中心区。</w:t>
      </w:r>
    </w:p>
    <w:p w14:paraId="47C123C5">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“三级”：放大戛洒、扬武、漠沙的交通区位、资源禀赋、产业基础等优势，做大做强中心城镇，增强集聚、辐射功能，打造戛洒、漠沙、扬武三个县域经济增长极。</w:t>
      </w:r>
    </w:p>
    <w:p w14:paraId="2D0973C7">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两轴”为东西向的大戛城镇发展轴及南北向的永金城镇发展轴。大戛城镇发展轴是连通大开门——县城——戛洒镇，是联系县域东、西部区域的主要城镇发展主轴，通过轴带伸展，串联鲁奎山、大红山两个矿区，开发哀牢山旅游资源，拓展县域村镇发展空间。永金城镇发展轴是连通者竜乡——水塘镇——戛洒镇——漠沙镇，形成沿红河谷坝区的县域发展次轴。带动沿线乡镇集聚发展，开发红河谷沿线旅游资源，优化沿线城镇空间布局。</w:t>
      </w:r>
    </w:p>
    <w:p w14:paraId="10339B98">
      <w:pPr>
        <w:pStyle w:val="4"/>
        <w:pageBreakBefore w:val="0"/>
        <w:kinsoku/>
        <w:wordWrap/>
        <w:overflowPunct/>
        <w:topLinePunct w:val="0"/>
        <w:autoSpaceDE/>
        <w:autoSpaceDN/>
        <w:bidi w:val="0"/>
        <w:spacing w:before="260" w:after="260" w:line="500" w:lineRule="exact"/>
        <w:ind w:firstLine="0"/>
        <w:textAlignment w:val="auto"/>
        <w:rPr>
          <w:rFonts w:hint="default" w:ascii="Times New Roman" w:hAnsi="Times New Roman" w:eastAsia="仿宋" w:cs="Times New Roman"/>
          <w:color w:val="auto"/>
          <w:sz w:val="32"/>
          <w:lang w:val="en-US" w:eastAsia="zh-CN"/>
        </w:rPr>
      </w:pPr>
      <w:bookmarkStart w:id="575" w:name="_Toc14028"/>
      <w:bookmarkStart w:id="576" w:name="_Toc5898"/>
      <w:bookmarkStart w:id="577" w:name="_Toc22569"/>
      <w:bookmarkStart w:id="578" w:name="_Toc6464"/>
      <w:bookmarkStart w:id="579" w:name="_Toc10943"/>
      <w:bookmarkStart w:id="580" w:name="_Toc9631"/>
      <w:bookmarkStart w:id="581" w:name="_Toc8573"/>
      <w:bookmarkStart w:id="582" w:name="_Toc903"/>
      <w:r>
        <w:rPr>
          <w:rFonts w:hint="default" w:ascii="Times New Roman" w:hAnsi="Times New Roman" w:eastAsia="仿宋" w:cs="Times New Roman"/>
          <w:color w:val="auto"/>
          <w:sz w:val="32"/>
          <w:lang w:val="en-US" w:eastAsia="zh-CN"/>
        </w:rPr>
        <w:t>7.4</w:t>
      </w:r>
      <w:bookmarkEnd w:id="575"/>
      <w:bookmarkEnd w:id="576"/>
      <w:r>
        <w:rPr>
          <w:rFonts w:hint="default" w:ascii="Times New Roman" w:hAnsi="Times New Roman" w:eastAsia="仿宋" w:cs="Times New Roman"/>
          <w:color w:val="auto"/>
          <w:sz w:val="32"/>
          <w:lang w:val="zh-CN" w:eastAsia="zh-CN"/>
        </w:rPr>
        <w:t>严格管控岸线开发利用</w:t>
      </w:r>
      <w:bookmarkEnd w:id="577"/>
      <w:bookmarkEnd w:id="578"/>
      <w:bookmarkEnd w:id="579"/>
      <w:bookmarkEnd w:id="580"/>
      <w:bookmarkEnd w:id="581"/>
      <w:bookmarkEnd w:id="582"/>
    </w:p>
    <w:p w14:paraId="0996A008">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河湖岸线范围划定与管护。河湖岸线利用规划编制与河湖划界工作是全面推行河湖长制的重要抓手，岸线规划及界桩的埋设意味着河湖有了管理线、保护线。规划岸线、明确界限、公示规范、责权分明，明确河湖管理保护范围。加快推进河湖岸线保护与利用规划编制，河湖岸线范围划定考虑沿河地区经济社会的可持续发展，充分发挥岸线的资源属性和功能属性，促进沿河地区形成环境优美，人水和谐的局面。以打造水美、岸美、产业美为目标，开展生态防护带建设、河道整治工程建设、岸线清理整治工作、岸线绿化，强化岸线执法监督和岸线保护宣传，打造稳定安全、生态健康、景观优美的多功能型岸线。</w:t>
      </w:r>
    </w:p>
    <w:p w14:paraId="53CC288D">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default" w:ascii="Times New Roman" w:hAnsi="Times New Roman" w:eastAsia="方正仿宋_GBK" w:cs="方正仿宋_GBK"/>
          <w:b w:val="0"/>
          <w:bCs w:val="0"/>
          <w:color w:val="auto"/>
          <w:kern w:val="2"/>
          <w:sz w:val="28"/>
          <w:szCs w:val="28"/>
          <w:lang w:val="en-US" w:eastAsia="zh-CN" w:bidi="ar-SA"/>
        </w:rPr>
        <w:t>开展生态防护带建设。积极开展河道生态体系建设，推广河道生态护坡，营造河道生态防护带。对河道现状生态林进行全面调查，根据河道管理保护相关规定，合理制定河道防护带规划。按照先易后难、先急后缓、集中连片的原则，分批分期开展实施。建设沿河库生态防护带，有效治理人为破坏，逐步恢复河流生态功能河流生态功能得到有效恢复和改善。</w:t>
      </w:r>
    </w:p>
    <w:p w14:paraId="06DF8C84">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sectPr>
          <w:pgSz w:w="11906" w:h="16838"/>
          <w:pgMar w:top="1440" w:right="1797" w:bottom="1440" w:left="1797" w:header="851" w:footer="992" w:gutter="0"/>
          <w:pgBorders>
            <w:top w:val="none" w:sz="0" w:space="0"/>
            <w:left w:val="none" w:sz="0" w:space="0"/>
            <w:bottom w:val="none" w:sz="0" w:space="0"/>
            <w:right w:val="none" w:sz="0" w:space="0"/>
          </w:pgBorders>
          <w:pgNumType w:fmt="decimal"/>
          <w:cols w:space="425" w:num="1"/>
          <w:docGrid w:linePitch="312" w:charSpace="0"/>
        </w:sectPr>
      </w:pPr>
      <w:r>
        <w:rPr>
          <w:rFonts w:hint="default" w:ascii="Times New Roman" w:hAnsi="Times New Roman" w:eastAsia="方正仿宋_GBK" w:cs="方正仿宋_GBK"/>
          <w:b w:val="0"/>
          <w:bCs w:val="0"/>
          <w:color w:val="auto"/>
          <w:kern w:val="2"/>
          <w:sz w:val="28"/>
          <w:szCs w:val="28"/>
          <w:lang w:val="en-US" w:eastAsia="zh-CN" w:bidi="ar-SA"/>
        </w:rPr>
        <w:t>加强河湖生态保护与修复。积极开展河湖健康评价工作，评估河湖健康状态、科学分析河湖问题、强化落实河湖长制。统筹考虑河道内和河道外用水，优化配置水资源，保障重要河湖生态用水。科学确定重要河流生态流量和重要湿地生态水位，制订水量调度方案，重点保障枯水期河流生态基流和湿地生态水位。巩固已有治理成果，在满足河道防洪功能的前提下，打造集生态河道、清水河道、亲水河道为一体的美丽河道。开展河道内清淤、清障，恢复河流连续性，加强河湖生态堤防护岸建设，改造硬质堤岸，实施滨岸带植被保护与恢复，构建河滨自然生态景观系统，拓宽城市绿色生态空间。</w:t>
      </w:r>
    </w:p>
    <w:bookmarkEnd w:id="313"/>
    <w:bookmarkEnd w:id="314"/>
    <w:bookmarkEnd w:id="315"/>
    <w:bookmarkEnd w:id="316"/>
    <w:p w14:paraId="51057DCD">
      <w:pPr>
        <w:pStyle w:val="3"/>
        <w:pageBreakBefore w:val="0"/>
        <w:kinsoku/>
        <w:wordWrap/>
        <w:overflowPunct/>
        <w:topLinePunct w:val="0"/>
        <w:autoSpaceDE/>
        <w:autoSpaceDN/>
        <w:bidi w:val="0"/>
        <w:spacing w:before="0" w:after="0" w:line="500" w:lineRule="exact"/>
        <w:jc w:val="center"/>
        <w:textAlignment w:val="auto"/>
        <w:rPr>
          <w:rFonts w:hint="default" w:ascii="Times New Roman" w:hAnsi="Times New Roman" w:eastAsia="仿宋" w:cs="Times New Roman"/>
          <w:color w:val="auto"/>
          <w:sz w:val="44"/>
          <w:lang w:val="en-US" w:eastAsia="zh-CN"/>
        </w:rPr>
      </w:pPr>
      <w:bookmarkStart w:id="583" w:name="_Toc24134"/>
      <w:bookmarkStart w:id="584" w:name="_Toc24727"/>
      <w:bookmarkStart w:id="585" w:name="_Toc24778"/>
      <w:bookmarkStart w:id="586" w:name="_Toc26131"/>
      <w:bookmarkStart w:id="587" w:name="_Toc4547"/>
      <w:bookmarkStart w:id="588" w:name="_Toc5305"/>
      <w:bookmarkStart w:id="589" w:name="_Toc28859"/>
      <w:bookmarkStart w:id="590" w:name="_Toc24903"/>
      <w:r>
        <w:rPr>
          <w:rFonts w:hint="default" w:ascii="Times New Roman" w:hAnsi="Times New Roman" w:eastAsia="仿宋" w:cs="Times New Roman"/>
          <w:color w:val="auto"/>
          <w:sz w:val="44"/>
          <w:lang w:val="en-US" w:eastAsia="zh-CN"/>
        </w:rPr>
        <w:t>8坚持绿色发展，建设生态经济体系</w:t>
      </w:r>
      <w:bookmarkEnd w:id="583"/>
    </w:p>
    <w:p w14:paraId="16AD5258">
      <w:pPr>
        <w:pStyle w:val="4"/>
        <w:pageBreakBefore w:val="0"/>
        <w:kinsoku/>
        <w:wordWrap/>
        <w:overflowPunct/>
        <w:topLinePunct w:val="0"/>
        <w:autoSpaceDE/>
        <w:autoSpaceDN/>
        <w:bidi w:val="0"/>
        <w:spacing w:before="260" w:after="260" w:line="500" w:lineRule="exact"/>
        <w:ind w:firstLine="0"/>
        <w:textAlignment w:val="auto"/>
        <w:rPr>
          <w:rFonts w:hint="default" w:ascii="Times New Roman" w:hAnsi="Times New Roman" w:eastAsia="仿宋" w:cs="Times New Roman"/>
          <w:color w:val="auto"/>
          <w:sz w:val="32"/>
          <w:lang w:val="en-US" w:eastAsia="zh-CN"/>
        </w:rPr>
      </w:pPr>
      <w:bookmarkStart w:id="591" w:name="_Toc29272"/>
      <w:r>
        <w:rPr>
          <w:rFonts w:hint="default" w:ascii="Times New Roman" w:hAnsi="Times New Roman" w:eastAsia="仿宋" w:cs="Times New Roman"/>
          <w:color w:val="auto"/>
          <w:sz w:val="32"/>
          <w:lang w:val="zh-CN" w:eastAsia="zh-CN"/>
        </w:rPr>
        <w:t>8.1</w:t>
      </w:r>
      <w:r>
        <w:rPr>
          <w:rFonts w:hint="default" w:ascii="Times New Roman" w:hAnsi="Times New Roman" w:eastAsia="仿宋" w:cs="Times New Roman"/>
          <w:color w:val="auto"/>
          <w:sz w:val="32"/>
          <w:lang w:val="en-US" w:eastAsia="zh-CN"/>
        </w:rPr>
        <w:t>优化产业结构</w:t>
      </w:r>
      <w:bookmarkEnd w:id="591"/>
    </w:p>
    <w:p w14:paraId="51B89DDD">
      <w:pPr>
        <w:pStyle w:val="5"/>
        <w:pageBreakBefore w:val="0"/>
        <w:kinsoku/>
        <w:wordWrap/>
        <w:overflowPunct/>
        <w:topLinePunct w:val="0"/>
        <w:autoSpaceDE/>
        <w:autoSpaceDN/>
        <w:bidi w:val="0"/>
        <w:adjustRightInd w:val="0"/>
        <w:snapToGrid w:val="0"/>
        <w:spacing w:before="0" w:after="0" w:line="500" w:lineRule="exact"/>
        <w:ind w:firstLine="0" w:firstLineChars="0"/>
        <w:textAlignment w:val="auto"/>
        <w:rPr>
          <w:rFonts w:hint="eastAsia" w:ascii="方正仿宋_GBK" w:hAnsi="方正仿宋_GBK" w:eastAsia="方正仿宋_GBK" w:cs="方正仿宋_GBK"/>
          <w:snapToGrid w:val="0"/>
          <w:color w:val="auto"/>
          <w:sz w:val="28"/>
        </w:rPr>
      </w:pPr>
      <w:bookmarkStart w:id="592" w:name="_Toc26510"/>
      <w:r>
        <w:rPr>
          <w:rFonts w:hint="eastAsia" w:ascii="方正仿宋_GBK" w:hAnsi="方正仿宋_GBK" w:eastAsia="方正仿宋_GBK" w:cs="方正仿宋_GBK"/>
          <w:snapToGrid w:val="0"/>
          <w:color w:val="auto"/>
          <w:sz w:val="28"/>
        </w:rPr>
        <w:t>8.1.1改造提升传统支柱产业</w:t>
      </w:r>
      <w:bookmarkEnd w:id="592"/>
    </w:p>
    <w:p w14:paraId="2DA73BB1">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改造矿冶产业。以钢铁、水泥行业为重点，加快推进仙福钢铁集团转型升级改造产能置换项目建设，推进钢铁行业超低排放，建设绿色钢铁产业，力争建设成为云南省矿冶产业转型升级示范区。</w:t>
      </w:r>
    </w:p>
    <w:p w14:paraId="5CE26A07">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改造提升造纸传统产业。支持并加快推进南恩糖纸有限责任公司搬迁技改转型升级，解决历史遗留突出环境问题。</w:t>
      </w:r>
    </w:p>
    <w:p w14:paraId="32B4EBC3">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default"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提升高原特色现代农业。围绕打造“绿色食品牌”目标，实施农产品加工业转型升级行动，积极培育新型农业经营主体，加快推进培育农业产业化龙头“小巨人”，打造农业深加工产业链。大力推进“大产业+新主体+新平台”发展模式，推进烟、果、药、畜等高原特色优势产业转型升级，做强“褚橙”等农产品，打造“云果”知名品牌。</w:t>
      </w:r>
    </w:p>
    <w:p w14:paraId="44982866">
      <w:pPr>
        <w:pStyle w:val="5"/>
        <w:pageBreakBefore w:val="0"/>
        <w:kinsoku/>
        <w:wordWrap/>
        <w:overflowPunct/>
        <w:topLinePunct w:val="0"/>
        <w:autoSpaceDE/>
        <w:autoSpaceDN/>
        <w:bidi w:val="0"/>
        <w:adjustRightInd w:val="0"/>
        <w:snapToGrid w:val="0"/>
        <w:spacing w:before="0" w:after="0" w:line="500" w:lineRule="exact"/>
        <w:ind w:firstLine="0" w:firstLineChars="0"/>
        <w:textAlignment w:val="auto"/>
        <w:rPr>
          <w:rFonts w:eastAsia="仿宋"/>
          <w:snapToGrid w:val="0"/>
          <w:color w:val="auto"/>
          <w:sz w:val="28"/>
        </w:rPr>
      </w:pPr>
      <w:bookmarkStart w:id="593" w:name="_Toc411"/>
      <w:r>
        <w:rPr>
          <w:rFonts w:hint="eastAsia" w:eastAsia="仿宋"/>
          <w:snapToGrid w:val="0"/>
          <w:color w:val="auto"/>
          <w:sz w:val="28"/>
        </w:rPr>
        <w:t>8</w:t>
      </w:r>
      <w:r>
        <w:rPr>
          <w:rFonts w:eastAsia="仿宋"/>
          <w:snapToGrid w:val="0"/>
          <w:color w:val="auto"/>
          <w:sz w:val="28"/>
        </w:rPr>
        <w:t>.1.2</w:t>
      </w:r>
      <w:r>
        <w:rPr>
          <w:rFonts w:hint="eastAsia" w:eastAsia="仿宋"/>
          <w:snapToGrid w:val="0"/>
          <w:color w:val="auto"/>
          <w:sz w:val="28"/>
        </w:rPr>
        <w:t>构建循环型产业体系</w:t>
      </w:r>
      <w:bookmarkEnd w:id="593"/>
    </w:p>
    <w:p w14:paraId="1C358508">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发展园区循环经济。把产业园区作为科技创新、产业发展和转型升级的主阵地，促进主导产业向园区集中、承接产业向园区转移、关联产业在园区配套、产业集群在园区聚集。对存量园区实施循环化改造，提高产业关联度和循环化程度，增强物流管理和环境管理的精细化程度。合理延伸产业链和补齐循环链，实现园区资源产出率的明显提升。</w:t>
      </w:r>
    </w:p>
    <w:p w14:paraId="208B43DE">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推进产业循环发展。组织实施产业绿色融合行动，推动不同行业的企业实现原料互供、资源共享，建立跨行业的循环经济产业链。扩大废旧钢铁的再利用规模和废旧装备再制造的产业化发展。加大对生态循环种养结合示范农场和农牧庄园建设的支持力度，推广“畜—沼—粮”“畜—沼—菜”“畜—沼—果”等生态农业模式，加快以褚橙庄园为代表的农业观光旅游，建设农村康体养生度假区。</w:t>
      </w:r>
    </w:p>
    <w:p w14:paraId="3123715B">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推进废弃物资源化利用。建立稀贵金属废旧物料、电子电器废弃物以及其他具有产业基础的废旧物料回收交易体系。引导畜禽养殖场（小区），实行干湿分离和粪尿资源化利用。建设专业化病死畜禽无害化处置。采取肥料化、饲料化、燃料化、基料化、原料化等多种途径，提升秸秆综合利用水平。探索基于市场机制的回收处理机制，对废弃农药包装物实施无害化处理和再利用。</w:t>
      </w:r>
    </w:p>
    <w:p w14:paraId="34001E19">
      <w:pPr>
        <w:pStyle w:val="5"/>
        <w:pageBreakBefore w:val="0"/>
        <w:kinsoku/>
        <w:wordWrap/>
        <w:overflowPunct/>
        <w:topLinePunct w:val="0"/>
        <w:autoSpaceDE/>
        <w:autoSpaceDN/>
        <w:bidi w:val="0"/>
        <w:adjustRightInd w:val="0"/>
        <w:snapToGrid w:val="0"/>
        <w:spacing w:before="0" w:after="0" w:line="500" w:lineRule="exact"/>
        <w:ind w:firstLine="0" w:firstLineChars="0"/>
        <w:textAlignment w:val="auto"/>
        <w:rPr>
          <w:rFonts w:eastAsia="仿宋"/>
          <w:snapToGrid w:val="0"/>
          <w:color w:val="auto"/>
          <w:sz w:val="28"/>
        </w:rPr>
      </w:pPr>
      <w:bookmarkStart w:id="594" w:name="_Toc23700"/>
      <w:r>
        <w:rPr>
          <w:rFonts w:hint="eastAsia" w:eastAsia="仿宋"/>
          <w:snapToGrid w:val="0"/>
          <w:color w:val="auto"/>
          <w:sz w:val="28"/>
        </w:rPr>
        <w:t>8</w:t>
      </w:r>
      <w:r>
        <w:rPr>
          <w:rFonts w:eastAsia="仿宋"/>
          <w:snapToGrid w:val="0"/>
          <w:color w:val="auto"/>
          <w:sz w:val="28"/>
        </w:rPr>
        <w:t>.1.3</w:t>
      </w:r>
      <w:r>
        <w:rPr>
          <w:rFonts w:hint="eastAsia" w:eastAsia="仿宋"/>
          <w:snapToGrid w:val="0"/>
          <w:color w:val="auto"/>
          <w:sz w:val="28"/>
        </w:rPr>
        <w:t>构建低碳化产业体系</w:t>
      </w:r>
      <w:bookmarkEnd w:id="594"/>
    </w:p>
    <w:p w14:paraId="4111D727">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推动能源清洁化。优化工业能源消费结构，做优做强绿色能源产业，加快推进低碳建设。以加快转变能源发展方式为主线，加快能源清洁化进程，到2025年，非化石能源消费占能源消费总量比重达到42%以上。延长绿色能源产业链条，合理设定资源消耗“天花板”，对能源、水等战略性资源消耗总量实施管控，强化资源消耗总量管控与消耗强度管理的协同。到2025年，全县能耗和用水总量控制在全市下达指标内，单位地区生产总值用水量达到市级考核要求，单位GDP能源消耗降幅达3%。</w:t>
      </w:r>
    </w:p>
    <w:p w14:paraId="5C3FB474">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加快工业节能。扎实推进节能示范项目，切实抓好钢铁等主要耗能行业的节能技改工作。钢铁行业重点推进冶炼余热余压回收利用，水泥行业重点推进窑纯低温余热发电、电机系统节能、能量系统优化。推广智慧能源—节能技术与信息技术的深度融合，实现节能管理系统优化。</w:t>
      </w:r>
    </w:p>
    <w:p w14:paraId="3D012685">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强化工业节水。着力提高单位工业产品取水量和工业企业用水重复率，按照“以点带面，分步推进”的思路，抓好典型企业节水改造工作，带动钢铁、造纸、农特产品加工及制糖等高耗水行业用水绩效的全面提升。</w:t>
      </w:r>
    </w:p>
    <w:p w14:paraId="220C732F">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加强农业节水。大力开展灌区工程设施配套、建设高效节水灌溉工程、开展山区农业节水灌溉、积极发展旱作节水。依据各地水资源条件推行计划用水，按不同水平年分地区实行用水定额控制管理。</w:t>
      </w:r>
    </w:p>
    <w:p w14:paraId="0FE8F9D1">
      <w:pPr>
        <w:pStyle w:val="5"/>
        <w:pageBreakBefore w:val="0"/>
        <w:kinsoku/>
        <w:wordWrap/>
        <w:overflowPunct/>
        <w:topLinePunct w:val="0"/>
        <w:autoSpaceDE/>
        <w:autoSpaceDN/>
        <w:bidi w:val="0"/>
        <w:adjustRightInd w:val="0"/>
        <w:snapToGrid w:val="0"/>
        <w:spacing w:before="0" w:after="0" w:line="500" w:lineRule="exact"/>
        <w:ind w:firstLine="0" w:firstLineChars="0"/>
        <w:textAlignment w:val="auto"/>
        <w:rPr>
          <w:rFonts w:eastAsia="仿宋"/>
          <w:snapToGrid w:val="0"/>
          <w:color w:val="auto"/>
          <w:sz w:val="28"/>
        </w:rPr>
      </w:pPr>
      <w:bookmarkStart w:id="595" w:name="_Toc19896"/>
      <w:r>
        <w:rPr>
          <w:rFonts w:hint="eastAsia" w:eastAsia="仿宋"/>
          <w:snapToGrid w:val="0"/>
          <w:color w:val="auto"/>
          <w:sz w:val="28"/>
        </w:rPr>
        <w:t>8</w:t>
      </w:r>
      <w:r>
        <w:rPr>
          <w:rFonts w:eastAsia="仿宋"/>
          <w:snapToGrid w:val="0"/>
          <w:color w:val="auto"/>
          <w:sz w:val="28"/>
        </w:rPr>
        <w:t>.1.4</w:t>
      </w:r>
      <w:r>
        <w:rPr>
          <w:rFonts w:hint="eastAsia" w:eastAsia="仿宋"/>
          <w:snapToGrid w:val="0"/>
          <w:color w:val="auto"/>
          <w:sz w:val="28"/>
        </w:rPr>
        <w:t>发展绿色生态环境产业</w:t>
      </w:r>
      <w:bookmarkEnd w:id="595"/>
    </w:p>
    <w:p w14:paraId="739081AD">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加快生态环境技术装备。积极开展大气、水、土壤污染防治、城镇生活垃圾和危险废物处理处置、噪声和振动控制、环境大数据等方面的生态环境技术引进，大力推广垃圾及危废处理先进技术和装备。开展尾矿资源化、工业废渣、再生资源、再制造、水资源节约利用等方面的技术开发。</w:t>
      </w:r>
    </w:p>
    <w:p w14:paraId="4BC7B484">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创新节能生态环境服务模式。推动环境基础设施建设运营和环境治理服务咨询市场化。引导社会机构参与污染源监测、环境损害评估监测、环境质量现状监测等环境监测活动，推进环境监测服务主体多元化和服务方式多样化。</w:t>
      </w:r>
    </w:p>
    <w:p w14:paraId="0E9DC888">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发展资源循环利用产业。重点发展再生资源回收，风能、太阳能等的利用，餐厨废弃物、建筑废弃物和农林废弃物资源化利用，重点解决共性关键技术的示范推广。</w:t>
      </w:r>
    </w:p>
    <w:p w14:paraId="1F763096">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强化绿色产品推广。开展水污染治理产品、大气污染治理产品、噪声与振动控制产品、环境监测仪器设备、生态环境材料和药剂、固废处理处置产品等生态环境产品的绿色认证工作，开展绿色认证检测机构能力评估和资质管理，培育一批绿色生态环境产品标准、认证、监测专业服务机构，提升技术能力、工作质量和服务水平。</w:t>
      </w:r>
    </w:p>
    <w:p w14:paraId="386CDFAB">
      <w:pPr>
        <w:pStyle w:val="4"/>
        <w:pageBreakBefore w:val="0"/>
        <w:kinsoku/>
        <w:wordWrap/>
        <w:overflowPunct/>
        <w:topLinePunct w:val="0"/>
        <w:autoSpaceDE/>
        <w:autoSpaceDN/>
        <w:bidi w:val="0"/>
        <w:spacing w:before="260" w:after="260" w:line="500" w:lineRule="exact"/>
        <w:ind w:firstLine="0"/>
        <w:textAlignment w:val="auto"/>
        <w:rPr>
          <w:rFonts w:hint="default" w:ascii="Times New Roman" w:hAnsi="Times New Roman" w:eastAsia="仿宋" w:cs="Times New Roman"/>
          <w:color w:val="auto"/>
          <w:sz w:val="32"/>
          <w:lang w:val="zh-CN" w:eastAsia="zh-CN"/>
        </w:rPr>
      </w:pPr>
      <w:bookmarkStart w:id="596" w:name="_Toc7171"/>
      <w:bookmarkStart w:id="597" w:name="_Toc2899"/>
      <w:bookmarkStart w:id="598" w:name="_Toc22079"/>
      <w:bookmarkStart w:id="599" w:name="_Toc692"/>
      <w:bookmarkStart w:id="600" w:name="_Toc22958"/>
      <w:bookmarkStart w:id="601" w:name="_Toc15205"/>
      <w:bookmarkStart w:id="602" w:name="_Toc28631"/>
      <w:bookmarkStart w:id="603" w:name="_Toc15315"/>
      <w:r>
        <w:rPr>
          <w:rFonts w:hint="default" w:ascii="Times New Roman" w:hAnsi="Times New Roman" w:eastAsia="仿宋" w:cs="Times New Roman"/>
          <w:color w:val="auto"/>
          <w:sz w:val="32"/>
          <w:lang w:val="zh-CN" w:eastAsia="zh-CN"/>
        </w:rPr>
        <w:t>8.</w:t>
      </w:r>
      <w:bookmarkEnd w:id="596"/>
      <w:bookmarkEnd w:id="597"/>
      <w:bookmarkEnd w:id="598"/>
      <w:bookmarkEnd w:id="599"/>
      <w:bookmarkEnd w:id="600"/>
      <w:bookmarkEnd w:id="601"/>
      <w:bookmarkEnd w:id="602"/>
      <w:r>
        <w:rPr>
          <w:rFonts w:hint="default" w:ascii="Times New Roman" w:hAnsi="Times New Roman" w:eastAsia="仿宋" w:cs="Times New Roman"/>
          <w:color w:val="auto"/>
          <w:sz w:val="32"/>
          <w:lang w:val="zh-CN" w:eastAsia="zh-CN"/>
        </w:rPr>
        <w:t>2推进产业生态化发展</w:t>
      </w:r>
      <w:bookmarkEnd w:id="603"/>
    </w:p>
    <w:p w14:paraId="69690726">
      <w:pPr>
        <w:pStyle w:val="5"/>
        <w:pageBreakBefore w:val="0"/>
        <w:kinsoku/>
        <w:wordWrap/>
        <w:overflowPunct/>
        <w:topLinePunct w:val="0"/>
        <w:autoSpaceDE/>
        <w:autoSpaceDN/>
        <w:bidi w:val="0"/>
        <w:adjustRightInd w:val="0"/>
        <w:snapToGrid w:val="0"/>
        <w:spacing w:before="0" w:after="0" w:line="500" w:lineRule="exact"/>
        <w:ind w:firstLine="0" w:firstLineChars="0"/>
        <w:textAlignment w:val="auto"/>
        <w:rPr>
          <w:rFonts w:eastAsia="仿宋"/>
          <w:snapToGrid w:val="0"/>
          <w:color w:val="auto"/>
          <w:sz w:val="28"/>
        </w:rPr>
      </w:pPr>
      <w:bookmarkStart w:id="604" w:name="_Toc5600"/>
      <w:bookmarkStart w:id="605" w:name="_Toc5262"/>
      <w:bookmarkStart w:id="606" w:name="_Toc26539"/>
      <w:bookmarkStart w:id="607" w:name="_Toc533688392"/>
      <w:r>
        <w:rPr>
          <w:rFonts w:eastAsia="仿宋"/>
          <w:snapToGrid w:val="0"/>
          <w:color w:val="auto"/>
          <w:sz w:val="28"/>
        </w:rPr>
        <w:t>8.2.1推进工业绿色</w:t>
      </w:r>
      <w:r>
        <w:rPr>
          <w:rFonts w:hint="eastAsia" w:eastAsia="仿宋"/>
          <w:snapToGrid w:val="0"/>
          <w:color w:val="auto"/>
          <w:sz w:val="28"/>
        </w:rPr>
        <w:t>化</w:t>
      </w:r>
      <w:r>
        <w:rPr>
          <w:rFonts w:eastAsia="仿宋"/>
          <w:snapToGrid w:val="0"/>
          <w:color w:val="auto"/>
          <w:sz w:val="28"/>
        </w:rPr>
        <w:t>改造</w:t>
      </w:r>
      <w:bookmarkEnd w:id="604"/>
    </w:p>
    <w:p w14:paraId="13786883">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（1）优化工业产业结构</w:t>
      </w:r>
    </w:p>
    <w:p w14:paraId="37E25EAA">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按照《关于实行市场准入负面清单制度的意见》，衔接《产业结构调整指导目录》，以《国民经济行业分类》为基准，落实好市场准入负面清单制度。以钢铁、建材、水泥等行业为重点，对能耗、生态环境、安全、质量、技术达不到标准和生产不合格产品或淘汰类产能，通过完善综合标准体系，严格常态化执法和强制性标准实施，推动一批能耗、生态环境、安全、质量、技术达不到标准和生产不合格产品或淘汰类产能依法依规关停退出，环境质量得到改善，产业结构持续优化升级。全面加强全产业链监管，严防地条钢死灰复燃。</w:t>
      </w:r>
    </w:p>
    <w:p w14:paraId="52256718">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提升巩固传统优势产业。深化钢铁企业产能置换技术升级改造，加快发展高端高品质钢材，提高钢铁产业整体综合实力。稳定水泥生产规模，大力发展新型建材。</w:t>
      </w:r>
    </w:p>
    <w:p w14:paraId="48EF5FBD">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（2）建设资源节约型工业</w:t>
      </w:r>
    </w:p>
    <w:p w14:paraId="71009256">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坚决关停达不到单位能耗限额要求，且不能有效整改的钢铁和建材行业企业。实行严格的能源、水资源“双控”制度，将消耗总量和效率指标分解落实到用能、用水大户。继续推动锅炉、电机、变压器等通用设备能效提升和余热余压利用。推动重点企业能源、水资源管理体系建设，将管理体系贯穿于企业生产全过程，构建能效水效提升长效机制。加强工业节能节水监察，组织开展强制性标准贯标及落后设备淘汰等监察，实施重点行业、重点企业专项监察和督查。</w:t>
      </w:r>
    </w:p>
    <w:p w14:paraId="41E867CE">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（3）构建环境友好型工业</w:t>
      </w:r>
    </w:p>
    <w:p w14:paraId="528E3329">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实施全面达标排放行动。以排污许可证“一证式”改革抓手，以达标排放为底线，不断深入推进污染物减排。落实“等量淘汰（置换）”或“减量淘汰（置换）”制，严控新增污染物增量。加快实施重点行业企业达标排放限期改造，达不到排放标准且达标无望的企业，坚决实施关停；加大钢铁、制糖、造纸等重点企业工艺提升和废水废气治理力度。</w:t>
      </w:r>
    </w:p>
    <w:p w14:paraId="05DAF5BA">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深化工业特征污染物防治。继续强化工业重金属污染防治。坚持“控新治旧”，以砷、铅、汞、镉、铬为关键要素，抓好涉重企业污染防控工作。强化源头控制和末端治理，大力推广安全高效的先进生产工艺，鼓励企业在达标基础上进行深度处理，县域涉重企业全面推行“一厂一策”防控方案。</w:t>
      </w:r>
    </w:p>
    <w:p w14:paraId="6E17E4FA">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继续推行清洁生产审核。建立健全企业自愿性清洁生产机制，扩大自愿性清洁生产审核范围。依法对超过国家和地方排放标准或总量控制的企业，以及涉及有毒有害物质的企业实施强制清洁生产审核。</w:t>
      </w:r>
    </w:p>
    <w:p w14:paraId="6CAA8CD6">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强化工业企业监管。严处“未批先建”和“久拖不验”等严重违法违规现象，对拒不执行整改要求的企业执行“按日计罚”。增加钢铁、食品加工等重点排污工业的监管频次和力度，实行“红黄牌制度”，实施“红牌”限期停业、关闭和“黄牌”限制生产或停产整治。每季度向社会公布“黄牌”“红牌”企业名单。完善重点排污单位污染物超标排放和异常报警机制，逐步实现工业污染源排放监测数据统一采集、公开发布。加大对减排工作滞后、进展缓慢、处理不达标的重点项目和重点企业监管、专项督查和督促整改力度。加大生态环境违法查处力度。</w:t>
      </w:r>
    </w:p>
    <w:p w14:paraId="7F09DA87">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加快推进排污权交易制度实施。完善排污权交易制度，扩大涵盖的污染物和排污单位范围，加强排污权交易基础能力建设。逐步强化以企业为单元进行总量控制、通过排污权交易获得减排收益的机制。搭建污染物监测、报告与核查体系框架，实施污染物排放核查，摸清污染物排放的底数，确保企业报送数据的真实可靠，制定纳入排污权交易体系重点企业名单。明确企业的违约成本、引导企业积极交易。</w:t>
      </w:r>
    </w:p>
    <w:p w14:paraId="567C4A2C">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（4）发展低碳导向型工业</w:t>
      </w:r>
    </w:p>
    <w:p w14:paraId="0B98D686">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优化工业能源结构。从供需两侧共同发力，加快能源供给侧清洁能源产业化发展，合理布局中小型水电工程，以满足地方工业、民生用电、强化县域经济为导向，适当开发满足地方矿电结合需求的中小型水利水电工程。鼓励大中型企业参与中小水电资源整合，理顺中小水电市场秩序，提高中小水电资源利用率。稳步推进风能资源开发利用。健康发展太阳能光伏利用。全面推广使用天然气，支持重点用能企业实施可再生能源及天然气替代改造。</w:t>
      </w:r>
    </w:p>
    <w:p w14:paraId="5A1E75EA">
      <w:pPr>
        <w:pStyle w:val="5"/>
        <w:pageBreakBefore w:val="0"/>
        <w:kinsoku/>
        <w:wordWrap/>
        <w:overflowPunct/>
        <w:topLinePunct w:val="0"/>
        <w:autoSpaceDE/>
        <w:autoSpaceDN/>
        <w:bidi w:val="0"/>
        <w:adjustRightInd w:val="0"/>
        <w:snapToGrid w:val="0"/>
        <w:spacing w:before="0" w:after="0" w:line="500" w:lineRule="exact"/>
        <w:ind w:firstLine="0" w:firstLineChars="0"/>
        <w:textAlignment w:val="auto"/>
        <w:rPr>
          <w:rFonts w:eastAsia="仿宋"/>
          <w:snapToGrid w:val="0"/>
          <w:color w:val="auto"/>
          <w:sz w:val="28"/>
        </w:rPr>
      </w:pPr>
      <w:bookmarkStart w:id="608" w:name="_Toc9883"/>
      <w:bookmarkStart w:id="609" w:name="_Toc24210"/>
      <w:bookmarkStart w:id="610" w:name="_Toc8139"/>
      <w:r>
        <w:rPr>
          <w:rFonts w:eastAsia="仿宋"/>
          <w:snapToGrid w:val="0"/>
          <w:color w:val="auto"/>
          <w:sz w:val="28"/>
        </w:rPr>
        <w:t>8.2.</w:t>
      </w:r>
      <w:bookmarkEnd w:id="608"/>
      <w:bookmarkEnd w:id="609"/>
      <w:r>
        <w:rPr>
          <w:rFonts w:eastAsia="仿宋"/>
          <w:snapToGrid w:val="0"/>
          <w:color w:val="auto"/>
          <w:sz w:val="28"/>
        </w:rPr>
        <w:t>2推进园区循环化改造</w:t>
      </w:r>
      <w:bookmarkEnd w:id="610"/>
    </w:p>
    <w:p w14:paraId="71E9E369">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（1）空间布局和产业结构优化</w:t>
      </w:r>
    </w:p>
    <w:p w14:paraId="42BB54E8">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空间布局合理化。根据《中共云南省委云南省人民政府关于印发〈云南省各类经济开发区优化提升总体方案〉的通知》（云委﹝2020﹞287号）文件通知，整合保留新平产业园区。根据产业关联性，开展产业园区布局总体设计或进行布局优化，改造园区内的企业、产业和基础设施的空间布局，体现产业集聚和循环链接效应，实现土地的节约集约高效利用。明晰片区产业定位及布局，围绕先进制造业育链延链补链强链，推动产业链上下游企业纵向衔接、配套企业横向协同发展。以“园区＋基地”模式，实施“三年倍增、五年跨越”行动计划，强化土地集约节约利用，推进新平产业园区高质量发展，把园区打造成为经济建设主力区、绿色矿冶集聚区。实施特色产业集群发展工程，培育以仙福集团为重点的五百亿级钢铁产业及配套集群，以两矿为重点的百亿级矿产采选集群，以斗戛轻工产业园为重点的五十亿级轻工制造集群，以南恩公司为重点的三十亿级生物资源加工集群。</w:t>
      </w:r>
    </w:p>
    <w:p w14:paraId="009CE2EA">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实施园区提档升格工程。用好云南省开发区优化提升政策，抢抓大化产业园区整合开发机遇，主动承接云南绿色钢城建设，明确园区产业定位，加快整合力度，突出产业特色，增强产业集聚发展能力，构建优势突出、布局合理、集约高效的产业体系，推进产业基础高级化、产业链条现代化。</w:t>
      </w:r>
    </w:p>
    <w:p w14:paraId="42B69AF9">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实施百亿元基础设施提升工程。围绕用地集中、开发集约、产业集聚和高质量发展要求，利用新型城镇化建设契机，加快推进扬武片区、桂山片区产城融合基础设施建设项目，着力完善园区基础设施及配套，提升园区产业聚集功能。</w:t>
      </w:r>
    </w:p>
    <w:p w14:paraId="6874ECF0">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（2）提高矿冶、钢铁传统产业链接关联度</w:t>
      </w:r>
    </w:p>
    <w:p w14:paraId="3D800559">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针对已发展的支柱产业，不断调整产业和产品结构，推进园区循环经济产业链建设，以矿产绿色开发为抓手，加强产业链供应链价值链协同发展，提升矿冶产业科技化水平，支持企业转型升级，培育矿冶、钢铁下游产业，推进从矿山—冶炼—铸造全链条发展，打造全省重要的绿色矿冶集聚区。</w:t>
      </w:r>
    </w:p>
    <w:p w14:paraId="36D69C34">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重点实施产业链招商、强链补链招商，合理延伸产业链，实现园区项目间、企业间、产业间首尾相连、环环相扣、闭路循环、物尽其用，完善循环经济产业链，促进原料投入和废物排放的减量化、再利用和资源化，以及危险废物的资源化利用和无害化处理。</w:t>
      </w:r>
    </w:p>
    <w:p w14:paraId="1D40059D">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以矿产绿色开发为抓手，加强产业链供应链价值链协同发展，提升矿冶产业科技化水平，支持企业转型升级，培育矿冶、钢铁下游产业，推进从矿山—冶炼—铸造全链条发展，打造全省重要的绿色矿冶集聚区。支持仙福等钢铁企业，调整产品结构，引进复合板材、管材、不锈钢及高性能合金钢等配套项目，开发高洁净度、高强度、高塑性变形、高抗腐蚀性和耐磨的优质钢材等终端产品，改变当前以线材、棒材、盘螺等普通建筑用钢为主的单一局面，推动从矿冶向中下游产业链延伸，促进产业转型升级。加快推进仙福集团产能置换升级改造及配套项目，建设1350立方米炼铁高炉、100吨炼钢转炉、120万吨球团生产线和60万吨活性石灰生产线、120万吨煤焦化，规划建设成发公司105万吨煤焦化项目，加快仙福集团100万吨型钢生产线、100万吨带钢项目建设。使全县的钢铁、水泥行业产能总量与市场需求、环境承载能力、资源保障基本适应。</w:t>
      </w:r>
    </w:p>
    <w:p w14:paraId="6EF66F3D">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（3）稳步提升加工制造业</w:t>
      </w:r>
    </w:p>
    <w:p w14:paraId="2BBCC7A9">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引进和培育先进装备制造业，加快建设重要的区域性制造业基地。加快发展轻工产业，推进力高公司转型升级，发展医护人员防护用品、特种劳动防护用品等纺织制品；支持发展旅游产品、民族工艺品、竹木制品、木制家具等加工业。依托传统铸造业，延伸矿冶业产业链，大力发展铸件产品的半精加工和精深加工，以及特色五金、钢结构件、农机等金属制品业。鼓励发展新型建材产业，提高矿山采选废渣、建筑废物、煤矸石、粉煤灰等资源综合利用率，鼓励发展非粘土烧结多孔砖、混凝土多孔砖、烧结页岩多孔砖、蒸压加气混凝土砌块、石膏砌块等新型墙体材料以及其他轻质建材加工业。加快发展高新技术产业，围绕壮大新动能、培育新引擎，扩大招商引资、招才引智，加快聚集一批高端化、智能化项目，以物联网、生物医药等战略性新兴产业培育为重点，大力发展高新技术产业，提升企业自主创新能力，提高核心竞争力。到2025年，力争轻工制造业、装备制造业产值均达10亿元以上。</w:t>
      </w:r>
    </w:p>
    <w:p w14:paraId="0D809F41">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（4）大力发展生物资源加工业</w:t>
      </w:r>
    </w:p>
    <w:p w14:paraId="11ADC6A7">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提高传统食品工业技术装备水平，培育壮大茶叶、核桃、甜橙、蔬菜、肉制品等新平特色食品加工业。加快传统特色食品工业发展，充分用好用活“新平腌菜”地理标志，整合酱菜加工企业，提升品牌效益和产品附加值，做大做强具有地方和民族特色的酱菜产业。强化果蔬产品冷链周转、分选包装和畜禽产品屠宰、冷链，推进茶叶、中药饮片等农产品初加工，发展涵盖种植和养殖基地、加工销售、研发为一体的高原特色农产品加工业。深度开发以植物提取为主的天然生物医药、保健品、保健酒、天然香料、天然化妆品等生物新产品，发展黄精、石斛、滇重楼、三七等中药材精深加工，扩大露水草、玫瑰花种植及精深加工（蜕皮激素、玫瑰精油、玫瑰纯露）生产规模，支持工业大麻加工项目建设，加快推进大麻二酚项目。大力发展以绿色食品加工为主的生物加工业，加快蔗糖加工产业转型发展，推进南恩糖纸搬迁改造转型升级项目建设，推动糖纸产业良性发展。到2025年，力争生物资源加工业产值达10亿元以上。</w:t>
      </w:r>
    </w:p>
    <w:p w14:paraId="37E6EC0A">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（5）节能降碳常态化</w:t>
      </w:r>
    </w:p>
    <w:p w14:paraId="6C3B4D6F">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优化能源结构。加快构建多元化的清洁能源供应网络，提高可再生能源、天然气、电力在能源消费结构中的比例。</w:t>
      </w:r>
    </w:p>
    <w:p w14:paraId="3499D6F2">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推进工业能效提升。能效提效是贯穿于工业发展始终的重要任务，应推动节能从局部、单体节能，向全流程、系统节能转变。突出抓好园区重点耗能企业的节能降耗，实施工业能效赶超行动和低碳标杆引领计划，加强高耗能企业能耗管控。在仙福钢铁等重点用能企业中，开展能效对标活动，实施能效“领跑者”制度。在推动仙福钢铁加快转型升级的同时，加强园区重点用能企业生产能力调整和改造，用高新技术、清洁生产技术改造提升传统生产工艺，开展单位能耗产出效益综合评价和节能诊断，以系统能量优化、淘汰落后高耗能设备、余热回收利用为重点，“一企一策”制定差异化节能改造方案并组织实施，大力提高能源利用水平，构建以企业为主体的低碳产业支撑体系。创新节能服务模式，鼓励实施合同能源管理。</w:t>
      </w:r>
    </w:p>
    <w:p w14:paraId="35C01E85">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推进建筑节能。大幅提升新建建筑能效，大力推广新建标准厂房采用高效保温材料复合墙体，采用高效节能门窗，提高建筑幕墙周边密封技术，充分利用园区屋顶、建筑立面、车棚顶面等资源，推进光伏发电与建筑一体化应用。建设连接光伏发电、储能设备和充放电设施的微电网系统，实现电力高效消纳利用。到2025年园区新建建筑100%执行绿色建筑标准。</w:t>
      </w:r>
    </w:p>
    <w:p w14:paraId="5C4BB0B9">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（6）资源利用高效化</w:t>
      </w:r>
    </w:p>
    <w:p w14:paraId="41D9292D">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园区资源高效化需要从园区工业生产的减量化、用能的集约化和能源的低碳化这三个途径入手，实现四个“降低”：降低经济产出带来的物质消耗需求，降低物质消耗需求带来的实际物质生产，降低实际生产带来的能源消耗，降低能源消耗带来的碳排放。根据园区内企业资源及废弃物利用情况，制定资源综合利用路线图，提出促进园区资源循环高效利用、提高资源产出率等方面的主要任务。</w:t>
      </w:r>
    </w:p>
    <w:p w14:paraId="2CCBA985">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（7）污染治理集中化</w:t>
      </w:r>
    </w:p>
    <w:p w14:paraId="7262A5A6">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结合园区主要污染物排放情况，加强污染集中治理设施建设及升级改造的任务。培育或引进专业化节能环保服务公司，实行园区污染集中治理，创新环境服务模式，强化园区的环境综合管理，构建园区、企业和产品等不同层次的环境治理和管理体系，大力推进园区内工业副产石膏、冶炼渣等大宗工业固废集中处置和资源化利用，最大限度降低污染物排放水平。</w:t>
      </w:r>
    </w:p>
    <w:p w14:paraId="23B419FC">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（8）基础设施绿色化</w:t>
      </w:r>
    </w:p>
    <w:p w14:paraId="027ED6F2">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基础设施绿色升级是实现园区绿色循环发展的必经之路。加大新型低碳技术研发，引领基础设施由资源依赖型向技术依赖型发展模式转变；加速基础设施升级改造和有序淘汰，抢抓后疫情时代绿色复苏的发展机遇。结合园区基础设施现状，进一步优化园区基础设施布局与配置，提出对园区内供水、供电、供热、供冷、照明、通讯、运输、建筑等基础设施进行改造的任务。一是环境基础设施，形成资源化协同处理模式。废弃物处置：对废水、废气、废渣等污染物集中治理，规范收集储存和运输；生活垃圾：将生活垃圾、餐厨垃圾和粪便无害化处理，补齐垃圾分类末端处置能力；污水治理：实施雨污分流，污水“零排放”。通过污水在线监测系统对处理后污水的指标、排放流量进行全程监控。二是社会性基础设施，优化公共服务配套。公共建筑：充分利用自然采光、自然通风、节能门窗、高性能隔热保温材料、室内温湿度及照明智能控制建筑与光伏一体化、施工就地取材等措施。合理设计确定热网管径，科学选择相应的设备，利用节能装置确保设备高效运行；共享平台：建设企业共享综合服务中心、一站式商业配套、创客及中小微企业服务平台。三是新型基础设施，建设绿色低碳一体化信息服务平台。通过园区企业间的信息资源共享，及时发布各类发展循环经济的相关信息，提供循环经济方面的技术服务、专家咨询、金融对接、政策解读等信息服务，满足线上信息传达和线下生产对接的融合，将园区企业碳排放量统计管理纳入信息服务平台，提高用户能源数据的可追溯能力，实现以信息技术引导物质流、资源配置优化和废弃物交换交易，促进园区生产链接和区域共生，辅助园区循环经济管理决策。注重园区绿化，美化园区生态环境。大力发展天然气、风电、光伏太阳能发电、生物质能等新能源，全力协调推进新平产业园区增量配电网、新平县大开门至县城28公里天然气管道等项目建设。到2025年，力争清洁能源产值达10亿元以上。</w:t>
      </w:r>
    </w:p>
    <w:p w14:paraId="0E528735">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（9）运行管理规范化</w:t>
      </w:r>
    </w:p>
    <w:p w14:paraId="6878E80D">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建立健全园区循环化改造指导协调机制，建立园区循环经济统计指标体系，提高信息化应用和管理水平。推进园区循环经济信息公共服务平台建设，鼓励园区组建重点领域循环经济产业联盟。开展园区循环经济宣传、教育和培训。强化园区内企业资源节约、环境保护的执法监督。提升企业生态化管理水平。充分调动企业对开发区建设的主体作用，立足制造业的全生命周期，从源头设计、过程控制、产品输出等方面，推动企业广泛开展生态设计、清洁生产、能源审计、能效对标、ISO14001环境管理认证、环境标志产品认证、低碳产品认证等绿色行动，塑造一批企业生态化管理示范企业。加快建设园区绿色低碳一体化信息服务平台项目——建立园区统一的服务平台、数据资源中心和大数据决策分析平台，构建园区监管与服务中枢满足国家循环化改造项目中循环经济信息平台所需的基本功能要求，强化数据资源应用，实现循环经济大数据、物联网大数据、互联网社会大数据的集中构建，进行园区废弃物交换信息、循环经济信息交换使用，集成循环经济科技研发等公共服务功能。</w:t>
      </w:r>
    </w:p>
    <w:p w14:paraId="3886F94D">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（10）保障区域环境安全</w:t>
      </w:r>
    </w:p>
    <w:p w14:paraId="04882FC3">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加强污染物源头总量控制。严格环境准入，通过空间准入限制、环境影响评价、总量审批前置等强化建设项目全过程监管，从决策源头防止环境污染。强化试生产申请备案制度，将试生产申请作为项目环境管理的重要节点。实施企业环保动态跟踪制度，完善园区企业环保“一户一档”。推进化学需氧量、氨氮、二氧化硫、氮氧化物等主要污染物减排。</w:t>
      </w:r>
    </w:p>
    <w:p w14:paraId="600674AF">
      <w:pPr>
        <w:pStyle w:val="5"/>
        <w:pageBreakBefore w:val="0"/>
        <w:kinsoku/>
        <w:wordWrap/>
        <w:overflowPunct/>
        <w:topLinePunct w:val="0"/>
        <w:autoSpaceDE/>
        <w:autoSpaceDN/>
        <w:bidi w:val="0"/>
        <w:adjustRightInd w:val="0"/>
        <w:snapToGrid w:val="0"/>
        <w:spacing w:before="0" w:after="0" w:line="500" w:lineRule="exact"/>
        <w:ind w:firstLine="0" w:firstLineChars="0"/>
        <w:textAlignment w:val="auto"/>
        <w:rPr>
          <w:rFonts w:eastAsia="仿宋"/>
          <w:snapToGrid w:val="0"/>
          <w:color w:val="auto"/>
          <w:sz w:val="28"/>
        </w:rPr>
      </w:pPr>
      <w:bookmarkStart w:id="611" w:name="_Toc27206"/>
      <w:r>
        <w:rPr>
          <w:rFonts w:eastAsia="仿宋"/>
          <w:snapToGrid w:val="0"/>
          <w:color w:val="auto"/>
          <w:sz w:val="28"/>
        </w:rPr>
        <w:t>8.2.3推进农业绿色化发展</w:t>
      </w:r>
      <w:bookmarkEnd w:id="611"/>
    </w:p>
    <w:p w14:paraId="31B9003B">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（1）确保耕地永续利用</w:t>
      </w:r>
    </w:p>
    <w:p w14:paraId="0085DB33">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稳定耕地面积。实行最严格的耕地保护制度，稳定粮食播种面积，严控新增建设占用耕地，确保耕地保有量和基本农田红线。划定永久基本农田，按照保护优先的原则，将城镇周边、交通沿线、粮油生产基地的优质耕地优先划为永久基本农田，实行永久保护。</w:t>
      </w:r>
    </w:p>
    <w:p w14:paraId="4FCCCF1D">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提升耕地质量。开展土地整治、中低产田改造建设，加大高标准农田建设力度，继续推动基本农田改造。加强基本农田水利设施建设，在有条件的地方通过引水工程、增加基本农田灌溉面积。在引水困难的区域，大量修建小水窖、小水池，充分利用雨水进行灌溉。</w:t>
      </w:r>
    </w:p>
    <w:p w14:paraId="11028A12">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建立农田休耕制度。在保证国家粮食安全和不影响农民收入的前提下，对土壤污染严重、区域生态功能退化、可利用水资源不足等不宜连续耕种的农田实行定期休耕。</w:t>
      </w:r>
    </w:p>
    <w:p w14:paraId="49EE2FEA">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（2）深化农业结构调整</w:t>
      </w:r>
    </w:p>
    <w:p w14:paraId="088C01CA">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按照“宜农则农、宜林则林、宜畜则畜、宜果则果”的原则，发展特色水果等高效生态特色作物、生态观光农业。</w:t>
      </w:r>
    </w:p>
    <w:p w14:paraId="6DCCA3AB">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加快优势特色产业基地建设。发展绿色、无公害蔬菜，特色水果产业发展。提高畜牧业发展质量，提高畜禽产品保障能力。</w:t>
      </w:r>
    </w:p>
    <w:p w14:paraId="49106A29">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（3）发展特色优势产业</w:t>
      </w:r>
    </w:p>
    <w:p w14:paraId="25D8BEAA">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水果产业。创建“一县一业（水果）”示范县，坚持标准化、生态化、品牌化发展，发挥“褚橙”引领示范作用，建设绿色有机农产品产地认证柑橘示范园区，将红河谷－绿汁江半山一线建设成以柑橘为主的绿色生态经济走廊。围绕香蕉、芒果、荔枝等热区水果建立优质种苗繁育基地和生产基地，推进有机果园基地建设。到2025年，水果种植面积达30万亩，产值达20亿元以上，其中：柑橘种植面积达15万亩，产值达16亿元以上。</w:t>
      </w:r>
    </w:p>
    <w:p w14:paraId="4644811D">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畜禽产业。以生猪为重点，推广养殖业新型经营模式，大力发展种养结合和生态循环的适度规模养殖，提升畜牧业组织化程度和综合生产能力，实现百万头生猪调出大县目标。支持加工企业向畜禽养殖、饲料生产、屠宰加工、冷鲜领域拓展，提升生猪就近屠宰加工能力，构建“生猪屠宰+冷链运输+冷鲜上市”的生猪产业链模式。到2025年，肉蛋奶总产达9.88万吨，畜禽产值达60亿元。</w:t>
      </w:r>
    </w:p>
    <w:p w14:paraId="2DAAC0DA">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蔬菜产业。积极发展热区冬早蔬菜和温凉地区夏季蔬菜，建设老厂、水塘、戛洒、漠沙冬早蔬菜基地和平掌、建兴、新化、者竜等高山露地蔬菜基地。打好“品种差”“时间差”，开辟外销型蔬菜种植新区。加快新品种引进，建设蔬菜良种繁育基地。加强自动化分级包装流水线、田头预冷、冷链运输、冷藏保鲜等设备设施建设，提升蔬菜产业的现代化水平。到2025年，蔬菜种植面积达20万亩，蔬菜产值达10亿元以上。</w:t>
      </w:r>
    </w:p>
    <w:p w14:paraId="3BEDDD8B">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中药材产业。优化产业布局，着力建设道地药材和特色药材基地，在哀牢山中高海拔地区重点种植露水草、龙胆草、重楼、黄精等喜阴凉的中药材，红河谷沿线热区种植辣木等喜光温中药材，合理利用林下土地资源布局中药材。加强传统工艺传承和现代加工技术研发，开发符合现代生活方式的地道品种新型饮片（民族药），提升中药材加工率。到2025年，中草药种植面积达2.5万亩，产值达1亿元以上。</w:t>
      </w:r>
    </w:p>
    <w:p w14:paraId="383248B1">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茶叶产业。以平掌乡、水塘镇、者竜乡为重点，建设优质普洱茶、高端绿茶、名优红茶生产基地。改造低产低质茶园，加快有机茶园建设，促进台地茶园向优质、高效转换。积极打造茶产品特色品牌，提升茶叶知名度和影响力。规范发展茶叶初制所，确保产品质量。到2025年，茶叶种植面积达4.62万亩，产值达0.7亿元以上。</w:t>
      </w:r>
    </w:p>
    <w:p w14:paraId="1D4F83C8">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竹产业。建设高标准竹林基地，开展低效竹林改造。积极进行竹产品“三品一标”认证，以采摘季节卖鲜笋、过季时卖干笋的方式，延长特色食用笋的销售季节。开发具有民族特色的甜笋煮土鸡、酸笋煮鱼、竹虫等与竹有关食品。保护性发展传统手工草纸工艺，积极发展竹手工艺。以打造区域性竹浆原料基地为目标，巩固提升种竹效益。到2025年，竹子种植面积达36万亩以上，产值达2亿元以上。</w:t>
      </w:r>
    </w:p>
    <w:p w14:paraId="2DF86240">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核桃产业。以提质增效为核心，建设优质高效核桃综合示范基地，积极进行核桃产品“三品一标”认证，积极融入“云南古树核桃”高端坚果品牌创建，促进核桃产业由数量增长向质量效益增长转型。加快核桃产业化进程，以高品质核桃油、核桃粉、核桃露和核桃仁为重点，发展加工企业。到2025年，核桃种植面积稳定在50万亩，产值达6亿元以上。</w:t>
      </w:r>
    </w:p>
    <w:p w14:paraId="483ABAA0">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甘蔗产业。优化种植区域布局，改善蔗区基础设施条件，建设高标准、规范化生态种植基地。引进高糖耐旱良种，推广全膜覆盖种植技术，引导蔗农科学施肥，推广机械化栽种收割，降低蔗农生产成本。到2025年，甘蔗种植面积稳定在8.5万亩左右，产值达2亿元以上。</w:t>
      </w:r>
    </w:p>
    <w:p w14:paraId="6AA9C3DC">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（4）发展现代标准化农业</w:t>
      </w:r>
    </w:p>
    <w:p w14:paraId="70A64B03">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制定主要特色农作物生产标准和技术规程，逐步建立健全农产品产地准出、质量追溯制度。鼓励农业龙头企业、农民专业合作社等农业新型经营主体，按标准组织生产和订单收购，促进农产品“按标生产、按标上市、按标流通”。加快柑橘、蔬菜等农产品质量标准体系建设，推动内外销产品“同线同标同质”。完善质量安全追溯体系建设，全面推广应用国家农产品质量安全追溯管理信息平台，加强农产品品牌评定、打造“新三品一标”，全面提升农产品品质。到2025年，新增“三品一标”产品认证50个。鼓励企业参加绿色、有机产品认证、云南省“10大名品”“10强企业”“20佳创新企业”等品牌评选活动，发挥“褚橙”等品牌引领示范作用，培育“新平柑橘”“新平芒果”“新平荔枝”等区域性品牌。</w:t>
      </w:r>
    </w:p>
    <w:p w14:paraId="5752CDCC">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（5）发展高效节水型农业</w:t>
      </w:r>
    </w:p>
    <w:p w14:paraId="2EE0DDD4">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优化配置农业用水。通过建设骨干水源工程和实施区域水资源配置工程，进一步优化用水结构，缓解重点农业生产区的用水压力。充分利用天然降水。根据各地水资源承载能力和自然、经济、社会条件，优化配置水、土、光、热、种质等资源，合理调整农业生产布局、农作物种植结构以及农、林、牧业用水结构。在保证粮食和烤烟稳定增产的基础上，优化农业种植结构，扩大经济作物种植面积，大力发展蔬菜、水果等优势产业，在山区、半山区积极发展畜牧业，在水资源短缺地区积极发展旱作节水农业。完善农业节水工程措施。在干旱和易发生水土流失地区，加快推广保护性耕作技术。</w:t>
      </w:r>
    </w:p>
    <w:p w14:paraId="759087F6">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（6）推进农业投入物减量化</w:t>
      </w:r>
    </w:p>
    <w:p w14:paraId="6AF926F3">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实施化肥使用量“负增长”行动。按照“精、调、改、替”相结合的思路，进一步细化各重点区域控肥要求与技术路径，继续强化测土配方施肥，扩大施肥配方供给，完善标准化配方肥经销网络。稳步推进测土配方施肥应用。充分发挥种植大户、家庭农场、专业合作社等新型农业经营主体的示范带头作用，强化技术培训和指导服务，逐步转变施肥方式，推广滴灌施肥、喷灌施肥等水肥一体化技术、氮肥深施、磷肥集中施用技术和适应性施肥技术；大力推广缓控释肥、生物有机肥、水溶性肥料、腐植酸肥料、叶面肥料等新型肥料及其搭配组合模式。</w:t>
      </w:r>
    </w:p>
    <w:p w14:paraId="1440B384">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实施农药使用量“负增长”行动。按照“控、替、清、统”相结合的思路，进一步细化各重点区域农药控制要求与技术路径，实施新平县农药使用量负增长行动。构建病虫害监测预警体系，逐步配备自动虫情测报灯、自动计数性诱捕器、病害智能监测仪等现代监测工具。普及科学用药，全面禁止并坚决打击剧毒高毒农药生产、销售和使用，扩大低毒生物农药补贴项目实施范围，鼓励开发生产生物高效低毒低残留农药并快速推广应用。提高喷雾对靶性，提高农药利用率。推进绿色防控与统防统治。集成推广一批绿色病虫害防控模式，着力解决技术不配套、不规范的问题。以标准化种植基地为重点，建立一批绿色防控示范区，带动大面积推广应用。提升病虫害防治组织化程度，积极探索第三方服务，提升装备、技术和服务水平，逐年提高主要农作物病虫害统防统治覆盖面积。</w:t>
      </w:r>
    </w:p>
    <w:p w14:paraId="39A28B28">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推进农膜减量化行动。严禁生产销售和使用厚度在0.01毫米以下的地膜。制定引导机制，明确对旱作农业、一膜两用、适时揭膜、机械拾膜技术的补助方案和对厚地膜使用与加工回收的补贴政策。健全废弃农膜回收贮运和综合利用网络。</w:t>
      </w:r>
    </w:p>
    <w:p w14:paraId="08A89A4E">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（7）推进农业废弃物资源化</w:t>
      </w:r>
    </w:p>
    <w:p w14:paraId="609E5F2E">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推动养殖业粪污资源化利用。统筹考虑环境承载能力及畜禽养殖污染防治要求，按照农牧结合、种养平衡的原则，科学规划布局畜禽养殖，按照畜禽及水产分区划定要求，按时关闭或搬迁禁养区内的养殖场、养殖小区和养殖专业户。推行标准化规模养殖，配套建设粪便污水贮存、处理、利用设施，改进设施养殖工艺，完善技术装备条件。在种养密度较高的地区和新农村集中区因地制宜建设规模化沼气工程，支持第三方畜禽粪污治理体系，支持规模化养殖企业利用畜禽粪便生产有机肥，支持多种模式发展规模化生物天然气工程。在散养密集区实行干湿分离，干粪生产有机肥，尿液污水进行发酵处理，完善畜禽粪污收集、堆沤积肥、有机肥加工等设施设备，基本实现分户收集、集中处理。推进新平县畜禽粪污资源化利用整县推进项目</w:t>
      </w:r>
    </w:p>
    <w:p w14:paraId="031EFB99">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推动种植业秸秆资源化利用。开展秸秆产生及利用情况普查，结合农民意愿，确立各区域、各类秸秆最佳利用途径。以秸秆肥料化使用为重点，推动秸秆机械还田、堆沤还田。加快秸秆饲料化利用；加快开展秸秆基料化利用；探索秸秆原料化利用方式。积极推广秸秆燃料化利用，大力发展秸秆沼气、秸秆固化成型燃料等产业。</w:t>
      </w:r>
    </w:p>
    <w:p w14:paraId="4100FA75">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（8）开展生态农业示范推广</w:t>
      </w:r>
    </w:p>
    <w:p w14:paraId="2BBE9774">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科学布局种植业、养殖业及其产业内部结构，形成产业相互依存、相互融合、物质多级循环的农业经营模式。大力推进畜禽规模养殖场（小区）、规模种植基地走种养结合之路，引导畜禽规模养殖场（小区）配套相应规模的种植基地，促进种植业与养殖业配套发展，实现畜禽养殖粪污循环利用，就地消纳，种养双赢。充分利用果园、林地、稻田等资源发展种养殖，促进农民收入持续增长。</w:t>
      </w:r>
    </w:p>
    <w:p w14:paraId="30DC897B">
      <w:pPr>
        <w:pStyle w:val="5"/>
        <w:pageBreakBefore w:val="0"/>
        <w:kinsoku/>
        <w:wordWrap/>
        <w:overflowPunct/>
        <w:topLinePunct w:val="0"/>
        <w:autoSpaceDE/>
        <w:autoSpaceDN/>
        <w:bidi w:val="0"/>
        <w:adjustRightInd w:val="0"/>
        <w:snapToGrid w:val="0"/>
        <w:spacing w:before="0" w:after="0" w:line="500" w:lineRule="exact"/>
        <w:ind w:firstLine="0" w:firstLineChars="0"/>
        <w:textAlignment w:val="auto"/>
        <w:rPr>
          <w:rFonts w:eastAsia="仿宋"/>
          <w:snapToGrid w:val="0"/>
          <w:color w:val="auto"/>
          <w:sz w:val="28"/>
        </w:rPr>
      </w:pPr>
      <w:bookmarkStart w:id="612" w:name="_Toc210"/>
      <w:r>
        <w:rPr>
          <w:rFonts w:eastAsia="仿宋"/>
          <w:snapToGrid w:val="0"/>
          <w:color w:val="auto"/>
          <w:sz w:val="28"/>
        </w:rPr>
        <w:t>8.2.</w:t>
      </w:r>
      <w:bookmarkEnd w:id="605"/>
      <w:bookmarkEnd w:id="606"/>
      <w:bookmarkEnd w:id="607"/>
      <w:r>
        <w:rPr>
          <w:rFonts w:eastAsia="仿宋"/>
          <w:snapToGrid w:val="0"/>
          <w:color w:val="auto"/>
          <w:sz w:val="28"/>
        </w:rPr>
        <w:t>4推进固体废弃物综合利用</w:t>
      </w:r>
      <w:bookmarkEnd w:id="612"/>
    </w:p>
    <w:p w14:paraId="10DAAC19">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推进产废企业生产绿色化，实现源头减量。产废行业在生产过程充分考虑后续综合利用环节，不断优化工艺流程、改进技术装备，降低固废产生强度。</w:t>
      </w:r>
    </w:p>
    <w:p w14:paraId="2D40A264">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实施循环发展引领计划，强化工业资源综合利用，加快再生资源技术装备改造升级，深化“城市转型”示范基地建设，推动再生资源产业集聚发展。推动工业固体废弃物综合利用，加快工业园区循环化改造升级，延伸产业链，提高产业关联度，实现土地、资源和能源的高效利用和废弃物的资源化利用。推广“互联网+回收”新模式，探索建设废弃物在线回收、交易平台。</w:t>
      </w:r>
    </w:p>
    <w:p w14:paraId="16A99AF0">
      <w:pPr>
        <w:pStyle w:val="5"/>
        <w:pageBreakBefore w:val="0"/>
        <w:kinsoku/>
        <w:wordWrap/>
        <w:overflowPunct/>
        <w:topLinePunct w:val="0"/>
        <w:autoSpaceDE/>
        <w:autoSpaceDN/>
        <w:bidi w:val="0"/>
        <w:adjustRightInd w:val="0"/>
        <w:snapToGrid w:val="0"/>
        <w:spacing w:before="0" w:after="0" w:line="500" w:lineRule="exact"/>
        <w:ind w:firstLine="0" w:firstLineChars="0"/>
        <w:textAlignment w:val="auto"/>
        <w:rPr>
          <w:rFonts w:eastAsia="仿宋"/>
          <w:snapToGrid w:val="0"/>
          <w:color w:val="auto"/>
          <w:sz w:val="28"/>
        </w:rPr>
      </w:pPr>
      <w:bookmarkStart w:id="613" w:name="_Toc533688396"/>
      <w:bookmarkStart w:id="614" w:name="_Toc547"/>
      <w:bookmarkStart w:id="615" w:name="_Toc15016"/>
      <w:bookmarkStart w:id="616" w:name="_Toc3879"/>
      <w:bookmarkStart w:id="617" w:name="_Toc517078142"/>
      <w:r>
        <w:rPr>
          <w:rFonts w:eastAsia="仿宋"/>
          <w:snapToGrid w:val="0"/>
          <w:color w:val="auto"/>
          <w:sz w:val="28"/>
          <w:lang w:val="zh-CN"/>
        </w:rPr>
        <w:t>8.</w:t>
      </w:r>
      <w:bookmarkEnd w:id="613"/>
      <w:r>
        <w:rPr>
          <w:rFonts w:eastAsia="仿宋"/>
          <w:snapToGrid w:val="0"/>
          <w:color w:val="auto"/>
          <w:sz w:val="28"/>
        </w:rPr>
        <w:t>2.</w:t>
      </w:r>
      <w:bookmarkEnd w:id="614"/>
      <w:bookmarkEnd w:id="615"/>
      <w:r>
        <w:rPr>
          <w:rFonts w:eastAsia="仿宋"/>
          <w:snapToGrid w:val="0"/>
          <w:color w:val="auto"/>
          <w:sz w:val="28"/>
        </w:rPr>
        <w:t>5提升水资源利用效率</w:t>
      </w:r>
      <w:bookmarkEnd w:id="616"/>
    </w:p>
    <w:p w14:paraId="3F5D5B59">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落实最严格水资源管理制度，加强“三条红线”管理，实施规划及重大建设项目水资源论证制度，强化水资源刚性约束，实施重大节水工程，提高用水效率，确保单位地区生产总值用水量保持稳定或持续改善，完成上级下达的目标任务。</w:t>
      </w:r>
    </w:p>
    <w:p w14:paraId="19F54212">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加大农业节水力度。发展节水农业，贯彻实施“节水减排”战略，加强节水灌溉工程建设和节水改造，选育抗旱节水品种，发展旱作农业，推广水肥一体化等节水技术，推进规模化高效节水灌溉。完成新平重点中型灌区和一般中型灌区续建配套和节水改造任务，农田灌溉水有效利用系数达到0.5以上，逐步降低农业用水比重，优化用水结构，有效减少农田退水对水体的污染。</w:t>
      </w:r>
    </w:p>
    <w:p w14:paraId="3A30B804">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深入开展工业节水。积极推进用水效率“领跑者”引领行动，加快高耗水工业行业节水技术改造。大力推广工业通用节水工艺和技术，加快淘汰落后用水工艺和技术。强化重点用水单位监督巡查，开展节水型企业创建工作，鼓励产业园区统一供水、废水集中处理和循环利用，工业园区重复用水率达到85%以上。</w:t>
      </w:r>
    </w:p>
    <w:bookmarkEnd w:id="617"/>
    <w:p w14:paraId="2389EDE0">
      <w:pPr>
        <w:pStyle w:val="5"/>
        <w:pageBreakBefore w:val="0"/>
        <w:kinsoku/>
        <w:wordWrap/>
        <w:overflowPunct/>
        <w:topLinePunct w:val="0"/>
        <w:autoSpaceDE/>
        <w:autoSpaceDN/>
        <w:bidi w:val="0"/>
        <w:adjustRightInd w:val="0"/>
        <w:snapToGrid w:val="0"/>
        <w:spacing w:before="0" w:after="0" w:line="500" w:lineRule="exact"/>
        <w:ind w:firstLine="0" w:firstLineChars="0"/>
        <w:textAlignment w:val="auto"/>
        <w:rPr>
          <w:rFonts w:eastAsia="仿宋"/>
          <w:snapToGrid w:val="0"/>
          <w:color w:val="auto"/>
          <w:sz w:val="28"/>
        </w:rPr>
      </w:pPr>
      <w:bookmarkStart w:id="618" w:name="_Toc4711"/>
      <w:r>
        <w:rPr>
          <w:rFonts w:eastAsia="仿宋"/>
          <w:snapToGrid w:val="0"/>
          <w:color w:val="auto"/>
          <w:sz w:val="28"/>
          <w:lang w:val="zh-CN"/>
        </w:rPr>
        <w:t>8.</w:t>
      </w:r>
      <w:r>
        <w:rPr>
          <w:rFonts w:eastAsia="仿宋"/>
          <w:snapToGrid w:val="0"/>
          <w:color w:val="auto"/>
          <w:sz w:val="28"/>
        </w:rPr>
        <w:t>2.6提升清洁化水平</w:t>
      </w:r>
      <w:bookmarkEnd w:id="618"/>
    </w:p>
    <w:p w14:paraId="1F105458">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（1）大力推行清洁养殖</w:t>
      </w:r>
    </w:p>
    <w:p w14:paraId="76BB8517">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加大畜禽养殖污染行政执法力度。规范养殖行为，促进现代生态循环农业发展，实现经济和生态和谐发展，实现种养殖废物的循环利用。加强对全县牛、生猪、鸡等规模化养殖场清洁养殖监督力度，积极推动养殖方式与治理方式的转变，加大农业减排新技术推广力度，促达标升级。以牛、生猪、鸡等规模养殖场为重点，开展“畜禽养殖+沼液+种植”的种养循环产业体系，整区推进畜禽养殖废弃物资源化利用，到2025年，畜禽粪污综合利用率≥93%，2030年≥95%。</w:t>
      </w:r>
    </w:p>
    <w:p w14:paraId="50D070AF">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（2）大力推行工业清洁生产</w:t>
      </w:r>
    </w:p>
    <w:p w14:paraId="78232E7D">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通过在能耗物耗较大的钢铁、建材等涉重、涉危、涉味重点行业全面实施清洁生产审核，制订园区重点行业清洁生产评价推进办法，建立动态监督机制。到2025年，重点企业清洁生产审核通过验收的比例达到100%。积极组织实施《中华人民共和国清洁生产促进法》，加强清洁生产组织建设，逐步建立比较完善的清洁生产管理体制和实施机制，促进行业企业编制清洁化生产方案。大力推广应用清洁生产技术，在新建、改建和扩建项目中，采用无毒、无害或者低毒、低害的原料，选用资源利用率高、污染物产生量少的工艺和设备。推进企业清洁生产，从源头减少废物的产生，促进企业能源消费、工业固体废弃物、包装废弃物的减量化与资源化综合利用，控制和减少污染物排放，提高资源利用效率。鼓励企业采用先进适用清洁生产工艺技术实施升级改造，提升清洁生产水平，优选出一批清洁生产工作成效突出的标杆企业，给予环保专项资金补贴。按照建设项目必须达到国内清洁生产领先水平，引进国外工艺设备必须达到国际清洁生产先进水平的要求，从生产技术和工艺、物耗能耗、产排污情况及环境管理等方面，对重点工业项目试行先进性评估制度。</w:t>
      </w:r>
      <w:bookmarkEnd w:id="584"/>
      <w:bookmarkEnd w:id="585"/>
      <w:bookmarkEnd w:id="586"/>
      <w:bookmarkEnd w:id="587"/>
      <w:bookmarkEnd w:id="588"/>
      <w:bookmarkEnd w:id="589"/>
      <w:bookmarkEnd w:id="590"/>
      <w:bookmarkStart w:id="619" w:name="_Toc35697790"/>
      <w:bookmarkStart w:id="620" w:name="_Toc7417"/>
      <w:bookmarkStart w:id="621" w:name="_Toc514661289"/>
      <w:bookmarkStart w:id="622" w:name="_Toc24999"/>
      <w:bookmarkStart w:id="623" w:name="_Toc9516131"/>
    </w:p>
    <w:p w14:paraId="7992B2E9">
      <w:pPr>
        <w:pStyle w:val="5"/>
        <w:pageBreakBefore w:val="0"/>
        <w:kinsoku/>
        <w:wordWrap/>
        <w:overflowPunct/>
        <w:topLinePunct w:val="0"/>
        <w:autoSpaceDE/>
        <w:autoSpaceDN/>
        <w:bidi w:val="0"/>
        <w:adjustRightInd w:val="0"/>
        <w:snapToGrid w:val="0"/>
        <w:spacing w:before="0" w:after="0" w:line="500" w:lineRule="exact"/>
        <w:ind w:firstLine="0" w:firstLineChars="0"/>
        <w:textAlignment w:val="auto"/>
        <w:rPr>
          <w:rFonts w:eastAsia="仿宋"/>
          <w:snapToGrid w:val="0"/>
          <w:color w:val="auto"/>
          <w:sz w:val="28"/>
        </w:rPr>
      </w:pPr>
      <w:bookmarkStart w:id="624" w:name="_Toc20830"/>
      <w:r>
        <w:rPr>
          <w:rFonts w:eastAsia="仿宋"/>
          <w:snapToGrid w:val="0"/>
          <w:color w:val="auto"/>
          <w:sz w:val="28"/>
        </w:rPr>
        <w:t>8.2.</w:t>
      </w:r>
      <w:bookmarkEnd w:id="619"/>
      <w:bookmarkEnd w:id="620"/>
      <w:bookmarkEnd w:id="621"/>
      <w:bookmarkEnd w:id="622"/>
      <w:bookmarkEnd w:id="623"/>
      <w:r>
        <w:rPr>
          <w:rFonts w:eastAsia="仿宋"/>
          <w:snapToGrid w:val="0"/>
          <w:color w:val="auto"/>
          <w:sz w:val="28"/>
        </w:rPr>
        <w:t>7</w:t>
      </w:r>
      <w:r>
        <w:rPr>
          <w:rFonts w:hint="eastAsia" w:eastAsia="仿宋"/>
          <w:snapToGrid w:val="0"/>
          <w:color w:val="auto"/>
          <w:sz w:val="28"/>
        </w:rPr>
        <w:t>打造中国花腰傣文化旅游目的地</w:t>
      </w:r>
      <w:bookmarkEnd w:id="624"/>
    </w:p>
    <w:p w14:paraId="51FDC335">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以打好“健康生活目的地牌”为抓手，积极服务和融入大滇西旅游环线、昆玉红旅游文化带建设，提高旅游服务能力，擦亮“花腰傣之乡”“褚橙之乡”“中国天然氧吧”等名片，打造中国花腰傣文化旅游目的地。到2025年，文化旅游现代服务业收入达100亿元以上。</w:t>
      </w:r>
    </w:p>
    <w:p w14:paraId="62D3CFE4">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（1）优化全域旅游布局</w:t>
      </w:r>
    </w:p>
    <w:p w14:paraId="69C1169C">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围绕“风情花腰傣</w:t>
      </w:r>
      <w:r>
        <w:rPr>
          <w:rFonts w:hint="cs" w:ascii="Times New Roman" w:hAnsi="Times New Roman" w:eastAsia="方正仿宋_GBK" w:cs="方正仿宋_GBK"/>
          <w:b w:val="0"/>
          <w:bCs w:val="0"/>
          <w:color w:val="auto"/>
          <w:kern w:val="2"/>
          <w:sz w:val="28"/>
          <w:szCs w:val="28"/>
          <w:lang w:val="en-US" w:eastAsia="zh-CN" w:bidi="ar-SA"/>
        </w:rPr>
        <w:t>•</w:t>
      </w:r>
      <w:r>
        <w:rPr>
          <w:rFonts w:hint="eastAsia" w:ascii="Times New Roman" w:hAnsi="Times New Roman" w:eastAsia="方正仿宋_GBK" w:cs="方正仿宋_GBK"/>
          <w:b w:val="0"/>
          <w:bCs w:val="0"/>
          <w:color w:val="auto"/>
          <w:kern w:val="2"/>
          <w:sz w:val="28"/>
          <w:szCs w:val="28"/>
          <w:lang w:val="en-US" w:eastAsia="zh-CN" w:bidi="ar-SA"/>
        </w:rPr>
        <w:t>神秘哀牢山”形象定位，大力发展文化旅游产业，着力打造中国花腰傣文化旅游目的地。按照全地域覆盖、全资源整合、全要素配置、全产业融合的原则，统筹旅游资源、交通区位等优势，进一步优化“一地、两极、三区、四环、五带、六重点”的旅游总体发展格局。</w:t>
      </w:r>
    </w:p>
    <w:p w14:paraId="1C598E8A">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一地：中国花腰傣文化旅游目的地；两极：县城旅游集散极、戛洒旅游中心极；三区：哀牢山生态文化旅游区、红河谷—绿汁江特色农业花腰傣风情体验旅游区、磨盘山户外运动健康旅游区；四环：县城特色旅游环线、哀牢山旅游环线、红河谷—绿汁江旅游环线、磨盘山旅游环线；五带：哀牢山生态观光休闲康养户外运动旅游带、古州野林—哈科底生态观光休闲旅游带、磨盘山乡村休闲户外运动旅游带、红河谷—绿汁江花腰傣民族风情和亚热带风光旅游带、县城周边乡村休闲旅游带；六重点：戛洒国家级特色旅游小镇、哀牢山乡村旅游示范区、磨盘山康体养生户外运动区、扬武驿站经济小镇、漠沙田园综合体、建兴生态休闲旅游区。</w:t>
      </w:r>
    </w:p>
    <w:p w14:paraId="2AB91AB8">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（2）打造特色旅游景区</w:t>
      </w:r>
    </w:p>
    <w:p w14:paraId="62042D64">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发挥民族文化和自然生态两个资源优势，提升红河谷花腰傣文化体验、哀牢山生态康养度假、磨盘山户外运动休闲三个旅游区，建设一批半山酒店，打造一批旅游特色村寨和精品庄园，发展文化体验游、乡村休闲游、生态观光游，加强旅游商品开发，打造特色餐饮和节庆活动品牌，力争创建国家级全域旅游示范县。深入挖掘花腰傣文化，积极申报“国家非遗”项目，擦亮新平“花腰傣之乡”旅游名片。加快推进哀牢山生态文化精品旅游区、磨盘山户外运动健康精品旅游区和红河谷—绿汁江特色农业体验精品旅游区三个片区的高端名牌打造。加快在平甸、漠沙、戛洒等打造一批“乡村环境优、民族文化浓、市场前景好、致富带动强、乡风文明美”的宜居、宜业、宜游的旅游特色村和美丽乡村。发挥“褚橙庄园”“桔荔庄园”等庄园示范作用，大力发展乡村精品旅游业。到2025年，新建旅游A级景区5个，总数达到10个，其中：AAAAA级景区1个、AAAA级景区1个；接待游客700万人次以上，实现旅游总收入70亿元以上。</w:t>
      </w:r>
    </w:p>
    <w:p w14:paraId="17E6C7C9">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（3）完善旅游基础配套设施</w:t>
      </w:r>
    </w:p>
    <w:p w14:paraId="21BEBA68">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围绕“吃、住、行、游、购、娱”等基本旅游要素，进一步完善旅游硬件和软件设施，提升旅游服务质量和水平。顺应大众化旅游趋势，以方便和满足自助自驾游客消费需求，加强游客服务中心、休息站点、自驾露营地、旅游厕所、停车场及交通、旅游标识系统建设。以推进综合交通体系建设为依托，加大旅游区、城镇、乡村连接道路、骑行道路、景区游路及旅游环线路建设，打造“快进漫游”交通条件，推动发展周末经济、“后备箱经济”。加快智慧旅游发展，依托“一部手机游云南”平台，建立全域旅游信息化体系，打造集智慧管理、服务、营销于一体的智慧旅游一体化平台，加速AAAA级景区数字化提升。推进多业联动，树立“大会展”理念，着力打造区域性旅游会展中心。围绕戛洒特色小镇建设，以全国党员教育培训基地、戛洒外滩温泉康养小镇、戛洒欢乐水世界、半山酒店、哀牢山AAAA级景区开发等项目为抓手，打造旅游、会议培训、商业购物、公共交通、夜间经济等具有会展功能的旅游中心，促进全县旅游产业多业态互动、多元化消费，形成会展与旅游、商贸、文化、体育、科技等产业融合发展。</w:t>
      </w:r>
    </w:p>
    <w:p w14:paraId="1D39475D">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（4）融合发展旅游康养产业</w:t>
      </w:r>
    </w:p>
    <w:p w14:paraId="021D199A">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依托“两山一谷”，抓住磨盘山森林体验国家重点建设基地建设契机，打造一批集养生养老、旅游度假、特色民居体验、温泉康养、民族文化体验等功能为一体的康体养生度假村。以县城各医疗卫生机构为依托，建设集医疗、康复、养老等为一体的康复护理体系。以开发康养旅游、度假休闲、自然观光、生态旅游为重点，强化哀牢山、磨盘山原始森林保护与开发，充分发挥“灵山、秀水、好空气”优势，加快哀牢山景区整体开发项目，巩固提升磨盘山、大沐浴、南薅花腰傣民俗风情景区，打造磨盘山森林康养小镇，打通生态旅游通道。大力发展河谷养生、森林康养、中药疗养、田园体验等生态养生新业态。大力发展“健身游”，以运动养生基地为载体开展强身健体和愉悦身心的体育活动，并提供心理理疗、健身定制等服务体验</w:t>
      </w:r>
    </w:p>
    <w:p w14:paraId="6C1C7D0C">
      <w:pPr>
        <w:pStyle w:val="5"/>
        <w:pageBreakBefore w:val="0"/>
        <w:kinsoku/>
        <w:wordWrap/>
        <w:overflowPunct/>
        <w:topLinePunct w:val="0"/>
        <w:autoSpaceDE/>
        <w:autoSpaceDN/>
        <w:bidi w:val="0"/>
        <w:adjustRightInd w:val="0"/>
        <w:snapToGrid w:val="0"/>
        <w:spacing w:before="0" w:after="0" w:line="500" w:lineRule="exact"/>
        <w:ind w:firstLine="0" w:firstLineChars="0"/>
        <w:textAlignment w:val="auto"/>
        <w:rPr>
          <w:rFonts w:eastAsia="仿宋"/>
          <w:snapToGrid w:val="0"/>
          <w:color w:val="auto"/>
          <w:sz w:val="28"/>
        </w:rPr>
      </w:pPr>
      <w:bookmarkStart w:id="625" w:name="_Toc30462"/>
      <w:bookmarkStart w:id="626" w:name="_Toc7"/>
      <w:bookmarkStart w:id="627" w:name="_Toc3478"/>
      <w:bookmarkStart w:id="628" w:name="_Toc514661277"/>
      <w:r>
        <w:rPr>
          <w:rFonts w:eastAsia="仿宋"/>
          <w:snapToGrid w:val="0"/>
          <w:color w:val="auto"/>
          <w:sz w:val="28"/>
        </w:rPr>
        <w:t>8.2.8积极推进生态产品价值实现</w:t>
      </w:r>
      <w:bookmarkEnd w:id="625"/>
      <w:bookmarkEnd w:id="626"/>
      <w:bookmarkEnd w:id="627"/>
    </w:p>
    <w:p w14:paraId="6CFD3A7C">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推进森林资源生态产业化发展，深化集体林权制度改革，加强林下经济发展。引导和鼓励农民以林地使用权和林木所有权入股、合资、合作等形式组建专业合作组织。积极鼓励引导群众发展林药、林果、林菜、生态鸡等林下种植养殖产业，科学、合理利用林草资源，发展森林康养产业，逐步形成以林下种植、养殖、采集加工和森林旅游为重点的林下产业发展新格局。推进湿地资源生态产业化，强化全县湿地与野生动植物相关自然保护地的生态教育职能，积极探索湿地教育培训，提升全民湿地保护意识，提升湿地保护管理水平。加快生态旅游产业发展。深度挖掘优势旅游资源，依托新平县区位优势、优美的自然环境、深厚的历史文化，深入挖掘森林资源、生物多样性等方面资源，发展生态旅游产业，推动全域旅游发展。</w:t>
      </w:r>
    </w:p>
    <w:p w14:paraId="241E8F6D">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深入贯彻“绿水青山就是金山银山”理念，按照保护、合理开发利用绿水青山的思路，摸清资源本底，盘活生态资源和资本，与绿色产业发展和生态文明建设同步建立生态产品普查、评估、核算、登记等基础制度。加强自然资源调查评价监测和确权登记，建立健全资源有偿使用制度，完善资源价格形成机制。创新生态产品价值实现路径，推动传统农产品向农林生态+产业链转化。深挖哀牢山、磨盘山文化旅游资源，探索生态价值转换路径，大力发展以生态旅游为主的绿色经济和森林康养基地建设，依托扬武、平甸、新化、者竜、水塘、戛洒、漠沙、建兴、平掌，夯实旅游基础设施，开发民族文化、科考探险、登山越野、康体养生等多种旅游形态，提升景区综合功能，增强景区吸引力，打造哀牢山—磨盘山绿色经济带，实现文旅深度融合发展，构建“处处有风景，全域皆可游”的新平生态旅游大格局。全面实行排污许可制，加快完善排污权、用能权、用水权、碳排放交易。提高矿产、水生态等自然资源开发保护水平，探索建立元江流域水生态供水横向生态补偿机制。</w:t>
      </w:r>
    </w:p>
    <w:p w14:paraId="79319A72">
      <w:pPr>
        <w:pStyle w:val="4"/>
        <w:pageBreakBefore w:val="0"/>
        <w:kinsoku/>
        <w:wordWrap/>
        <w:overflowPunct/>
        <w:topLinePunct w:val="0"/>
        <w:autoSpaceDE/>
        <w:autoSpaceDN/>
        <w:bidi w:val="0"/>
        <w:spacing w:before="260" w:after="260" w:line="500" w:lineRule="exact"/>
        <w:ind w:firstLine="0"/>
        <w:textAlignment w:val="auto"/>
        <w:rPr>
          <w:rFonts w:hint="default" w:ascii="Times New Roman" w:hAnsi="Times New Roman" w:eastAsia="仿宋" w:cs="Times New Roman"/>
          <w:color w:val="auto"/>
          <w:sz w:val="32"/>
          <w:lang w:val="zh-CN" w:eastAsia="zh-CN"/>
        </w:rPr>
      </w:pPr>
      <w:bookmarkStart w:id="629" w:name="_Toc8271"/>
      <w:r>
        <w:rPr>
          <w:rFonts w:hint="default" w:ascii="Times New Roman" w:hAnsi="Times New Roman" w:eastAsia="仿宋" w:cs="Times New Roman"/>
          <w:color w:val="auto"/>
          <w:sz w:val="32"/>
          <w:lang w:val="zh-CN" w:eastAsia="zh-CN"/>
        </w:rPr>
        <w:t>8.3推进区域融合发展</w:t>
      </w:r>
      <w:bookmarkEnd w:id="629"/>
    </w:p>
    <w:p w14:paraId="70827F3B">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玉溪市新平县将主动融入昆曼公路、泛亚铁路中线等经济大通道战略中，统筹全域绿色发展综合改革试验，把矿冶资源、生物资源、花腰傣文化优势转化为绿色产业集群优势，开启生态、生产、生活“三生”新空间，构建以“绿色矿冶”为主体、以“大农业”和“大文旅”为两翼的现代绿色产业体系，实现经济社会可持续发展、民族团结进步、一、二、三产业融合发展，近期（2020—2025年）把新平打造为玉溪南部中心城市，中期（2025—2030年）打造为滇中高端绿色产业集聚高地，远期（2030—2035年）打造为区域性（面向南亚东南亚）国际绿色产业新领军城市。</w:t>
      </w:r>
    </w:p>
    <w:bookmarkEnd w:id="628"/>
    <w:p w14:paraId="492FE366">
      <w:pPr>
        <w:pStyle w:val="4"/>
        <w:pageBreakBefore w:val="0"/>
        <w:kinsoku/>
        <w:wordWrap/>
        <w:overflowPunct/>
        <w:topLinePunct w:val="0"/>
        <w:autoSpaceDE/>
        <w:autoSpaceDN/>
        <w:bidi w:val="0"/>
        <w:spacing w:before="260" w:after="260" w:line="500" w:lineRule="exact"/>
        <w:ind w:firstLine="0"/>
        <w:textAlignment w:val="auto"/>
        <w:rPr>
          <w:rFonts w:hint="default" w:ascii="Times New Roman" w:hAnsi="Times New Roman" w:eastAsia="仿宋" w:cs="Times New Roman"/>
          <w:color w:val="auto"/>
          <w:sz w:val="32"/>
          <w:lang w:val="zh-CN" w:eastAsia="zh-CN"/>
        </w:rPr>
      </w:pPr>
      <w:bookmarkStart w:id="630" w:name="_Toc24628"/>
      <w:bookmarkStart w:id="631" w:name="_Toc49"/>
      <w:bookmarkStart w:id="632" w:name="_Toc35697791"/>
      <w:bookmarkStart w:id="633" w:name="_Toc27817"/>
      <w:bookmarkStart w:id="634" w:name="_Toc18093"/>
      <w:bookmarkStart w:id="635" w:name="_Toc11743"/>
      <w:bookmarkStart w:id="636" w:name="_Toc25975"/>
      <w:bookmarkStart w:id="637" w:name="_Toc14551"/>
      <w:bookmarkStart w:id="638" w:name="_Toc7380"/>
      <w:r>
        <w:rPr>
          <w:rFonts w:hint="default" w:ascii="Times New Roman" w:hAnsi="Times New Roman" w:eastAsia="仿宋" w:cs="Times New Roman"/>
          <w:color w:val="auto"/>
          <w:sz w:val="32"/>
          <w:lang w:val="zh-CN" w:eastAsia="zh-CN"/>
        </w:rPr>
        <w:t>8.</w:t>
      </w:r>
      <w:bookmarkEnd w:id="630"/>
      <w:bookmarkEnd w:id="631"/>
      <w:bookmarkEnd w:id="632"/>
      <w:bookmarkEnd w:id="633"/>
      <w:bookmarkStart w:id="639" w:name="_Toc533688399"/>
      <w:bookmarkStart w:id="640" w:name="_Toc502138852"/>
      <w:bookmarkStart w:id="641" w:name="_Toc517078146"/>
      <w:bookmarkStart w:id="642" w:name="_Toc514661283"/>
      <w:bookmarkStart w:id="643" w:name="_Toc9516133"/>
      <w:bookmarkStart w:id="644" w:name="_Toc35697793"/>
      <w:r>
        <w:rPr>
          <w:rFonts w:hint="default" w:ascii="Times New Roman" w:hAnsi="Times New Roman" w:eastAsia="仿宋" w:cs="Times New Roman"/>
          <w:color w:val="auto"/>
          <w:sz w:val="32"/>
          <w:lang w:val="zh-CN" w:eastAsia="zh-CN"/>
        </w:rPr>
        <w:t>4构建清洁低碳现代能源体系</w:t>
      </w:r>
      <w:bookmarkEnd w:id="634"/>
      <w:bookmarkEnd w:id="635"/>
      <w:bookmarkEnd w:id="636"/>
      <w:bookmarkEnd w:id="637"/>
      <w:bookmarkEnd w:id="638"/>
    </w:p>
    <w:p w14:paraId="421CFA23">
      <w:pPr>
        <w:pStyle w:val="5"/>
        <w:pageBreakBefore w:val="0"/>
        <w:kinsoku/>
        <w:wordWrap/>
        <w:overflowPunct/>
        <w:topLinePunct w:val="0"/>
        <w:autoSpaceDE/>
        <w:autoSpaceDN/>
        <w:bidi w:val="0"/>
        <w:adjustRightInd w:val="0"/>
        <w:snapToGrid w:val="0"/>
        <w:spacing w:before="0" w:after="0" w:line="500" w:lineRule="exact"/>
        <w:ind w:firstLine="0" w:firstLineChars="0"/>
        <w:textAlignment w:val="auto"/>
        <w:rPr>
          <w:rFonts w:eastAsia="仿宋"/>
          <w:snapToGrid w:val="0"/>
          <w:color w:val="auto"/>
          <w:sz w:val="28"/>
          <w:lang w:val="zh-CN"/>
        </w:rPr>
      </w:pPr>
      <w:bookmarkStart w:id="645" w:name="_Toc5406"/>
      <w:bookmarkStart w:id="646" w:name="_Toc8296"/>
      <w:bookmarkStart w:id="647" w:name="_Toc9877"/>
      <w:r>
        <w:rPr>
          <w:rFonts w:eastAsia="仿宋"/>
          <w:snapToGrid w:val="0"/>
          <w:color w:val="auto"/>
          <w:sz w:val="28"/>
          <w:lang w:val="zh-CN"/>
        </w:rPr>
        <w:t>8.</w:t>
      </w:r>
      <w:r>
        <w:rPr>
          <w:rFonts w:eastAsia="仿宋"/>
          <w:snapToGrid w:val="0"/>
          <w:color w:val="auto"/>
          <w:sz w:val="28"/>
        </w:rPr>
        <w:t>4</w:t>
      </w:r>
      <w:r>
        <w:rPr>
          <w:rFonts w:eastAsia="仿宋"/>
          <w:snapToGrid w:val="0"/>
          <w:color w:val="auto"/>
          <w:sz w:val="28"/>
          <w:lang w:val="zh-CN"/>
        </w:rPr>
        <w:t>.1</w:t>
      </w:r>
      <w:bookmarkEnd w:id="639"/>
      <w:bookmarkEnd w:id="640"/>
      <w:bookmarkEnd w:id="641"/>
      <w:r>
        <w:rPr>
          <w:rFonts w:eastAsia="仿宋"/>
          <w:snapToGrid w:val="0"/>
          <w:color w:val="auto"/>
          <w:sz w:val="28"/>
          <w:lang w:val="zh-CN"/>
        </w:rPr>
        <w:t>加快推进能源基础设施建设</w:t>
      </w:r>
      <w:bookmarkEnd w:id="645"/>
      <w:bookmarkEnd w:id="646"/>
      <w:bookmarkEnd w:id="647"/>
    </w:p>
    <w:p w14:paraId="056C260F">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做强做优绿色能源产业，延伸能源产业链，深入推进绿色能源与绿色先进制造业深度融合。</w:t>
      </w:r>
    </w:p>
    <w:p w14:paraId="6475135C">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加快天然气网络及基础设施建设，形成布局合理、科学储配、辐射周边的天然气输送网络体系。推进完善天然气管网设施建设。加强应急和储气调峰设施、储气库、压缩天然气（CNG）加气站和液化天然气（LNG）接卸、储运、供应等基础设施建设。不断完善城镇天然气基础设施建设，加快老旧小区、不通天然气小区管道改扩建和新建工作，推动供气设施向农村延伸。</w:t>
      </w:r>
    </w:p>
    <w:p w14:paraId="304FEF6F">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实施电网改造工程，加快推动城乡电网改造和工业园区电网建设，提升电网保障能力。建设灵活可靠的配电系统，构建强健有序、灵活可靠的网架结构，推广应用配电自动化、配电柔性化等先进技术，全面提升配电网装备水平，实现配电站、开关站、低压台区智能监控，实现配电网可观可控，满足社会生产和生活智慧用能需求，提高电网供电可靠性、电能质量和服务水平。</w:t>
      </w:r>
    </w:p>
    <w:p w14:paraId="77637D4F">
      <w:pPr>
        <w:pStyle w:val="5"/>
        <w:pageBreakBefore w:val="0"/>
        <w:kinsoku/>
        <w:wordWrap/>
        <w:overflowPunct/>
        <w:topLinePunct w:val="0"/>
        <w:autoSpaceDE/>
        <w:autoSpaceDN/>
        <w:bidi w:val="0"/>
        <w:spacing w:before="120" w:after="120" w:line="500" w:lineRule="exact"/>
        <w:ind w:firstLine="0" w:firstLineChars="0"/>
        <w:textAlignment w:val="auto"/>
        <w:rPr>
          <w:rFonts w:eastAsia="仿宋"/>
          <w:snapToGrid w:val="0"/>
          <w:color w:val="auto"/>
          <w:sz w:val="28"/>
          <w:lang w:val="zh-CN"/>
        </w:rPr>
      </w:pPr>
      <w:bookmarkStart w:id="648" w:name="_Toc972"/>
      <w:bookmarkStart w:id="649" w:name="_Toc11875"/>
      <w:bookmarkStart w:id="650" w:name="_Toc14777"/>
      <w:r>
        <w:rPr>
          <w:rFonts w:eastAsia="仿宋"/>
          <w:snapToGrid w:val="0"/>
          <w:color w:val="auto"/>
          <w:sz w:val="28"/>
          <w:lang w:val="zh-CN"/>
        </w:rPr>
        <w:t>8.</w:t>
      </w:r>
      <w:r>
        <w:rPr>
          <w:rFonts w:eastAsia="仿宋"/>
          <w:snapToGrid w:val="0"/>
          <w:color w:val="auto"/>
          <w:sz w:val="28"/>
        </w:rPr>
        <w:t>4</w:t>
      </w:r>
      <w:r>
        <w:rPr>
          <w:rFonts w:eastAsia="仿宋"/>
          <w:snapToGrid w:val="0"/>
          <w:color w:val="auto"/>
          <w:sz w:val="28"/>
          <w:lang w:val="zh-CN"/>
        </w:rPr>
        <w:t>.2控制能源消费总量</w:t>
      </w:r>
      <w:bookmarkEnd w:id="648"/>
      <w:bookmarkEnd w:id="649"/>
      <w:bookmarkEnd w:id="650"/>
    </w:p>
    <w:p w14:paraId="377B0278">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合理控制能源消费总量。加大产业结构调整力度，着力转变经济发展方式，按照省、市有关能源消费总量和强度“双控”要求，推动工业、建筑、交通运输、公共机构等相关领域的节能力度。严格新建项目节能审查，加强节能监察，强化节能全过程监管。强化产品生命周期管理，增强绿色产品供给能力，促进绿色产品的生产能力。规划期间，实现市级下达新平县单位GDP能耗下降的目标任务，将能源消费总量控制在省、市下达的任务指标范围内。</w:t>
      </w:r>
    </w:p>
    <w:p w14:paraId="020E728A">
      <w:pPr>
        <w:pStyle w:val="5"/>
        <w:pageBreakBefore w:val="0"/>
        <w:kinsoku/>
        <w:wordWrap/>
        <w:overflowPunct/>
        <w:topLinePunct w:val="0"/>
        <w:autoSpaceDE/>
        <w:autoSpaceDN/>
        <w:bidi w:val="0"/>
        <w:spacing w:before="120" w:after="120" w:line="500" w:lineRule="exact"/>
        <w:ind w:firstLine="0" w:firstLineChars="0"/>
        <w:textAlignment w:val="auto"/>
        <w:rPr>
          <w:rFonts w:eastAsia="仿宋"/>
          <w:snapToGrid w:val="0"/>
          <w:color w:val="auto"/>
          <w:sz w:val="28"/>
          <w:lang w:val="zh-CN"/>
        </w:rPr>
      </w:pPr>
      <w:bookmarkStart w:id="651" w:name="_Toc22295"/>
      <w:bookmarkStart w:id="652" w:name="_Toc517078148"/>
      <w:bookmarkStart w:id="653" w:name="_Toc20066"/>
      <w:bookmarkStart w:id="654" w:name="_Toc533688401"/>
      <w:bookmarkStart w:id="655" w:name="_Toc502138854"/>
      <w:bookmarkStart w:id="656" w:name="_Toc17048"/>
      <w:r>
        <w:rPr>
          <w:rFonts w:eastAsia="仿宋"/>
          <w:snapToGrid w:val="0"/>
          <w:color w:val="auto"/>
          <w:sz w:val="28"/>
          <w:lang w:val="zh-CN"/>
        </w:rPr>
        <w:t>8.</w:t>
      </w:r>
      <w:r>
        <w:rPr>
          <w:rFonts w:eastAsia="仿宋"/>
          <w:snapToGrid w:val="0"/>
          <w:color w:val="auto"/>
          <w:sz w:val="28"/>
        </w:rPr>
        <w:t>4</w:t>
      </w:r>
      <w:r>
        <w:rPr>
          <w:rFonts w:eastAsia="仿宋"/>
          <w:snapToGrid w:val="0"/>
          <w:color w:val="auto"/>
          <w:sz w:val="28"/>
          <w:lang w:val="zh-CN"/>
        </w:rPr>
        <w:t>.3抓好重点领域节能工作</w:t>
      </w:r>
      <w:bookmarkEnd w:id="651"/>
      <w:bookmarkEnd w:id="652"/>
      <w:bookmarkEnd w:id="653"/>
      <w:bookmarkEnd w:id="654"/>
      <w:bookmarkEnd w:id="655"/>
      <w:bookmarkEnd w:id="656"/>
    </w:p>
    <w:p w14:paraId="0B22B9C9">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推动建筑领域节能降碳。按照国家绿色建筑等相关标准，积极开展建筑改造工作，针对新建建筑，应严格执行建筑物节能标准，提高太阳能等新能源在新建建筑中的使用比例，形成新能源与建筑一体化应用的新模式，全面降低新建建筑的能耗；针对既有建筑，应按照国家发布的《绿色建筑评价标准》（建标〔2011〕17号）的相关要求进行节能改造，降低能耗；在新平县全面开展绿色建筑、节能建筑评级工作，试点建筑物能效标识、绿色标识公开制度，全面推进建筑节能。到2030年，新平县城镇新建绿色建筑占新建建筑面积达到100%。</w:t>
      </w:r>
    </w:p>
    <w:p w14:paraId="72CFD508">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推动交通领域节能减排降碳。加快发展新能源、小排量等环保型汽车，加快新平县加气站等配套设施建设，大力推动以天然气为动力的公交车，继续严格实行运营车辆燃料消耗量准入制度。鼓励居民使用天然气家用车或节能环保型汽车。引导公众出行选择公共交通、步行和自然车等绿色出行方式，降低小汽车通行总量。在旅游景区推广试点电动车和自行车租用模式，完善基础设施建设，架设充电桩，并建立相关的配套服务网点，鼓励游客租用新型电动车出行；发展新型公交运输模式，在大型货物集散地之间发展甩挂运输，减少运输能耗。</w:t>
      </w:r>
    </w:p>
    <w:p w14:paraId="296F7B2D">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推进公共领域节能减排降碳。重点针对新平县政府机关办公场所以及饭店、医院、学校、商城等市内大型公共基础设施开展节能改造工作，建立公共机构节能管理制度，做好公共机构能源资源消耗统计工作，并尽快制定节水、节电、节煤、节气等方面的规章制度，推广节水、节电器具和设备，减少能源损失，提高能源使用效率；完善公众监督制度，确保节能减排工作顺利开展。</w:t>
      </w:r>
    </w:p>
    <w:p w14:paraId="4824F01E">
      <w:pPr>
        <w:pStyle w:val="5"/>
        <w:pageBreakBefore w:val="0"/>
        <w:kinsoku/>
        <w:wordWrap/>
        <w:overflowPunct/>
        <w:topLinePunct w:val="0"/>
        <w:autoSpaceDE/>
        <w:autoSpaceDN/>
        <w:bidi w:val="0"/>
        <w:spacing w:before="120" w:after="120" w:line="500" w:lineRule="exact"/>
        <w:ind w:firstLine="0" w:firstLineChars="0"/>
        <w:textAlignment w:val="auto"/>
        <w:rPr>
          <w:rFonts w:eastAsia="仿宋"/>
          <w:snapToGrid w:val="0"/>
          <w:color w:val="auto"/>
          <w:sz w:val="28"/>
        </w:rPr>
      </w:pPr>
      <w:bookmarkStart w:id="657" w:name="_Toc15742"/>
      <w:r>
        <w:rPr>
          <w:rFonts w:eastAsia="仿宋"/>
          <w:snapToGrid w:val="0"/>
          <w:color w:val="auto"/>
          <w:sz w:val="28"/>
        </w:rPr>
        <w:t>8.4.4推动能源清洁低碳转型</w:t>
      </w:r>
      <w:bookmarkEnd w:id="657"/>
    </w:p>
    <w:p w14:paraId="2E7D7CB7">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在保障能源安全的前提下，加快煤炭减量步伐，实施可再生能源替代行动。坚持“增气减煤”同步，新增天然气优先保障居民生活需求。提高电能占终端能源消费比重。强化“电能绿色化”。加快以光伏为主的新能源项目开发，深化新能源多元化开发利用，提高绿色电力供给能力，促进绿色能源与绿色先进制造业等产业深度融合发展。规划期内，稳步提高可再生能源推广使用力度，加大天然气、水电、风电、太阳能等清洁能源推广使用力度。</w:t>
      </w:r>
    </w:p>
    <w:p w14:paraId="7DC09B28">
      <w:pPr>
        <w:pStyle w:val="5"/>
        <w:pageBreakBefore w:val="0"/>
        <w:kinsoku/>
        <w:wordWrap/>
        <w:overflowPunct/>
        <w:topLinePunct w:val="0"/>
        <w:autoSpaceDE/>
        <w:autoSpaceDN/>
        <w:bidi w:val="0"/>
        <w:spacing w:before="120" w:after="120" w:line="500" w:lineRule="exact"/>
        <w:ind w:firstLine="0" w:firstLineChars="0"/>
        <w:textAlignment w:val="auto"/>
        <w:rPr>
          <w:rFonts w:eastAsia="仿宋"/>
          <w:snapToGrid w:val="0"/>
          <w:color w:val="auto"/>
          <w:sz w:val="28"/>
        </w:rPr>
      </w:pPr>
      <w:bookmarkStart w:id="658" w:name="_Toc4187"/>
      <w:r>
        <w:rPr>
          <w:rFonts w:eastAsia="仿宋"/>
          <w:snapToGrid w:val="0"/>
          <w:color w:val="auto"/>
          <w:sz w:val="28"/>
        </w:rPr>
        <w:t>8.4.5推动能源消费绿色低碳转型</w:t>
      </w:r>
      <w:bookmarkEnd w:id="658"/>
    </w:p>
    <w:p w14:paraId="15093472">
      <w:pPr>
        <w:keepNext w:val="0"/>
        <w:keepLines w:val="0"/>
        <w:pageBreakBefore w:val="0"/>
        <w:widowControl/>
        <w:kinsoku/>
        <w:wordWrap/>
        <w:overflowPunct/>
        <w:topLinePunct w:val="0"/>
        <w:autoSpaceDE/>
        <w:autoSpaceDN/>
        <w:bidi w:val="0"/>
        <w:adjustRightInd w:val="0"/>
        <w:snapToGrid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积极有序推进“以电代煤”“以气代煤”。以大宗货物“公转铁”为核心继续推进运输结构调整。引导重点行业深入实施清洁生产改造，鼓励开展自愿性清洁生产审核，依法开展自愿性清洁生产评价认证。提高能源、水资源利用效率，实施节水行动，持续推进区域节水型社会建设。科学有序推动生活垃圾分类，统筹生活垃圾分类和处理设施建设，不断提高垃圾分类覆盖范围。加强塑料污染全链条防治，深入开展绿色生活创建行动，持续开展绿色出行行动。</w:t>
      </w:r>
    </w:p>
    <w:bookmarkEnd w:id="642"/>
    <w:p w14:paraId="0322F1D6">
      <w:pPr>
        <w:pStyle w:val="5"/>
        <w:pageBreakBefore w:val="0"/>
        <w:kinsoku/>
        <w:wordWrap/>
        <w:overflowPunct/>
        <w:topLinePunct w:val="0"/>
        <w:autoSpaceDE/>
        <w:autoSpaceDN/>
        <w:bidi w:val="0"/>
        <w:spacing w:before="120" w:after="120" w:line="500" w:lineRule="exact"/>
        <w:ind w:firstLine="0" w:firstLineChars="0"/>
        <w:textAlignment w:val="auto"/>
        <w:rPr>
          <w:rFonts w:eastAsia="仿宋"/>
          <w:snapToGrid w:val="0"/>
          <w:color w:val="auto"/>
          <w:sz w:val="28"/>
          <w:lang w:val="zh-CN"/>
        </w:rPr>
      </w:pPr>
      <w:bookmarkStart w:id="659" w:name="_Toc30689"/>
      <w:bookmarkStart w:id="660" w:name="_Toc20683"/>
      <w:bookmarkStart w:id="661" w:name="_Toc15518"/>
      <w:r>
        <w:rPr>
          <w:rFonts w:eastAsia="仿宋"/>
          <w:snapToGrid w:val="0"/>
          <w:color w:val="auto"/>
          <w:sz w:val="28"/>
          <w:lang w:val="zh-CN"/>
        </w:rPr>
        <w:t>8.</w:t>
      </w:r>
      <w:r>
        <w:rPr>
          <w:rFonts w:eastAsia="仿宋"/>
          <w:snapToGrid w:val="0"/>
          <w:color w:val="auto"/>
          <w:sz w:val="28"/>
        </w:rPr>
        <w:t>4</w:t>
      </w:r>
      <w:r>
        <w:rPr>
          <w:rFonts w:eastAsia="仿宋"/>
          <w:snapToGrid w:val="0"/>
          <w:color w:val="auto"/>
          <w:sz w:val="28"/>
          <w:lang w:val="zh-CN"/>
        </w:rPr>
        <w:t>.</w:t>
      </w:r>
      <w:r>
        <w:rPr>
          <w:rFonts w:eastAsia="仿宋"/>
          <w:snapToGrid w:val="0"/>
          <w:color w:val="auto"/>
          <w:sz w:val="28"/>
        </w:rPr>
        <w:t>6持续</w:t>
      </w:r>
      <w:r>
        <w:rPr>
          <w:rFonts w:eastAsia="仿宋"/>
          <w:snapToGrid w:val="0"/>
          <w:color w:val="auto"/>
          <w:sz w:val="28"/>
          <w:lang w:val="zh-CN"/>
        </w:rPr>
        <w:t>调整农村能源结构</w:t>
      </w:r>
      <w:bookmarkEnd w:id="643"/>
      <w:bookmarkEnd w:id="644"/>
      <w:bookmarkEnd w:id="659"/>
      <w:bookmarkEnd w:id="660"/>
      <w:bookmarkEnd w:id="661"/>
    </w:p>
    <w:p w14:paraId="5EA25733">
      <w:pPr>
        <w:pStyle w:val="11"/>
        <w:pageBreakBefore w:val="0"/>
        <w:kinsoku/>
        <w:wordWrap/>
        <w:overflowPunct/>
        <w:topLinePunct w:val="0"/>
        <w:autoSpaceDE/>
        <w:autoSpaceDN/>
        <w:bidi w:val="0"/>
        <w:spacing w:after="0"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继续实施城乡农网改造，推进农村“柴改电”“柴改气”，提升农村电气化水平；提高代柴农户的用电效率和用电频率，培养代柴农户的用电习惯和用电意识，真正改变代柴农户的生活方式，促进“以电代柴”项目长期稳定运营。</w:t>
      </w:r>
    </w:p>
    <w:p w14:paraId="5BABE314">
      <w:pPr>
        <w:pStyle w:val="11"/>
        <w:pageBreakBefore w:val="0"/>
        <w:kinsoku/>
        <w:wordWrap/>
        <w:overflowPunct/>
        <w:topLinePunct w:val="0"/>
        <w:autoSpaceDE/>
        <w:autoSpaceDN/>
        <w:bidi w:val="0"/>
        <w:spacing w:after="0"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sectPr>
          <w:headerReference r:id="rId11" w:type="default"/>
          <w:footerReference r:id="rId12" w:type="default"/>
          <w:pgSz w:w="11906" w:h="16838"/>
          <w:pgMar w:top="1440" w:right="1797" w:bottom="1440" w:left="1797" w:header="851" w:footer="992" w:gutter="0"/>
          <w:pgNumType w:fmt="decimal"/>
          <w:cols w:space="425" w:num="1"/>
          <w:docGrid w:linePitch="312" w:charSpace="0"/>
        </w:sectPr>
      </w:pPr>
      <w:r>
        <w:rPr>
          <w:rFonts w:hint="eastAsia" w:ascii="Times New Roman" w:hAnsi="Times New Roman" w:eastAsia="方正仿宋_GBK" w:cs="方正仿宋_GBK"/>
          <w:b w:val="0"/>
          <w:bCs w:val="0"/>
          <w:color w:val="auto"/>
          <w:kern w:val="2"/>
          <w:sz w:val="28"/>
          <w:szCs w:val="28"/>
          <w:lang w:val="en-US" w:eastAsia="zh-CN" w:bidi="ar-SA"/>
        </w:rPr>
        <w:t>积极鼓励多能互补。应创新形式进行农村能源替代，积极鼓励农民使用液化气、太阳能等新能源，提高农户新能源产品的使用率，实现多能互补。加快推进农村能源替代工程。</w:t>
      </w:r>
    </w:p>
    <w:p w14:paraId="14FCAED5">
      <w:pPr>
        <w:pStyle w:val="3"/>
        <w:pageBreakBefore w:val="0"/>
        <w:kinsoku/>
        <w:wordWrap/>
        <w:overflowPunct/>
        <w:topLinePunct w:val="0"/>
        <w:autoSpaceDE/>
        <w:autoSpaceDN/>
        <w:bidi w:val="0"/>
        <w:spacing w:before="0" w:after="0" w:line="500" w:lineRule="exact"/>
        <w:jc w:val="center"/>
        <w:textAlignment w:val="auto"/>
        <w:rPr>
          <w:rFonts w:hint="default" w:ascii="Times New Roman" w:hAnsi="Times New Roman" w:eastAsia="仿宋" w:cs="Times New Roman"/>
          <w:color w:val="auto"/>
          <w:sz w:val="44"/>
          <w:lang w:val="en-US" w:eastAsia="zh-CN"/>
        </w:rPr>
      </w:pPr>
      <w:bookmarkStart w:id="662" w:name="_Toc6480"/>
      <w:r>
        <w:rPr>
          <w:rFonts w:hint="default" w:ascii="Times New Roman" w:hAnsi="Times New Roman" w:eastAsia="仿宋" w:cs="Times New Roman"/>
          <w:color w:val="auto"/>
          <w:sz w:val="44"/>
          <w:lang w:val="en-US" w:eastAsia="zh-CN"/>
        </w:rPr>
        <w:t>9提升人居环境，</w:t>
      </w:r>
      <w:r>
        <w:rPr>
          <w:rFonts w:hint="eastAsia" w:ascii="Times New Roman" w:hAnsi="Times New Roman" w:eastAsia="仿宋" w:cs="Times New Roman"/>
          <w:color w:val="auto"/>
          <w:sz w:val="44"/>
          <w:lang w:val="en-US" w:eastAsia="zh-CN"/>
        </w:rPr>
        <w:t>打造</w:t>
      </w:r>
      <w:r>
        <w:rPr>
          <w:rFonts w:hint="default" w:ascii="Times New Roman" w:hAnsi="Times New Roman" w:eastAsia="仿宋" w:cs="Times New Roman"/>
          <w:color w:val="auto"/>
          <w:sz w:val="44"/>
          <w:lang w:val="en-US" w:eastAsia="zh-CN"/>
        </w:rPr>
        <w:t>生态生活体系</w:t>
      </w:r>
      <w:bookmarkEnd w:id="662"/>
    </w:p>
    <w:p w14:paraId="022095C6">
      <w:pPr>
        <w:pStyle w:val="4"/>
        <w:pageBreakBefore w:val="0"/>
        <w:kinsoku/>
        <w:wordWrap/>
        <w:overflowPunct/>
        <w:topLinePunct w:val="0"/>
        <w:autoSpaceDE/>
        <w:autoSpaceDN/>
        <w:bidi w:val="0"/>
        <w:spacing w:before="260" w:after="260" w:line="500" w:lineRule="exact"/>
        <w:ind w:firstLine="0"/>
        <w:textAlignment w:val="auto"/>
        <w:rPr>
          <w:rFonts w:hint="default" w:ascii="Times New Roman" w:hAnsi="Times New Roman" w:eastAsia="仿宋" w:cs="Times New Roman"/>
          <w:color w:val="auto"/>
          <w:sz w:val="32"/>
          <w:lang w:val="zh-CN" w:eastAsia="zh-CN"/>
        </w:rPr>
      </w:pPr>
      <w:bookmarkStart w:id="663" w:name="_Toc25780"/>
      <w:bookmarkStart w:id="664" w:name="_Toc17262"/>
      <w:bookmarkStart w:id="665" w:name="_Hlk62650777"/>
      <w:r>
        <w:rPr>
          <w:rFonts w:hint="default" w:ascii="Times New Roman" w:hAnsi="Times New Roman" w:eastAsia="仿宋" w:cs="Times New Roman"/>
          <w:color w:val="auto"/>
          <w:sz w:val="32"/>
          <w:lang w:val="zh-CN" w:eastAsia="zh-CN"/>
        </w:rPr>
        <w:t>9.1城乡环境一体化建设</w:t>
      </w:r>
      <w:bookmarkEnd w:id="663"/>
      <w:bookmarkEnd w:id="664"/>
    </w:p>
    <w:p w14:paraId="0735B25F">
      <w:pPr>
        <w:pStyle w:val="11"/>
        <w:pageBreakBefore w:val="0"/>
        <w:kinsoku/>
        <w:wordWrap/>
        <w:overflowPunct/>
        <w:topLinePunct w:val="0"/>
        <w:autoSpaceDE/>
        <w:autoSpaceDN/>
        <w:bidi w:val="0"/>
        <w:spacing w:after="0"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坚持城乡统筹，共建共享，高质量推进城乡融合发展，推进公共服务城乡均等，建立健全城乡融合体制机制，抓好城镇化补短板强弱项工作，增强中心城区综合承载和资源优化配置能力，支持城镇和特色小镇有序发展，推进宜居美丽乡村建设，努力争当全省城乡融合发展示范区。</w:t>
      </w:r>
    </w:p>
    <w:p w14:paraId="120C3519">
      <w:pPr>
        <w:pStyle w:val="5"/>
        <w:pageBreakBefore w:val="0"/>
        <w:kinsoku/>
        <w:wordWrap/>
        <w:overflowPunct/>
        <w:topLinePunct w:val="0"/>
        <w:autoSpaceDE/>
        <w:autoSpaceDN/>
        <w:bidi w:val="0"/>
        <w:spacing w:before="120" w:after="120" w:line="500" w:lineRule="exact"/>
        <w:ind w:firstLine="0" w:firstLineChars="0"/>
        <w:textAlignment w:val="auto"/>
        <w:rPr>
          <w:rFonts w:eastAsia="仿宋"/>
          <w:snapToGrid w:val="0"/>
          <w:color w:val="auto"/>
          <w:sz w:val="28"/>
          <w:lang w:val="zh-CN"/>
        </w:rPr>
      </w:pPr>
      <w:bookmarkStart w:id="666" w:name="_Toc7448"/>
      <w:bookmarkStart w:id="667" w:name="_Toc5760"/>
      <w:r>
        <w:rPr>
          <w:rFonts w:eastAsia="仿宋"/>
          <w:snapToGrid w:val="0"/>
          <w:color w:val="auto"/>
          <w:sz w:val="28"/>
          <w:lang w:val="zh-CN"/>
        </w:rPr>
        <w:t>9.1.1</w:t>
      </w:r>
      <w:bookmarkEnd w:id="666"/>
      <w:r>
        <w:rPr>
          <w:rFonts w:hint="eastAsia" w:eastAsia="仿宋"/>
          <w:snapToGrid w:val="0"/>
          <w:color w:val="auto"/>
          <w:sz w:val="28"/>
          <w:lang w:val="zh-CN"/>
        </w:rPr>
        <w:t>加快推进两污设施建设</w:t>
      </w:r>
      <w:bookmarkEnd w:id="667"/>
    </w:p>
    <w:p w14:paraId="5DBDC74E">
      <w:pPr>
        <w:pStyle w:val="11"/>
        <w:pageBreakBefore w:val="0"/>
        <w:kinsoku/>
        <w:wordWrap/>
        <w:overflowPunct/>
        <w:topLinePunct w:val="0"/>
        <w:autoSpaceDE/>
        <w:autoSpaceDN/>
        <w:bidi w:val="0"/>
        <w:spacing w:after="0"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加快城乡环境基础设施建设，完善道路、供水、排水、供电、通信、网络等基础设施，到规划末城乡交通、垃圾处理、污水处理、燃气供应、数字电视、互联网宽带、科教文卫等公共基础设施基本实现一体化。加快推进城乡绿化一体化建设，统筹城乡生态环境保护。积极推进新平县行政服务中心和村（社区）行政服务站建设，将政府行政和公共服务、文化体育等设施延伸至乡村社区。</w:t>
      </w:r>
    </w:p>
    <w:p w14:paraId="719018E5">
      <w:pPr>
        <w:pStyle w:val="11"/>
        <w:pageBreakBefore w:val="0"/>
        <w:kinsoku/>
        <w:wordWrap/>
        <w:overflowPunct/>
        <w:topLinePunct w:val="0"/>
        <w:autoSpaceDE/>
        <w:autoSpaceDN/>
        <w:bidi w:val="0"/>
        <w:spacing w:after="0"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加强城镇污水处理设施维护。保障城镇污水处理设施持续正常运行，进一步加强配套管网建设，适时实施城镇截污管网、雨水管网提升改造工程。确保2025年，新平县城镇污水处理率达到95％以上。以建设美丽宜居村庄为导向，持续推动乡镇污水处理厂建设和配套管网向农村延伸，因地制宜推进农村生活污水治理。</w:t>
      </w:r>
    </w:p>
    <w:p w14:paraId="3C97CBB2">
      <w:pPr>
        <w:pStyle w:val="11"/>
        <w:pageBreakBefore w:val="0"/>
        <w:kinsoku/>
        <w:wordWrap/>
        <w:overflowPunct/>
        <w:topLinePunct w:val="0"/>
        <w:autoSpaceDE/>
        <w:autoSpaceDN/>
        <w:bidi w:val="0"/>
        <w:spacing w:after="0"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开展县域农村生活污水治理工程。新平县辖2街道4镇6乡、124个村（居）委会、1483个村（居）民小组。按照《新平县农村人居环境整治提升五年行动方案（2021—2025年）》的要求，加快实施《玉溪市新平县农村生活污水治理专项规划（2019-2035）》，梯次开展全县自然村的农村生活污水进行治理建设及改造工程。目标是到2035年，新平县县域内饮用水水源地二级保护区内、县城（集镇）周边、行政村中心村、坝区、山区人口集中村庄，农村生活污水得到收集、治理；坝区、山区分散村庄生活污水全面得到有效管控，基本实现县域农村生活污水治理工作全面提升。</w:t>
      </w:r>
    </w:p>
    <w:p w14:paraId="407E6F4B">
      <w:pPr>
        <w:pStyle w:val="11"/>
        <w:pageBreakBefore w:val="0"/>
        <w:kinsoku/>
        <w:wordWrap/>
        <w:overflowPunct/>
        <w:topLinePunct w:val="0"/>
        <w:autoSpaceDE/>
        <w:autoSpaceDN/>
        <w:bidi w:val="0"/>
        <w:spacing w:after="0"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近期（2020年）完成人居环境提升三年行动计划（旅游特色型、生态宜居型、提升改善型）6个自然村、新平县农村人居环境村庄治理PPP项目73个自然村、“千吨万人”饮用水源地二级保护区范围内2个自然村生活污水收集、治理设施建设；县城（集镇）周边分散村庄28个自然村农村生活污水得到有效管控。</w:t>
      </w:r>
    </w:p>
    <w:p w14:paraId="4A68CFB6">
      <w:pPr>
        <w:pStyle w:val="11"/>
        <w:pageBreakBefore w:val="0"/>
        <w:kinsoku/>
        <w:wordWrap/>
        <w:overflowPunct/>
        <w:topLinePunct w:val="0"/>
        <w:autoSpaceDE/>
        <w:autoSpaceDN/>
        <w:bidi w:val="0"/>
        <w:spacing w:after="0"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中期（2021—2025年）：2021年治理集中式饮用水源地二级保护区内（除“千吨万人”饮用水源地）村庄15个、距离国控断面距离较近且村庄人口集中的村庄52个；2022年治理距离国控断面相对较远且人口分散的村庄66个；2023年治理县城及乡镇周边纳管村庄15个、已建污水处理设施改扩建村庄8个、美丽乡村、特色村等重点建设的村庄33个；2024年治理水功能区划敏感区沿线现状直排村庄8个，行政村中心村29个；2025年治理交通便利、户数在50户以下的居住分散型村庄33个。</w:t>
      </w:r>
    </w:p>
    <w:p w14:paraId="49CC44D4">
      <w:pPr>
        <w:pStyle w:val="11"/>
        <w:pageBreakBefore w:val="0"/>
        <w:kinsoku/>
        <w:wordWrap/>
        <w:overflowPunct/>
        <w:topLinePunct w:val="0"/>
        <w:autoSpaceDE/>
        <w:autoSpaceDN/>
        <w:bidi w:val="0"/>
        <w:spacing w:after="0"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远期（2026—2035年）以优先治理分布集中村庄275个，较集中村庄151个，580个分布分散自然村生活污水得到有效管控。</w:t>
      </w:r>
    </w:p>
    <w:p w14:paraId="17341747">
      <w:pPr>
        <w:pStyle w:val="11"/>
        <w:pageBreakBefore w:val="0"/>
        <w:kinsoku/>
        <w:wordWrap/>
        <w:overflowPunct/>
        <w:topLinePunct w:val="0"/>
        <w:autoSpaceDE/>
        <w:autoSpaceDN/>
        <w:bidi w:val="0"/>
        <w:spacing w:after="0"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完善生活垃圾处置体系。根据玉溪市人民政府办公室关于印发《玉溪市加快推进城市生活垃圾分类工作实施方案》的通知（玉政办通〔2020〕21号）和新平彝族傣族自治县人民政府办公室关于印发《新平县城市生活垃圾分类实施方案》的通知（新政办发〔2020〕28号）的文件要求，在县城建成区推行新平县生活垃圾分类管理，实现垃圾减量化、资源化、无害化。在2021年启动新平县城市生活垃圾分类收运体系建设，依照城市生活垃圾分类分区域集中推进机制，结合《新平县城市生活垃圾分类及环卫园林绿化管理一体化项目》，持续开展生活垃圾分区域集中收集工作，规范生活垃圾投放行为。对县城建成区内的390个区域配套生活垃圾分类收运设施，引导居民在各自生活办公区域内投放垃圾，打造“定时定点投放、全天巡回收集、城区全域垃圾不落地”的收运新模式，确保生活垃圾清运率达到100%，实现生活垃圾前端分类收集、中端分类运输、后端分类处理的全过程分类体系，将生活垃圾分类工作落实落地。到2025年底，基本建成法制保障、政策完善、技术成熟、社会协同的生活垃圾全过程分类体系。建成区全面实现党政机关、企事业单位、公共场所、商业中心、经营场所、社会团体等生活垃圾分类全覆盖，居住区普遍推行生活垃圾分类制度，生活垃圾分类治理和资源化率明显提升。严格执行生活垃圾无害化处置长效保障机制，2025年城镇生活垃圾无害化处理量占垃圾产生量的比例≥95%。</w:t>
      </w:r>
      <w:bookmarkStart w:id="668" w:name="bookmark49"/>
      <w:bookmarkEnd w:id="668"/>
      <w:r>
        <w:rPr>
          <w:rFonts w:hint="eastAsia" w:ascii="Times New Roman" w:hAnsi="Times New Roman" w:eastAsia="方正仿宋_GBK" w:cs="方正仿宋_GBK"/>
          <w:b w:val="0"/>
          <w:bCs w:val="0"/>
          <w:color w:val="auto"/>
          <w:kern w:val="2"/>
          <w:sz w:val="28"/>
          <w:szCs w:val="28"/>
          <w:lang w:val="en-US" w:eastAsia="zh-CN" w:bidi="ar-SA"/>
        </w:rPr>
        <w:t>加大对农村生活垃圾无害化处理工作力度，确保农村生活垃圾无害化处理量占比≥90%。</w:t>
      </w:r>
    </w:p>
    <w:p w14:paraId="4A3DF44A">
      <w:pPr>
        <w:pStyle w:val="5"/>
        <w:pageBreakBefore w:val="0"/>
        <w:kinsoku/>
        <w:wordWrap/>
        <w:overflowPunct/>
        <w:topLinePunct w:val="0"/>
        <w:autoSpaceDE/>
        <w:autoSpaceDN/>
        <w:bidi w:val="0"/>
        <w:spacing w:before="120" w:after="120" w:line="500" w:lineRule="exact"/>
        <w:ind w:firstLine="0" w:firstLineChars="0"/>
        <w:textAlignment w:val="auto"/>
        <w:rPr>
          <w:rFonts w:eastAsia="仿宋"/>
          <w:snapToGrid w:val="0"/>
          <w:color w:val="auto"/>
          <w:sz w:val="28"/>
          <w:lang w:val="zh-CN"/>
        </w:rPr>
      </w:pPr>
      <w:bookmarkStart w:id="669" w:name="_Toc25652"/>
      <w:bookmarkStart w:id="670" w:name="_Toc21433"/>
      <w:r>
        <w:rPr>
          <w:rFonts w:eastAsia="仿宋"/>
          <w:snapToGrid w:val="0"/>
          <w:color w:val="auto"/>
          <w:sz w:val="28"/>
          <w:lang w:val="zh-CN"/>
        </w:rPr>
        <w:t>9.1.2</w:t>
      </w:r>
      <w:bookmarkEnd w:id="669"/>
      <w:r>
        <w:rPr>
          <w:rFonts w:hint="eastAsia" w:eastAsia="仿宋"/>
          <w:snapToGrid w:val="0"/>
          <w:color w:val="auto"/>
          <w:sz w:val="28"/>
          <w:lang w:val="zh-CN"/>
        </w:rPr>
        <w:t>保障饮用水安全</w:t>
      </w:r>
      <w:bookmarkEnd w:id="670"/>
    </w:p>
    <w:p w14:paraId="564CDD08">
      <w:pPr>
        <w:pStyle w:val="11"/>
        <w:pageBreakBefore w:val="0"/>
        <w:kinsoku/>
        <w:wordWrap/>
        <w:overflowPunct/>
        <w:topLinePunct w:val="0"/>
        <w:autoSpaceDE/>
        <w:autoSpaceDN/>
        <w:bidi w:val="0"/>
        <w:spacing w:after="0"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加强城市集中式饮用水源地保护。一是加强县级集中式饮用水源地的保护，在清水河水库、他拉河水库2个县级集中式饮用水水源地一级保护区边界加强隔离围护工程，完善隔离围栏。对穿越水源保护区的公路实施水源地保护设置警示标识。针对水源地的一级保护区，按照污染源调查的点源清单，抓好监管工作，禁止建设项目进入饮用水源保护区。做好从取水口至水厂输水渠周边的环境保护，加强监督。二是加强农村农业面源污染控制。重点搞好水源保护区内农村改厕和粪便管理、生活污水收集处理、垃圾收集处理、农村地区规模化畜禽养殖污染防治工作；积极引导和鼓励农民科学施肥，使用生物农药或高效、低毒、低残留农药。三是加强集中式饮用水源地保护管理。加强饮用水水源地预警监控能力建设，完善饮用水水源应急预案，严格按照应急预案相关要求，组织开展突发环境事件应急演练，提高水源地抗风险能力。做好饮用水水源地周边环境风险排查和防控，切实加强水质预警监测，落实从水源到水龙头全过程监管，确保水质安全。探索建立水源地保护区生态补偿机制。加强水源地水质监测，提高监测频率、扩大监测范围。四是加强水源地环境监管与执法，持续保持清水河水库、他拉河水库2个县级集中式饮用水水源地环境监管力度，建立水源地管理多部门协调机制，强化部门联合执法监管和管理的长效机制，确保水源地环境安全。积极开展水源地保护宣传教育。</w:t>
      </w:r>
    </w:p>
    <w:p w14:paraId="45E88251">
      <w:pPr>
        <w:pStyle w:val="11"/>
        <w:pageBreakBefore w:val="0"/>
        <w:kinsoku/>
        <w:wordWrap/>
        <w:overflowPunct/>
        <w:topLinePunct w:val="0"/>
        <w:autoSpaceDE/>
        <w:autoSpaceDN/>
        <w:bidi w:val="0"/>
        <w:spacing w:after="0"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完善农村饮水安全。重点保护乡村生活饮用水源。着力解决突出的农村饮用水水源地环境保护和水质改善，积极开展乡镇饮用水水源保护区的划定，重点做好乡镇饮用水源保护工作，加强对乡村饮用水水源地进行监测与管理，以改善农民生产生活条件，提高生活水平。</w:t>
      </w:r>
    </w:p>
    <w:p w14:paraId="47A168D1">
      <w:pPr>
        <w:pStyle w:val="11"/>
        <w:pageBreakBefore w:val="0"/>
        <w:kinsoku/>
        <w:wordWrap/>
        <w:overflowPunct/>
        <w:topLinePunct w:val="0"/>
        <w:autoSpaceDE/>
        <w:autoSpaceDN/>
        <w:bidi w:val="0"/>
        <w:spacing w:after="0"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加强饮水安全工程技术指导和质量监管，建立健全长效运行管理保障机制，保证各类饮水工程充分发挥应有效益。加大农村饮水安全经费投入。各级政府将农村饮水安全经费列入年初财政预算，每年增长幅度不得低于国民经济增长幅度。充分调动农村群众投资、投劳，增加投入。严格资金管理，对农村饮水安全经费实行专户管理，确保专款专用。开展农村饮用水水源保护区环境风险排查整治。加强农村水源水质监测，建立健全部门之间监测数据共享机制。加强水源水、出厂水、管网水、末梢水的全过程管理，加大饮用水安全状况信息公开力度，引导公众监督。</w:t>
      </w:r>
    </w:p>
    <w:p w14:paraId="49818FFA">
      <w:pPr>
        <w:pStyle w:val="11"/>
        <w:pageBreakBefore w:val="0"/>
        <w:kinsoku/>
        <w:wordWrap/>
        <w:overflowPunct/>
        <w:topLinePunct w:val="0"/>
        <w:autoSpaceDE/>
        <w:autoSpaceDN/>
        <w:bidi w:val="0"/>
        <w:spacing w:after="0"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根据云南省生态环境厅《关于批复玉溪市红塔区北城街道红旗水库等18个集中式饮用水水源地保护区划定方案的函》（云环函〔2020〕575号）和《关于批复玉溪市易门县浦贝彝族乡石莲寺等50个集中式饮用水水源地保护区划定方案的函》（云环函〔2020〕637号）的文件内容显示，新平县分别有嘎洒镇的达哈河（河流型）和南恩河（河流型）、建兴乡的光山河水库（水库型）、漠沙镇的洋发城水库（水库型）、水塘镇的南达河（河流型）、扬武镇的他克冲水库（水库型）、新化乡的瓦白果水库（水库型）、老厂乡的维白拉水库（水库型）和老厂河水库（水库型）、平掌乡的猴进水库（水库型）、者竜乡的竹箐河（河流型）和冬瓜箐（河流型）等12个乡镇集中式饮用水水源地获得了批复。下一步针对该12个乡镇集中式饮用水水源地要依据《中华人民共和国水法》《中华人民共和国水污染防治法》等有关法律法规，严格落实饮用水水源保护区管理制度。按照《生态环境部水利部关于推进乡镇及以下集中式饮用水水源地生态环境保护工作的指导意见》（环水体函〔2019〕92号）要求，开展饮用水水源地规范化建设，在保护区边界设立明确的地理界标和明显的警示标志，建立隔离防护设施，全面清理保护区内违法违规项目和排污设施，强化饮用水水源保护、风险防控和应急措施，确保集中式饮用水水源水质不低于《地表水环境质量标准》（GB3838-2002）和《地下水质量标准》（GB/T14848-2017）III类标准。重点加强对新平县乡镇集中式饮用水水源地监测与管理，强化乡镇规范化建设，做好水质消毒措施，确保农村饮用水安全。到2035年，新平县2个县级、12个乡镇级集中式饮用水水源水质达标率持续保存100%。</w:t>
      </w:r>
    </w:p>
    <w:p w14:paraId="45A364BC">
      <w:pPr>
        <w:pStyle w:val="5"/>
        <w:pageBreakBefore w:val="0"/>
        <w:kinsoku/>
        <w:wordWrap/>
        <w:overflowPunct/>
        <w:topLinePunct w:val="0"/>
        <w:autoSpaceDE/>
        <w:autoSpaceDN/>
        <w:bidi w:val="0"/>
        <w:spacing w:before="120" w:after="120" w:line="500" w:lineRule="exact"/>
        <w:ind w:firstLine="0" w:firstLineChars="0"/>
        <w:textAlignment w:val="auto"/>
        <w:rPr>
          <w:rFonts w:eastAsia="仿宋"/>
          <w:snapToGrid w:val="0"/>
          <w:color w:val="auto"/>
          <w:sz w:val="28"/>
          <w:lang w:val="zh-CN"/>
        </w:rPr>
      </w:pPr>
      <w:bookmarkStart w:id="671" w:name="_Toc736"/>
      <w:bookmarkStart w:id="672" w:name="_Toc9268"/>
      <w:bookmarkStart w:id="673" w:name="_Toc30640"/>
      <w:bookmarkStart w:id="674" w:name="_Toc5349"/>
      <w:bookmarkStart w:id="675" w:name="_Toc14512"/>
      <w:bookmarkStart w:id="676" w:name="_Toc123145821"/>
      <w:r>
        <w:rPr>
          <w:rFonts w:eastAsia="仿宋"/>
          <w:snapToGrid w:val="0"/>
          <w:color w:val="auto"/>
          <w:sz w:val="28"/>
          <w:lang w:val="zh-CN"/>
        </w:rPr>
        <w:t>9.1.3加快</w:t>
      </w:r>
      <w:bookmarkEnd w:id="671"/>
      <w:bookmarkEnd w:id="672"/>
      <w:bookmarkEnd w:id="673"/>
      <w:bookmarkEnd w:id="674"/>
      <w:r>
        <w:rPr>
          <w:rFonts w:eastAsia="仿宋"/>
          <w:snapToGrid w:val="0"/>
          <w:color w:val="auto"/>
          <w:sz w:val="28"/>
          <w:lang w:val="zh-CN"/>
        </w:rPr>
        <w:t>绿美城市建设</w:t>
      </w:r>
      <w:bookmarkEnd w:id="675"/>
      <w:bookmarkEnd w:id="676"/>
    </w:p>
    <w:p w14:paraId="50B80D3C">
      <w:pPr>
        <w:pStyle w:val="11"/>
        <w:pageBreakBefore w:val="0"/>
        <w:kinsoku/>
        <w:wordWrap/>
        <w:overflowPunct/>
        <w:topLinePunct w:val="0"/>
        <w:autoSpaceDE/>
        <w:autoSpaceDN/>
        <w:bidi w:val="0"/>
        <w:spacing w:after="0"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新平县围绕打造“滇中绿谷”“国家生态园林县城”目标，依托生态景观格局，以乡镇集镇和县城城市景观提升为基础，以哀牢山、红河谷、磨盘山为区域生态屏障，以主干道、重要水系、重要野生动物廊道、重要森林生态休憩带和环城防护林带为骨架，积极开展城乡绿化美化三年行动，提出到2024年底，完成植树200万株，新建苗圃1000亩，生态绿色产业产值达到25亿元，建成50个以上园林单位，省级森林乡村、美丽乡村、绿美乡村，城市建成区绿地率达40%，建成区绿化覆盖率达42%，城市人均公园绿地面积不低于13.1平方米/人，村庄绿化覆盖率由51.36%提升到52%以上，基本达成生物多样性丰富、生态承载力强的“玉溪西部生态安全屏障”的行动目标。</w:t>
      </w:r>
    </w:p>
    <w:p w14:paraId="6B2043D4">
      <w:pPr>
        <w:pStyle w:val="11"/>
        <w:pageBreakBefore w:val="0"/>
        <w:kinsoku/>
        <w:wordWrap/>
        <w:overflowPunct/>
        <w:topLinePunct w:val="0"/>
        <w:autoSpaceDE/>
        <w:autoSpaceDN/>
        <w:bidi w:val="0"/>
        <w:spacing w:after="0"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（1）积极开展城市绿地系统规划编制工作</w:t>
      </w:r>
    </w:p>
    <w:p w14:paraId="007AF649">
      <w:pPr>
        <w:pStyle w:val="11"/>
        <w:pageBreakBefore w:val="0"/>
        <w:kinsoku/>
        <w:wordWrap/>
        <w:overflowPunct/>
        <w:topLinePunct w:val="0"/>
        <w:autoSpaceDE/>
        <w:autoSpaceDN/>
        <w:bidi w:val="0"/>
        <w:spacing w:after="0"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严格落实《云南省绿美城市建设三年行动实施方案（2022—2024年）》《玉溪市城乡绿化美化三年行动方案（2022—2024年）》《新平县绿美城镇三年行动实施方案（2022—2024年）》和《新平县绿美社区三年行动实施方案（2022—2024年）》，围绕“绿美、宜居、特色、韧性”的要求，科学编制绿地系统规划，加快构建“点—线—面”结合的绿地生态网络，点为城市中的口袋公园、节点景观、绿美社区、绿美街区；线为城市中的绿美街道、绿道、生态廊道景观；面为城市中的公园绿地、防护绿地。统筹生产、生活、生态“三生”空间，做好国土空间规划、“三区三线”划定，构筑层次分明、布局合理、功能协调、城乡一体的新型城镇体系。在《新平县城市更新片区控制性详细规划》中对绿地系统进行了专章规划，科学划定城市园林绿化用地，保障城市绿化用地供应。</w:t>
      </w:r>
    </w:p>
    <w:p w14:paraId="073E19B0">
      <w:pPr>
        <w:pStyle w:val="11"/>
        <w:pageBreakBefore w:val="0"/>
        <w:kinsoku/>
        <w:wordWrap/>
        <w:overflowPunct/>
        <w:topLinePunct w:val="0"/>
        <w:autoSpaceDE/>
        <w:autoSpaceDN/>
        <w:bidi w:val="0"/>
        <w:spacing w:after="0"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（2）高要求保障绿化用地增加城市绿量</w:t>
      </w:r>
    </w:p>
    <w:p w14:paraId="1B4BF065">
      <w:pPr>
        <w:pStyle w:val="11"/>
        <w:pageBreakBefore w:val="0"/>
        <w:kinsoku/>
        <w:wordWrap/>
        <w:overflowPunct/>
        <w:topLinePunct w:val="0"/>
        <w:autoSpaceDE/>
        <w:autoSpaceDN/>
        <w:bidi w:val="0"/>
        <w:spacing w:after="0"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坚持“绿美惠民”理念，根据第三次全国国土调查数据和国土空间规划为建设基础，以打造推窗见绿、出门入园、自然融合的城市环境为目标，科学划定绿化用地，加大城市绿化美化土地供应，城市腾退土地优先用于绿美建设。</w:t>
      </w:r>
    </w:p>
    <w:p w14:paraId="24CE8D32">
      <w:pPr>
        <w:pStyle w:val="11"/>
        <w:pageBreakBefore w:val="0"/>
        <w:kinsoku/>
        <w:wordWrap/>
        <w:overflowPunct/>
        <w:topLinePunct w:val="0"/>
        <w:autoSpaceDE/>
        <w:autoSpaceDN/>
        <w:bidi w:val="0"/>
        <w:spacing w:after="0"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结合城市更新、老旧小区改造、棚户区改造等项目建设，以“增加绿量、提升品质”为主线，实施“扩绿补绿，见缝插绿”工程。推进林荫道路、绿化带建设，持续打造和沉淀城市绿美记忆。充分利用城市内各种空闲地、废弃地、边角地、立体空间、面山空间及城乡接合部等区域，采取拆违建绿、留白增绿等方式，建设一批点线面结合、类型丰富、规模合理、功能健全、覆盖均衡的小、多、匀、精的“口袋公园”，打造纵横交织、均衡覆盖的城区绿化网络，营造绿绕花簇的优美环境，实现城市“300米见绿，500米见园”，让居民推窗见绿、出门进园。</w:t>
      </w:r>
    </w:p>
    <w:p w14:paraId="48419B49">
      <w:pPr>
        <w:pStyle w:val="11"/>
        <w:pageBreakBefore w:val="0"/>
        <w:kinsoku/>
        <w:wordWrap/>
        <w:overflowPunct/>
        <w:topLinePunct w:val="0"/>
        <w:autoSpaceDE/>
        <w:autoSpaceDN/>
        <w:bidi w:val="0"/>
        <w:spacing w:after="0"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（3）营建人文绿美城市</w:t>
      </w:r>
    </w:p>
    <w:p w14:paraId="398E35FA">
      <w:pPr>
        <w:pStyle w:val="11"/>
        <w:pageBreakBefore w:val="0"/>
        <w:kinsoku/>
        <w:wordWrap/>
        <w:overflowPunct/>
        <w:topLinePunct w:val="0"/>
        <w:autoSpaceDE/>
        <w:autoSpaceDN/>
        <w:bidi w:val="0"/>
        <w:spacing w:after="0"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新平县依托已有的自然生态、地域特色、历史文化、民族风情等，坚持文化引领，倾力打造以“中国花腰傣之乡”为美誉的民族文化、以“滇中绿宝石”为亮点的绚丽多彩自然风光。在保护新平县城现有的山水脉络及风貌格局的基础上，进一步统筹建设山、水、林、田、城共融的“公园中的城市”，锚固自然生态本底，实现城市格局更加优化、绿色空间和公共空间更加丰富，城市形态更加优美。持续沉淀新平县的城市绿美记忆，让人“进得去、有得看、留得住”，实现“让居民望得见山、看得见水、记得住乡愁”的城市美好愿景。</w:t>
      </w:r>
    </w:p>
    <w:p w14:paraId="159D17A4">
      <w:pPr>
        <w:pStyle w:val="11"/>
        <w:pageBreakBefore w:val="0"/>
        <w:kinsoku/>
        <w:wordWrap/>
        <w:overflowPunct/>
        <w:topLinePunct w:val="0"/>
        <w:autoSpaceDE/>
        <w:autoSpaceDN/>
        <w:bidi w:val="0"/>
        <w:spacing w:after="0"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（4）优化推进城市公园体系建设</w:t>
      </w:r>
    </w:p>
    <w:p w14:paraId="0300513A">
      <w:pPr>
        <w:pStyle w:val="11"/>
        <w:pageBreakBefore w:val="0"/>
        <w:kinsoku/>
        <w:wordWrap/>
        <w:overflowPunct/>
        <w:topLinePunct w:val="0"/>
        <w:autoSpaceDE/>
        <w:autoSpaceDN/>
        <w:bidi w:val="0"/>
        <w:spacing w:after="0"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逐步完善城市公园体系建设，合理配建类型丰富、规模合理、功能完善、覆盖均衡的城市公园。结合城市更新城市腾退土地，大力推进“社区公园”“口袋公园”“街头游园”等项目建设，以“一园一景”为目标，建立了《新平县城乡绿化美化推荐乡土树种名录》，充分尊重自然规律，选择适应县域内生长环境的乡土植物，如大叶香樟、小叶香樟、蓝花楹、清香木、牛筋木等80余种持续打造和沉淀新平县的城市绿美记忆。</w:t>
      </w:r>
    </w:p>
    <w:p w14:paraId="05A7D1BA">
      <w:pPr>
        <w:pStyle w:val="11"/>
        <w:pageBreakBefore w:val="0"/>
        <w:kinsoku/>
        <w:wordWrap/>
        <w:overflowPunct/>
        <w:topLinePunct w:val="0"/>
        <w:autoSpaceDE/>
        <w:autoSpaceDN/>
        <w:bidi w:val="0"/>
        <w:spacing w:after="0"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（5）创建创优高质量绿美社区。</w:t>
      </w:r>
    </w:p>
    <w:p w14:paraId="4F8A8803">
      <w:pPr>
        <w:pStyle w:val="11"/>
        <w:pageBreakBefore w:val="0"/>
        <w:kinsoku/>
        <w:wordWrap/>
        <w:overflowPunct/>
        <w:topLinePunct w:val="0"/>
        <w:autoSpaceDE/>
        <w:autoSpaceDN/>
        <w:bidi w:val="0"/>
        <w:spacing w:after="0"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在城市主街道小区和单位、新建小区、改造提升的老旧小区范围内，以社区为主体，积极开展“绿美社区”和“绿色生态小区”创建活动。充分发挥社区党组织引领作用，严格落实小区、单位的绿化美化责任，建立健全管理长效机制。充分利用城区各种空闲地、废弃地、边角地等，拆违建绿、留白增绿、破墙透绿，推进社区公园等贴近居民的绿地建设；鼓励开展墙体、屋顶、阳台等立体绿化美化，实现多元增绿，按照“后院前置、后绿前移”的思路，推进居民小区、单位开展生态空间共享，将围院通透式绿化与道路绿地充分融合。</w:t>
      </w:r>
    </w:p>
    <w:p w14:paraId="5319CDE8">
      <w:pPr>
        <w:pStyle w:val="11"/>
        <w:pageBreakBefore w:val="0"/>
        <w:kinsoku/>
        <w:wordWrap/>
        <w:overflowPunct/>
        <w:topLinePunct w:val="0"/>
        <w:autoSpaceDE/>
        <w:autoSpaceDN/>
        <w:bidi w:val="0"/>
        <w:spacing w:after="0"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（6）高品质打造绿美街区街道。</w:t>
      </w:r>
    </w:p>
    <w:p w14:paraId="39E2BBA3">
      <w:pPr>
        <w:pStyle w:val="11"/>
        <w:pageBreakBefore w:val="0"/>
        <w:kinsoku/>
        <w:wordWrap/>
        <w:overflowPunct/>
        <w:topLinePunct w:val="0"/>
        <w:autoSpaceDE/>
        <w:autoSpaceDN/>
        <w:bidi w:val="0"/>
        <w:spacing w:after="0"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弘扬生态文明理念，积极打造绿色街区，将绿化美化工作作为街道改造提升工程中的重点，根据道路实际情况设计绿化方案，对闲置土地开展景观提升，将传统绿化和园林造景结合，提升绿地品质，绿植选择体现四季变化。结合城市更新“三旧一改”中的老旧街区街道，充分考虑群众需求，挖掘拓展街区街道绿色空间，对城市道路、绿化景观、市政设施、临街建筑物外墙和公共服务设施等进行完善修复，满足群众出行和生活需求，打造建筑韵美、环境优美、生活恬美的绿美街区街道。</w:t>
      </w:r>
    </w:p>
    <w:p w14:paraId="76A58093">
      <w:pPr>
        <w:pStyle w:val="11"/>
        <w:pageBreakBefore w:val="0"/>
        <w:kinsoku/>
        <w:wordWrap/>
        <w:overflowPunct/>
        <w:topLinePunct w:val="0"/>
        <w:autoSpaceDE/>
        <w:autoSpaceDN/>
        <w:bidi w:val="0"/>
        <w:spacing w:after="0"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（7）高覆盖建设城市“绿道网”</w:t>
      </w:r>
    </w:p>
    <w:p w14:paraId="552E143C">
      <w:pPr>
        <w:pStyle w:val="11"/>
        <w:pageBreakBefore w:val="0"/>
        <w:kinsoku/>
        <w:wordWrap/>
        <w:overflowPunct/>
        <w:topLinePunct w:val="0"/>
        <w:autoSpaceDE/>
        <w:autoSpaceDN/>
        <w:bidi w:val="0"/>
        <w:spacing w:after="0"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积极推进城市空间中“绿道网”建设，推动公共空间中绿色植被与城市环境相融合、休闲体验与审美感知相统一。结合城市新区建设、城市道路改造、公园改扩建等项目建设，推进城市绿道建设向城市面山延伸，在“成线”的基础上逐步“成网”，同时配备完善标识、休憩、环卫、智慧停车等配套便民服务设施，搭建纵横贯通、四通八达、均衡覆盖的城区生态绿道网络，推进经济适用、便于管养的节约型“绿道网”建设。</w:t>
      </w:r>
    </w:p>
    <w:p w14:paraId="5627818F">
      <w:pPr>
        <w:pStyle w:val="11"/>
        <w:pageBreakBefore w:val="0"/>
        <w:kinsoku/>
        <w:wordWrap/>
        <w:overflowPunct/>
        <w:topLinePunct w:val="0"/>
        <w:autoSpaceDE/>
        <w:autoSpaceDN/>
        <w:bidi w:val="0"/>
        <w:spacing w:after="0"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（8）积极开展绿美乡村建设</w:t>
      </w:r>
    </w:p>
    <w:p w14:paraId="3DBC51CD">
      <w:pPr>
        <w:pStyle w:val="11"/>
        <w:pageBreakBefore w:val="0"/>
        <w:kinsoku/>
        <w:wordWrap/>
        <w:overflowPunct/>
        <w:topLinePunct w:val="0"/>
        <w:autoSpaceDE/>
        <w:autoSpaceDN/>
        <w:bidi w:val="0"/>
        <w:spacing w:after="0"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深入实施农村人居环境整治提升五年行动，积极打造具有新平县特色的生态宜居美丽乡村。有效保护古树名木、护村林、风景林等自然植被，保护传承乡村历史文化，促进人文景观与自然景观相得益彰、协调发展。与森林乡村建设有结合，充分利用“村旁、水旁、路旁、宅旁”闲置空间，宜树则树、宜花则花、宜果则果、宜菜则菜，因地制宜建设“小花园、小果园、小菜园”，千方百计增加村庄绿地绿量。组织发动农户建设美丽庭院。将乡村绿化美化行动与生态产业发展相结合，大力发展庭院经济、林下经济、生态农业和乡村休闲康养旅游产业。</w:t>
      </w:r>
    </w:p>
    <w:p w14:paraId="18A12C0B">
      <w:pPr>
        <w:pStyle w:val="11"/>
        <w:pageBreakBefore w:val="0"/>
        <w:kinsoku/>
        <w:wordWrap/>
        <w:overflowPunct/>
        <w:topLinePunct w:val="0"/>
        <w:autoSpaceDE/>
        <w:autoSpaceDN/>
        <w:bidi w:val="0"/>
        <w:spacing w:after="0"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（9）有力推动绿美校园建设</w:t>
      </w:r>
    </w:p>
    <w:p w14:paraId="5D2D45FC">
      <w:pPr>
        <w:pStyle w:val="11"/>
        <w:pageBreakBefore w:val="0"/>
        <w:kinsoku/>
        <w:wordWrap/>
        <w:overflowPunct/>
        <w:topLinePunct w:val="0"/>
        <w:autoSpaceDE/>
        <w:autoSpaceDN/>
        <w:bidi w:val="0"/>
        <w:spacing w:after="0"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结合新平县域特色，做好辖区内各类学校绿化美化规划设计。充分挖掘立体空间资源，鼓励在校园内开展垂直绿化、屋顶绿化，营造多层次、多物种的校园绿色体系，最大限度提升校园绿地率和绿化覆盖率。组织学校教职工开展义务植树、义务养护、义务认养等活动。完善学校绿化带、林荫道路建设，推进校园绿地公共服务设施建设。完善校园自然标识系统，满足科普教育功能。</w:t>
      </w:r>
    </w:p>
    <w:p w14:paraId="71A346C7">
      <w:pPr>
        <w:pStyle w:val="11"/>
        <w:pageBreakBefore w:val="0"/>
        <w:kinsoku/>
        <w:wordWrap/>
        <w:overflowPunct/>
        <w:topLinePunct w:val="0"/>
        <w:autoSpaceDE/>
        <w:autoSpaceDN/>
        <w:bidi w:val="0"/>
        <w:spacing w:after="0"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（10）高水平实施绿化管理维护</w:t>
      </w:r>
    </w:p>
    <w:p w14:paraId="44557E02">
      <w:pPr>
        <w:pStyle w:val="11"/>
        <w:pageBreakBefore w:val="0"/>
        <w:kinsoku/>
        <w:wordWrap/>
        <w:overflowPunct/>
        <w:topLinePunct w:val="0"/>
        <w:autoSpaceDE/>
        <w:autoSpaceDN/>
        <w:bidi w:val="0"/>
        <w:spacing w:after="0"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进一步完善城市园林绿化管理体制、机制，保障城市园林绿化规划、设计、建设、管护得到有效执行。制定切合实际的地方养护标准，保障园林绿化养护资金投入，保证养护质量和景观效果。严格落实城市公共绿地、小区绿地和单位绿地“门前三包”责任制。加强绿化主管部门的监督管理职责，杜绝重建轻管现象，禁止破坏城市绿地、毁损古树名木、擅自砍伐树木等违法违规行为。</w:t>
      </w:r>
    </w:p>
    <w:p w14:paraId="16C870BA">
      <w:pPr>
        <w:pStyle w:val="4"/>
        <w:pageBreakBefore w:val="0"/>
        <w:kinsoku/>
        <w:wordWrap/>
        <w:overflowPunct/>
        <w:topLinePunct w:val="0"/>
        <w:autoSpaceDE/>
        <w:autoSpaceDN/>
        <w:bidi w:val="0"/>
        <w:spacing w:before="260" w:after="260" w:line="500" w:lineRule="exact"/>
        <w:ind w:firstLine="0"/>
        <w:textAlignment w:val="auto"/>
        <w:rPr>
          <w:rFonts w:hint="default" w:ascii="Times New Roman" w:hAnsi="Times New Roman" w:eastAsia="仿宋" w:cs="Times New Roman"/>
          <w:color w:val="auto"/>
          <w:sz w:val="32"/>
          <w:lang w:val="zh-CN" w:eastAsia="zh-CN"/>
        </w:rPr>
      </w:pPr>
      <w:bookmarkStart w:id="677" w:name="_Toc13334"/>
      <w:bookmarkStart w:id="678" w:name="_Toc12269"/>
      <w:r>
        <w:rPr>
          <w:rFonts w:hint="default" w:ascii="Times New Roman" w:hAnsi="Times New Roman" w:eastAsia="仿宋" w:cs="Times New Roman"/>
          <w:color w:val="auto"/>
          <w:sz w:val="32"/>
          <w:lang w:val="zh-CN" w:eastAsia="zh-CN"/>
        </w:rPr>
        <w:t>9.2绿色城镇化及生态城区</w:t>
      </w:r>
      <w:bookmarkEnd w:id="677"/>
      <w:bookmarkEnd w:id="678"/>
    </w:p>
    <w:p w14:paraId="1B859410">
      <w:pPr>
        <w:pStyle w:val="5"/>
        <w:pageBreakBefore w:val="0"/>
        <w:kinsoku/>
        <w:wordWrap/>
        <w:overflowPunct/>
        <w:topLinePunct w:val="0"/>
        <w:autoSpaceDE/>
        <w:autoSpaceDN/>
        <w:bidi w:val="0"/>
        <w:spacing w:before="120" w:after="120" w:line="500" w:lineRule="exact"/>
        <w:ind w:firstLine="0" w:firstLineChars="0"/>
        <w:textAlignment w:val="auto"/>
        <w:rPr>
          <w:rFonts w:eastAsia="仿宋"/>
          <w:snapToGrid w:val="0"/>
          <w:color w:val="auto"/>
          <w:sz w:val="28"/>
          <w:lang w:val="zh-CN"/>
        </w:rPr>
      </w:pPr>
      <w:bookmarkStart w:id="679" w:name="_Toc21470"/>
      <w:bookmarkStart w:id="680" w:name="_Toc633"/>
      <w:r>
        <w:rPr>
          <w:rFonts w:eastAsia="仿宋"/>
          <w:snapToGrid w:val="0"/>
          <w:color w:val="auto"/>
          <w:sz w:val="28"/>
          <w:lang w:val="zh-CN"/>
        </w:rPr>
        <w:t>9.2.1</w:t>
      </w:r>
      <w:bookmarkEnd w:id="679"/>
      <w:r>
        <w:rPr>
          <w:rFonts w:hint="eastAsia" w:eastAsia="仿宋"/>
          <w:snapToGrid w:val="0"/>
          <w:color w:val="auto"/>
          <w:sz w:val="28"/>
          <w:lang w:val="zh-CN"/>
        </w:rPr>
        <w:t>加快建设美丽县城</w:t>
      </w:r>
      <w:bookmarkEnd w:id="680"/>
    </w:p>
    <w:p w14:paraId="0D8BC792">
      <w:pPr>
        <w:pStyle w:val="11"/>
        <w:pageBreakBefore w:val="0"/>
        <w:kinsoku/>
        <w:wordWrap/>
        <w:overflowPunct/>
        <w:topLinePunct w:val="0"/>
        <w:autoSpaceDE/>
        <w:autoSpaceDN/>
        <w:bidi w:val="0"/>
        <w:spacing w:after="0"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以提升城市产业竞争力和人口吸引力、推动优势要素资源集聚为导向，统筹推进城市更新改造，进一步完善城市功能，改善人居环境，提升城市品质，传承历史文化，增强城市综合承载力和可持续发展能力，建设特色鲜明、功能完善、生态优美、宜居宜业的“美丽县城”。</w:t>
      </w:r>
    </w:p>
    <w:p w14:paraId="7C910793">
      <w:pPr>
        <w:pStyle w:val="11"/>
        <w:pageBreakBefore w:val="0"/>
        <w:kinsoku/>
        <w:wordWrap/>
        <w:overflowPunct/>
        <w:topLinePunct w:val="0"/>
        <w:autoSpaceDE/>
        <w:autoSpaceDN/>
        <w:bidi w:val="0"/>
        <w:spacing w:after="0"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（1）推进县城提质扩容</w:t>
      </w:r>
    </w:p>
    <w:p w14:paraId="26083056">
      <w:pPr>
        <w:pStyle w:val="11"/>
        <w:pageBreakBefore w:val="0"/>
        <w:kinsoku/>
        <w:wordWrap/>
        <w:overflowPunct/>
        <w:topLinePunct w:val="0"/>
        <w:autoSpaceDE/>
        <w:autoSpaceDN/>
        <w:bidi w:val="0"/>
        <w:spacing w:after="0"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围绕“干净、宜居、特色、智慧”四大要素，大力实施城市更新改造，加快县城城镇化补短板强弱项建设，聚焦功能优化完善、环境美化亮化、管理服务提升、民族文化保护等，搭建智慧化管理平台，高标准建设美丽县城。抓好县城东片区、西片区开发以及南片区配套服务设施建设，推进环城北路等重点项目建设，实现“东拓、西扩、南延、北接”的发展格局。实施市政道路改扩建工程，打通断头路；建设新老城区连接线和新区内道路网，提高次干路和支路的密度。合理布局建设城市停车场和立体车库，推进智慧停车场建设。加强城市公园、风情主题街区建设。完善市政管网设施，加快地下综合管廊建设，推进供水管网和排水设施改造与建设，实施排水系统雨污分流改造，加快推进海绵城市建设。加大垃圾分类、污水治理、非正规垃圾堆放点整治力度，持续推进公厕建设。加快新东进市场改造提升和桂山街道凤凰社区标准化农贸市场建设。统筹推进城镇老旧小区更新改造，对有需求有条件的小区开展电梯安装，加快传统商圈提档升级及推进存量住房改造提升等。推进新平县人防机动指挥所建设，推动人防建设高质量发展。完善防灾减灾基础设施配套，加强救灾物资储备设施布局和建设，提高建筑物和基础设施抗灾害能力，合理布局和建设城乡应急避难场所，提升城市空间韧性。到2025年，力争县城建成区面积达10平方公里，常住人口达10万人。</w:t>
      </w:r>
    </w:p>
    <w:p w14:paraId="3A278CFD">
      <w:pPr>
        <w:pStyle w:val="11"/>
        <w:pageBreakBefore w:val="0"/>
        <w:kinsoku/>
        <w:wordWrap/>
        <w:overflowPunct/>
        <w:topLinePunct w:val="0"/>
        <w:autoSpaceDE/>
        <w:autoSpaceDN/>
        <w:bidi w:val="0"/>
        <w:spacing w:after="0"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（2）着力提升城市风貌</w:t>
      </w:r>
    </w:p>
    <w:p w14:paraId="1B3D6E49">
      <w:pPr>
        <w:pStyle w:val="11"/>
        <w:pageBreakBefore w:val="0"/>
        <w:kinsoku/>
        <w:wordWrap/>
        <w:overflowPunct/>
        <w:topLinePunct w:val="0"/>
        <w:autoSpaceDE/>
        <w:autoSpaceDN/>
        <w:bidi w:val="0"/>
        <w:spacing w:after="0"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统筹协调城市形态格局、建筑风貌、街道立面、天际线、楼际线及色彩、标志系统，加强公共空间界面管控，塑造层次丰富、疏密有致、高低错落、鳞次栉比的城市空间形态。加强城市设计，鼓励推行城市总建筑师、驻点社区（乡镇）设计师制度。改造提升民族文化广场商业街、溪湖小镇特色街区等，完善综合配套服务设施；引进知名地方特色、老字号店铺和特色产品等，增强特色商业街的独特性和差异性，发展新型文旅商业消费集聚区。实施龙泉公园、桂山公园、花山公园提升改造工程，推进斗戛迎晖园、团结凤仪园、纳溪湿地公园等项目建设，提升城市宜居水平。加强平甸河等城市河湖监管，全面清理整治河湖管理范围内乱占、乱采、乱堆、乱建等“四乱”突出问题，消除城市黑臭水体。做好城区内重要历史建筑的保护和修缮工作，提升城市内涵。</w:t>
      </w:r>
    </w:p>
    <w:p w14:paraId="00708AA4">
      <w:pPr>
        <w:pStyle w:val="11"/>
        <w:pageBreakBefore w:val="0"/>
        <w:kinsoku/>
        <w:wordWrap/>
        <w:overflowPunct/>
        <w:topLinePunct w:val="0"/>
        <w:autoSpaceDE/>
        <w:autoSpaceDN/>
        <w:bidi w:val="0"/>
        <w:spacing w:after="0"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（3）提升城市治理水平</w:t>
      </w:r>
    </w:p>
    <w:p w14:paraId="02B8CD8C">
      <w:pPr>
        <w:pStyle w:val="11"/>
        <w:pageBreakBefore w:val="0"/>
        <w:kinsoku/>
        <w:wordWrap/>
        <w:overflowPunct/>
        <w:topLinePunct w:val="0"/>
        <w:autoSpaceDE/>
        <w:autoSpaceDN/>
        <w:bidi w:val="0"/>
        <w:spacing w:after="0"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增强经营城市理念，强化城市精细化管理。加快建设县城智慧化管理大数据中心平台，有效整合城市管理领域信息系统和数据资源，加大城市数据共享开发力度，深化政务服务“一网通办”、城市运行“一网统管”，提高城市运行效率。加强公共服务与“一部手机”系列应用、各行业重点服务应用的数据、业务对接，建设智慧城市。推进城管岗亭、社区工作站、便民窗口等便民服务平台建设，增强城市服务功能。发挥城市管理服务热线、微信公众服务号功能，引导社会公众自觉维护和监督城市环境秩序。深化城市管理体制改革，形成齐抓共管的“大城管”格局。加强城市管理专业化队伍建设，提升城市管理执法队伍专业素养。</w:t>
      </w:r>
    </w:p>
    <w:p w14:paraId="6C674EAD">
      <w:pPr>
        <w:pStyle w:val="5"/>
        <w:pageBreakBefore w:val="0"/>
        <w:kinsoku/>
        <w:wordWrap/>
        <w:overflowPunct/>
        <w:topLinePunct w:val="0"/>
        <w:autoSpaceDE/>
        <w:autoSpaceDN/>
        <w:bidi w:val="0"/>
        <w:spacing w:before="120" w:after="120" w:line="500" w:lineRule="exact"/>
        <w:ind w:firstLine="0" w:firstLineChars="0"/>
        <w:textAlignment w:val="auto"/>
        <w:rPr>
          <w:rFonts w:eastAsia="仿宋"/>
          <w:snapToGrid w:val="0"/>
          <w:color w:val="auto"/>
          <w:sz w:val="28"/>
          <w:lang w:val="zh-CN"/>
        </w:rPr>
      </w:pPr>
      <w:bookmarkStart w:id="681" w:name="_Toc21486"/>
      <w:bookmarkStart w:id="682" w:name="_Toc22338"/>
      <w:r>
        <w:rPr>
          <w:rFonts w:eastAsia="仿宋"/>
          <w:snapToGrid w:val="0"/>
          <w:color w:val="auto"/>
          <w:sz w:val="28"/>
          <w:lang w:val="zh-CN"/>
        </w:rPr>
        <w:t>9.2.2</w:t>
      </w:r>
      <w:bookmarkEnd w:id="681"/>
      <w:r>
        <w:rPr>
          <w:rFonts w:hint="eastAsia" w:eastAsia="仿宋"/>
          <w:snapToGrid w:val="0"/>
          <w:color w:val="auto"/>
          <w:sz w:val="28"/>
          <w:lang w:val="zh-CN"/>
        </w:rPr>
        <w:t>积极支持小城镇发展</w:t>
      </w:r>
      <w:bookmarkEnd w:id="682"/>
    </w:p>
    <w:p w14:paraId="6D315605">
      <w:pPr>
        <w:pageBreakBefore w:val="0"/>
        <w:kinsoku/>
        <w:wordWrap/>
        <w:overflowPunct/>
        <w:topLinePunct w:val="0"/>
        <w:autoSpaceDE/>
        <w:autoSpaceDN/>
        <w:bidi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坚持城镇高质量发展为导向，强化对集镇、特色小镇顶层设计、激励约束和规范管理，完善城镇功能，推进城镇化健康发展。</w:t>
      </w:r>
    </w:p>
    <w:p w14:paraId="1AA8B426">
      <w:pPr>
        <w:pageBreakBefore w:val="0"/>
        <w:kinsoku/>
        <w:wordWrap/>
        <w:overflowPunct/>
        <w:topLinePunct w:val="0"/>
        <w:autoSpaceDE/>
        <w:autoSpaceDN/>
        <w:bidi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（1）提升集镇建设水平</w:t>
      </w:r>
    </w:p>
    <w:p w14:paraId="402CE0F2">
      <w:pPr>
        <w:pageBreakBefore w:val="0"/>
        <w:kinsoku/>
        <w:wordWrap/>
        <w:overflowPunct/>
        <w:topLinePunct w:val="0"/>
        <w:autoSpaceDE/>
        <w:autoSpaceDN/>
        <w:bidi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发挥集镇在连接城乡发展中的纽带作用，按集镇规模等级和区位优势，引导集镇错位发展、分类发展，推动资源丰富、产业基础好的重点镇和特色镇聚焦主导产业，突出特色服务，提升集镇综合功能。加强戛洒核心城镇、扬武和漠沙重点城镇建设，强化腰街片区在戛洒镇域内的次集镇功能，分类推进其他集镇基础设施完善和人居环境整治，加强以乡镇政府驻地为中心的居民生活圈建设，增强集镇的综合服务功能和人口聚集能力。推进戛洒镇经济发达镇行政管理体制改革，打造发展速度快、带动作用强的县域经济社会次中心，以镇域经济增长更好地激发县域经济发展活力。加强集镇道路交通、污水垃圾设施、电力电信、物流配套设施、综合防灾等基础设施建设，加快补齐集镇基础设施短板。推进环境综合整治，提升宜居水平。因地制宜布局和建设面向社区、功能复合、便民惠民的商贸中心、邻里中心，引进品牌连锁超市。加大农贸市场改造提升力度，规范集镇农贸市场管理，因地制宜发展专业市场。加强文化站、特色文化广场、体育场馆等文体场所建设。完善教育、医疗、养老等公共服务设施，引导公共服务设施向农村延伸，提升集镇综合服务水平。</w:t>
      </w:r>
    </w:p>
    <w:p w14:paraId="7B5B8C16">
      <w:pPr>
        <w:pageBreakBefore w:val="0"/>
        <w:kinsoku/>
        <w:wordWrap/>
        <w:overflowPunct/>
        <w:topLinePunct w:val="0"/>
        <w:autoSpaceDE/>
        <w:autoSpaceDN/>
        <w:bidi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（2）提升特色小镇创建质量</w:t>
      </w:r>
    </w:p>
    <w:p w14:paraId="177D2D9E">
      <w:pPr>
        <w:pageBreakBefore w:val="0"/>
        <w:kinsoku/>
        <w:wordWrap/>
        <w:overflowPunct/>
        <w:topLinePunct w:val="0"/>
        <w:autoSpaceDE/>
        <w:autoSpaceDN/>
        <w:bidi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按照“彰显特色、打造产业、创新智慧、追求卓越”要求，聚焦“特色、产业、生态、易达、宜居、智慧、成网”七大要素，巩固提升新平戛洒花腰傣风情小镇创建成果，持续推进漠沙农旅田园小镇、大开门产城融合示范小镇、滇中国际商旅驿站小镇、新平县橙韵商旅小镇、磨盘山森林康养小镇等一批产业特色鲜明、人文底蕴浓厚、服务设施完善、生态环境优美的特色小镇建设。聚焦主导产业，叠加现代社区、文化、旅游等功能，丰富特色小镇产品供给，提高特色小镇的吸引力。推进特色小镇市场化运作，探索可持续的投融资模式和盈利模式，带动中小微企业联动发展。推进特色小镇接入“一部手机游云南”“一部手机云品荟”“一部手机办事通”平台，打造“云上特色小镇”。</w:t>
      </w:r>
    </w:p>
    <w:p w14:paraId="701B7F36">
      <w:pPr>
        <w:pStyle w:val="5"/>
        <w:pageBreakBefore w:val="0"/>
        <w:kinsoku/>
        <w:wordWrap/>
        <w:overflowPunct/>
        <w:topLinePunct w:val="0"/>
        <w:autoSpaceDE/>
        <w:autoSpaceDN/>
        <w:bidi w:val="0"/>
        <w:spacing w:before="120" w:after="120" w:line="500" w:lineRule="exact"/>
        <w:ind w:firstLine="0" w:firstLineChars="0"/>
        <w:textAlignment w:val="auto"/>
        <w:rPr>
          <w:rFonts w:eastAsia="仿宋"/>
          <w:snapToGrid w:val="0"/>
          <w:color w:val="auto"/>
          <w:sz w:val="28"/>
          <w:lang w:val="zh-CN"/>
        </w:rPr>
      </w:pPr>
      <w:bookmarkStart w:id="683" w:name="_Toc21505"/>
      <w:bookmarkStart w:id="684" w:name="_Toc813"/>
      <w:r>
        <w:rPr>
          <w:rFonts w:eastAsia="仿宋"/>
          <w:snapToGrid w:val="0"/>
          <w:color w:val="auto"/>
          <w:sz w:val="28"/>
          <w:lang w:val="zh-CN"/>
        </w:rPr>
        <w:t>9.2.3发展绿色生态旅游服务业</w:t>
      </w:r>
      <w:bookmarkEnd w:id="683"/>
      <w:bookmarkEnd w:id="684"/>
    </w:p>
    <w:p w14:paraId="0FE4A813">
      <w:pPr>
        <w:pageBreakBefore w:val="0"/>
        <w:kinsoku/>
        <w:wordWrap/>
        <w:overflowPunct/>
        <w:topLinePunct w:val="0"/>
        <w:autoSpaceDE/>
        <w:autoSpaceDN/>
        <w:bidi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根据《玉溪市新平彝族傣族自治县国民经济和社会发展第十四个五年规划和二〇三五年远景目标纲要》，新平县将紧扣“中国花腰傣文化旅游目的地”的发展定位。主打中国“花腰傣之乡”品牌，立足哀牢山、磨盘山、红河谷、戛洒花腰傣风情小镇、特色农产品等资源，以打造“健康生活目的地牌”为抓手，积极融入滇中核心旅游圈，着力推进服务业专业化，强化龙头带动，加强花腰傣等文化资源进行合理开发利用，加快乡村精品旅游、康体养生、现代物流、电子商务、数字经济等服务业融合发展，擦亮“花腰傣之乡”“中国天然氧吧”等名片，努力把新平打造为中国花腰傣文化旅游目的地。具体可从以下六大方面进行绿色生态旅游服务业建设：</w:t>
      </w:r>
    </w:p>
    <w:p w14:paraId="2556027B">
      <w:pPr>
        <w:pageBreakBefore w:val="0"/>
        <w:kinsoku/>
        <w:wordWrap/>
        <w:overflowPunct/>
        <w:topLinePunct w:val="0"/>
        <w:autoSpaceDE/>
        <w:autoSpaceDN/>
        <w:bidi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绿色餐饮服务：“吃”作为旅游六要素的首项，建设绿色餐饮服务是获得旅游体验感的重要一环，应严格执行云南省地方标准《绿色餐饮企业建设及运营指南》（DB53/T1002-2020），有力支撑爱国卫生“净餐馆”专项行动，各餐饮企业积极参与玉溪市餐饮与美食行业协会组织开展的“光盘行动、公筷公勺、绿色餐饮、文明餐厅”系列活动。通过在餐厅醒目位置张贴节约标识和条幅、设置公益告示牌、举办绿色消费活动等方式，引导顾客文明用餐、节俭消费；根据消费者数量和餐品分量主动提醒用餐者适量点餐、对餐品种类提出合理建议，按照用餐者要求提供大、中、小分量的餐品，提供分餐服务和打包餐盒，适时提醒用餐者打包；制作规范菜单，明确每种菜品和服务价格，标明菜品主要食材分量，不设最低消费，无虚假宣传；餐饮企业（单位）应积极参与绿色餐饮宣传活动，用餐者对餐厅环境、诚信水平、服务满意度的优秀评价率应达到80%以上（开展随机抽样调查）；将厉行节约作为职工培训的重要内容，加强餐饮服务人员职业道德培训，并纳入员工考核范畴，提升服务人员的职业道德水平。</w:t>
      </w:r>
    </w:p>
    <w:p w14:paraId="2872288B">
      <w:pPr>
        <w:pageBreakBefore w:val="0"/>
        <w:kinsoku/>
        <w:wordWrap/>
        <w:overflowPunct/>
        <w:topLinePunct w:val="0"/>
        <w:autoSpaceDE/>
        <w:autoSpaceDN/>
        <w:bidi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绿色住宿服务：着力抓实做好新平县“住”的要素提升，促进全县旅游接待设施的提档升级，积极响应“双碳”号召，由政府及监管部门充分发挥引导作用，出台酒店绿色低碳转型的各类激励机制，鼓励更多酒店实现向绿色酒店的转变，鼓励申报绿色旅游饭店。搭建酒店行业绿色发展指标体系，制定全面统一的行业碳排放测算标准和ESG信息披露标准。推行“绿色住”服务，根据旅客个人需求免除不需要的服务项目——如提供一次性塑料用品、毛巾浴巾、续住清扫等，即可在房费基础上获得相应金额减免，如到店后临时需要相应服务，只需补相应差价即可恢复服务。</w:t>
      </w:r>
    </w:p>
    <w:p w14:paraId="6CCCCBF0">
      <w:pPr>
        <w:pageBreakBefore w:val="0"/>
        <w:kinsoku/>
        <w:wordWrap/>
        <w:overflowPunct/>
        <w:topLinePunct w:val="0"/>
        <w:autoSpaceDE/>
        <w:autoSpaceDN/>
        <w:bidi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绿色出行服务：鼓励当地汽车出租有限公司计划在后续的车辆报废更新中，优先选用新能源出租车。增加共享单车投放量，倡导文明使用，发展共享经济推动绿色出行。增加电动旅游观光车数量及科学安排游览线路，增加资源利用率，减少碳排放。鼓励使用滴滴出行、云滴出行、万顺叫车、首汽约车、神州行等网约车合法平台环保拼车。</w:t>
      </w:r>
    </w:p>
    <w:p w14:paraId="197E52FF">
      <w:pPr>
        <w:pageBreakBefore w:val="0"/>
        <w:kinsoku/>
        <w:wordWrap/>
        <w:overflowPunct/>
        <w:topLinePunct w:val="0"/>
        <w:autoSpaceDE/>
        <w:autoSpaceDN/>
        <w:bidi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绿色景区服务：打造绿色景区，提供绿色服务。在景区的全景图及宣传手册上增加介绍景区生态特征及环保要求的相关提示。在景区内外的醒目位置设立文明旅游、文明告知、文明提醒、文明规劝等温馨提示。鼓励景区采用节能制冷设施设备，设置雨水收集利用系统。加强植被保护，大力培育和扩大绿色植物覆盖面积，采用有机肥料和天然杀虫方法。</w:t>
      </w:r>
    </w:p>
    <w:p w14:paraId="2A6691F6">
      <w:pPr>
        <w:pageBreakBefore w:val="0"/>
        <w:kinsoku/>
        <w:wordWrap/>
        <w:overflowPunct/>
        <w:topLinePunct w:val="0"/>
        <w:autoSpaceDE/>
        <w:autoSpaceDN/>
        <w:bidi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绿色购物服务：积极推进创建绿色商场、绿色商店，推进过度包装治理，推动生产经营者遵守限制商品过度包装的强制性标准，实施减色印刷，逐步实现商品包装绿色化、减量化和循环化。建立健全一次性塑料制品使用、回收情况报告制度，督促指导商品零售场所开办单位、电子商务平台企业、快递企业和外卖企业等落实主体责任。</w:t>
      </w:r>
    </w:p>
    <w:p w14:paraId="740E76D1">
      <w:pPr>
        <w:pStyle w:val="4"/>
        <w:pageBreakBefore w:val="0"/>
        <w:kinsoku/>
        <w:wordWrap/>
        <w:overflowPunct/>
        <w:topLinePunct w:val="0"/>
        <w:autoSpaceDE/>
        <w:autoSpaceDN/>
        <w:bidi w:val="0"/>
        <w:spacing w:before="260" w:after="260" w:line="500" w:lineRule="exact"/>
        <w:ind w:firstLine="0"/>
        <w:textAlignment w:val="auto"/>
        <w:rPr>
          <w:rFonts w:hint="default" w:ascii="Times New Roman" w:hAnsi="Times New Roman" w:eastAsia="仿宋" w:cs="Times New Roman"/>
          <w:color w:val="auto"/>
          <w:sz w:val="32"/>
          <w:lang w:val="zh-CN" w:eastAsia="zh-CN"/>
        </w:rPr>
      </w:pPr>
      <w:bookmarkStart w:id="685" w:name="_Toc7654"/>
      <w:bookmarkStart w:id="686" w:name="_Toc31654"/>
      <w:r>
        <w:rPr>
          <w:rFonts w:hint="default" w:ascii="Times New Roman" w:hAnsi="Times New Roman" w:eastAsia="仿宋" w:cs="Times New Roman"/>
          <w:color w:val="auto"/>
          <w:sz w:val="32"/>
          <w:lang w:val="zh-CN" w:eastAsia="zh-CN"/>
        </w:rPr>
        <w:t>9.3乡村振兴和美丽乡村</w:t>
      </w:r>
      <w:bookmarkEnd w:id="685"/>
      <w:r>
        <w:rPr>
          <w:rFonts w:hint="default" w:ascii="Times New Roman" w:hAnsi="Times New Roman" w:eastAsia="仿宋" w:cs="Times New Roman"/>
          <w:color w:val="auto"/>
          <w:sz w:val="32"/>
          <w:lang w:val="zh-CN" w:eastAsia="zh-CN"/>
        </w:rPr>
        <w:t>建设</w:t>
      </w:r>
      <w:bookmarkEnd w:id="686"/>
    </w:p>
    <w:p w14:paraId="36F259B4">
      <w:pPr>
        <w:pStyle w:val="5"/>
        <w:pageBreakBefore w:val="0"/>
        <w:kinsoku/>
        <w:wordWrap/>
        <w:overflowPunct/>
        <w:topLinePunct w:val="0"/>
        <w:autoSpaceDE/>
        <w:autoSpaceDN/>
        <w:bidi w:val="0"/>
        <w:spacing w:before="120" w:after="120" w:line="500" w:lineRule="exact"/>
        <w:ind w:firstLine="0" w:firstLineChars="0"/>
        <w:textAlignment w:val="auto"/>
        <w:rPr>
          <w:rFonts w:eastAsia="仿宋"/>
          <w:snapToGrid w:val="0"/>
          <w:color w:val="auto"/>
          <w:sz w:val="28"/>
          <w:lang w:val="zh-CN"/>
        </w:rPr>
      </w:pPr>
      <w:bookmarkStart w:id="687" w:name="_Toc15745"/>
      <w:bookmarkStart w:id="688" w:name="_Toc29115"/>
      <w:r>
        <w:rPr>
          <w:rFonts w:eastAsia="仿宋"/>
          <w:snapToGrid w:val="0"/>
          <w:color w:val="auto"/>
          <w:sz w:val="28"/>
          <w:lang w:val="zh-CN"/>
        </w:rPr>
        <w:t>9.3.1全面实施乡村振兴战略</w:t>
      </w:r>
      <w:bookmarkEnd w:id="687"/>
      <w:bookmarkEnd w:id="688"/>
    </w:p>
    <w:p w14:paraId="5235785A">
      <w:pPr>
        <w:pageBreakBefore w:val="0"/>
        <w:kinsoku/>
        <w:wordWrap/>
        <w:overflowPunct/>
        <w:topLinePunct w:val="0"/>
        <w:autoSpaceDE/>
        <w:autoSpaceDN/>
        <w:bidi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巩固拓展脱贫攻坚成果同乡村振兴有效衔接。加快实施“十四五”巩固拓展脱贫攻坚成果专项规划，接续推动脱贫乡村全面振兴，让脱贫群众逐步走上共同富裕的道路。</w:t>
      </w:r>
    </w:p>
    <w:p w14:paraId="14BC6AB2">
      <w:pPr>
        <w:pageBreakBefore w:val="0"/>
        <w:kinsoku/>
        <w:wordWrap/>
        <w:overflowPunct/>
        <w:topLinePunct w:val="0"/>
        <w:autoSpaceDE/>
        <w:autoSpaceDN/>
        <w:bidi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一是保持政策措施总体稳定。严格落实“摘帽不摘政策、摘帽不摘责任、摘帽不摘帮扶、摘帽不摘监管”要求，保持现有帮扶政策、资金支持、帮扶力量总体稳定。确保“十四五”期间，稳固全县脱贫人口不返贫的脱贫攻坚成果，有效衔接脱贫攻坚与乡村振兴，全力让脱贫群众迈向富裕。在全面完成脱贫任务的基础上，把扶贫工作重心从主要消除绝对贫困向缓解相对贫困转变，从主要解决收入贫困向解决多维贫困转变，从重点解决农村贫困问题向统筹城乡相对贫困转变，扶贫工作方式由集中作战调整为常态推进。</w:t>
      </w:r>
    </w:p>
    <w:p w14:paraId="7884CB23">
      <w:pPr>
        <w:pageBreakBefore w:val="0"/>
        <w:kinsoku/>
        <w:wordWrap/>
        <w:overflowPunct/>
        <w:topLinePunct w:val="0"/>
        <w:autoSpaceDE/>
        <w:autoSpaceDN/>
        <w:bidi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二是加大产业就业支持力度。加快建立产业帮扶全覆盖机制，统筹一、二、三产业，加大扶贫产业基地建设，补齐技术、设施、营销等短板，继续开展好农产品产销对接活动，提升产业扶贫质量。加快建立壮大村级集体经济帮扶机制，对现有帮扶政策逐项分类优化调整，积极争取列入省级乡村振兴重点帮扶县。聚焦确保粮食安全、农业转型升级和农村全面发展、数字农业农村建设等重点领域，推动相对贫困乡镇，自然村因地制宜发展优势产业，增强可持续发展内生动力，加大资金投入和项目扶持，实施一批重大工程项目，促进农业农村高质量发展，努力壮大村级集体经济实力。加强网上培训和就业服务，完善劳务输出精准服务机制，为群众提供更多就业机会和岗位。</w:t>
      </w:r>
    </w:p>
    <w:p w14:paraId="5A1B3253">
      <w:pPr>
        <w:pageBreakBefore w:val="0"/>
        <w:kinsoku/>
        <w:wordWrap/>
        <w:overflowPunct/>
        <w:topLinePunct w:val="0"/>
        <w:autoSpaceDE/>
        <w:autoSpaceDN/>
        <w:bidi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三是持续推进乡村产业高质量发展。坚持品质提升，推动农业由增产导向转向提质导向。强化良种选育与引进，加快选育和引进适宜新平发展的高产、高效、抗病力强的优良涉农新品种，扶持建设一批优质特色良种扩繁基地，保障种养业优质、绿色发展。实施农产品加工业提升行动，建设一批高标准、高质量的农产品加工园区，打造绿色农产品品牌。充分发挥立体气候优势，以漠沙现代农业示范区建设带动建兴、平掌，大力发展蔬菜、水果、甘蔗、茶叶、中药材等高原特色农业和生态旅游，把漠沙打造成为带动全县发展高原特色现代农业的重要增长极和南部次中心。建立新平农产品质量追溯系统，加强种植、加工、销售等全过程监管，提升新平特色农业的知名度和美誉度。强化农产品质量安全和监管，加快农资、农产品质量安全追溯两个监管信息平台的建设与应用，推进食用农产品“一品一码”销售，加强质量安全监管。同时要严格按照有关规定加强对转基因食品的管控，保障食品安全。</w:t>
      </w:r>
    </w:p>
    <w:p w14:paraId="00375665">
      <w:pPr>
        <w:pStyle w:val="5"/>
        <w:pageBreakBefore w:val="0"/>
        <w:kinsoku/>
        <w:wordWrap/>
        <w:overflowPunct/>
        <w:topLinePunct w:val="0"/>
        <w:autoSpaceDE/>
        <w:autoSpaceDN/>
        <w:bidi w:val="0"/>
        <w:spacing w:before="120" w:after="120" w:line="500" w:lineRule="exact"/>
        <w:ind w:firstLine="0" w:firstLineChars="0"/>
        <w:textAlignment w:val="auto"/>
        <w:rPr>
          <w:rFonts w:eastAsia="仿宋"/>
          <w:snapToGrid w:val="0"/>
          <w:color w:val="auto"/>
          <w:sz w:val="28"/>
          <w:lang w:val="zh-CN"/>
        </w:rPr>
      </w:pPr>
      <w:bookmarkStart w:id="689" w:name="_Toc10666"/>
      <w:bookmarkStart w:id="690" w:name="_Toc5890"/>
      <w:r>
        <w:rPr>
          <w:rFonts w:eastAsia="仿宋"/>
          <w:snapToGrid w:val="0"/>
          <w:color w:val="auto"/>
          <w:sz w:val="28"/>
          <w:lang w:val="zh-CN"/>
        </w:rPr>
        <w:t>9.3.2农业农村环境综合整治</w:t>
      </w:r>
      <w:bookmarkEnd w:id="689"/>
      <w:bookmarkEnd w:id="690"/>
    </w:p>
    <w:p w14:paraId="61CB7CFE">
      <w:pPr>
        <w:pageBreakBefore w:val="0"/>
        <w:kinsoku/>
        <w:wordWrap/>
        <w:overflowPunct/>
        <w:topLinePunct w:val="0"/>
        <w:autoSpaceDE/>
        <w:autoSpaceDN/>
        <w:bidi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深入推进《新平县农村人居环境整治提升五年行动实施方案（2021—2025年）》，加快推进农村人居环境整治PPP项目建设，研究制定运营方案，确保项目高效运转。</w:t>
      </w:r>
    </w:p>
    <w:p w14:paraId="268C015F">
      <w:pPr>
        <w:pageBreakBefore w:val="0"/>
        <w:kinsoku/>
        <w:wordWrap/>
        <w:overflowPunct/>
        <w:topLinePunct w:val="0"/>
        <w:autoSpaceDE/>
        <w:autoSpaceDN/>
        <w:bidi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梯次推进农村生活污水治理。积极实施《玉溪市新平县农村生活污水治理专项规划（2019-2035）》，确保新平县县域内饮用水水源地二级保护区内、县城（集镇）周边、行政村中心村、坝区、山区人口集中村庄，农村生活污水得到收集、治理；坝区、山区分散村庄生活污水全面得到有效管控，基本实现县域农村生活污水治理工作全面提升。加强农村地区再生水回用，处理后再生水可用于道路浇洒、绿化、河道补水；化粪池出水可用于农田回用。完善落实河（湖）长制，大力开展美丽河湖建设，加快推进农村水利工程提档升级改造，完善农村生活污水治理长效管理机制，推动城镇污水管网向周边村庄延伸覆盖。积极推广低成本、低能耗、易维护、高效率的污水处理技术，鼓励采用生态处理工艺。加强生活污水源头减量。</w:t>
      </w:r>
    </w:p>
    <w:p w14:paraId="50551E44">
      <w:pPr>
        <w:pageBreakBefore w:val="0"/>
        <w:kinsoku/>
        <w:wordWrap/>
        <w:overflowPunct/>
        <w:topLinePunct w:val="0"/>
        <w:autoSpaceDE/>
        <w:autoSpaceDN/>
        <w:bidi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全面推进农村生活垃圾治理。贯彻落实《新平县城市生活垃圾分类实施方案》，加快推进城镇和农村生活垃圾分类工作，进一步完善生活垃圾分类投放、分类收集、分类转运和分类处置体系建设。采取“村收集镇转运区处理”“源头减量、就近就地处理”等多种模式，加大农村垃圾治理力度。实施整治全流程监管，严厉查处在农村地区随意倾倒、堆放垃圾行为。有条件的地区，开展农村生活垃圾分类减量化试点，推行垃圾就地分类和资源化利用。在建立村庄保洁和垃圾清运收费制度的基础上，设立村庄保洁公益岗位，稳定保洁队伍，并优先安排建档立卡贫困户担任村庄保洁员。</w:t>
      </w:r>
    </w:p>
    <w:p w14:paraId="64168125">
      <w:pPr>
        <w:pageBreakBefore w:val="0"/>
        <w:kinsoku/>
        <w:wordWrap/>
        <w:overflowPunct/>
        <w:topLinePunct w:val="0"/>
        <w:autoSpaceDE/>
        <w:autoSpaceDN/>
        <w:bidi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推进厕所革命向纵深发展。进一步优化提升行政村内公厕布局，进一步加快全县农村户厕卫生化改建全覆盖，逐步推动重点任务由建设转向管护。构建农村厕所维修服务、清运服务、利用处理三项制度。探索建立财政补贴与农户缴费合理分摊的机制，引导鼓励企业和社会化服务组织成立农村厕所管护协会，开展清运服务。结合旅游厕所建设，引导特色旅游村镇的厕所升级，推动无性别厕位、第三卫生间的建设，鼓励厕所融入旅游功能。到2025年，农村卫生厕所普及率完成上级规定的目标任务。</w:t>
      </w:r>
    </w:p>
    <w:p w14:paraId="01179672">
      <w:pPr>
        <w:pageBreakBefore w:val="0"/>
        <w:kinsoku/>
        <w:wordWrap/>
        <w:overflowPunct/>
        <w:topLinePunct w:val="0"/>
        <w:autoSpaceDE/>
        <w:autoSpaceDN/>
        <w:bidi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着力提升村容村貌。推进村庄“七改三清”人居环境提升行动。建好、管好、护好、运营好“四好农村路”，推广建设“两站两员”机制，加强农村道路交通安全管理，加大农村公路两侧绿化、美化和垃圾治理力度。实施农村饮水安全巩固提升工程，推进“以电代柴”“以气代柴”。加快农村电网改造升级，完善村庄公共照明、通信等设施。整治村庄公共空间、庭院环境和各类架空管线，消除私搭乱建、乱堆乱放。加大传统村落民居和历史文化名镇名村保护力度，加强历史建（构）筑物及古树名木保护并进行挂牌管理。根据规划风貌管控要求，重点对村庄原有房屋屋顶、外立面等整体外观和门、窗、梁柱外部节点等进行风貌整治。新建农房严格管控宅基地面积、高度和外观风貌。推进村庄绿化，充分利用闲置土地组织开展植树造林，因地制宜利用村内闲置地、房前屋后建设小果园、小菜园、小花园，积极创建园林乡镇和绿色村庄。加强自然生态环境修复保护森林，加强乡村湿地保护与恢复。在有条件的乡村和社区，积极推进乡村湿地建设。推动卫生村庄创建工作。</w:t>
      </w:r>
    </w:p>
    <w:p w14:paraId="545E6F07">
      <w:pPr>
        <w:pageBreakBefore w:val="0"/>
        <w:kinsoku/>
        <w:wordWrap/>
        <w:overflowPunct/>
        <w:topLinePunct w:val="0"/>
        <w:autoSpaceDE/>
        <w:autoSpaceDN/>
        <w:bidi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持续推进化肥农药减量化行动。逐年实施受污染耕地安全利用技术工程，推进农业生产投入品减量化、生产清洁化、废弃物资源化、产业模式生态化。实施农业投入品减量增效计划。深入实施化肥、农药施用量零增长行动，大力推广水肥一体化、测土配方施肥、农作物病虫害专业化统防统治、果菜病虫全程绿色防控、深松整地等技术，加快有机肥、高效缓释肥料、水溶肥料、高效低毒低残留农药等推广应用，建设一批化肥减量增效示范区。</w:t>
      </w:r>
    </w:p>
    <w:p w14:paraId="4371D277">
      <w:pPr>
        <w:pageBreakBefore w:val="0"/>
        <w:kinsoku/>
        <w:wordWrap/>
        <w:overflowPunct/>
        <w:topLinePunct w:val="0"/>
        <w:autoSpaceDE/>
        <w:autoSpaceDN/>
        <w:bidi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加强秸秆、农膜废弃物资源化利用。成立秸秆综合利用技术专家组，指导开展技术示范、模式集成，提升农作物秸秆科学利用水平；建立全县秸秆资源台账和市级秸秆资源数据共享平台；进一步推广秸秆还田技术，提高秸秆还田量；积极开展秸秆饲料化综合利用，减少秸秆资源浪费。开展农膜污染防治，大力推广可降解生态农膜栽培技术，开展农药包装废弃物回收，强化重金属治理；积极引进先进的废旧农膜回收加工工艺，扶持建立废旧农膜回收加工企业；以乡镇为单元建立废旧农膜回收点，形成回收网络，抓好农废回收利用，助推美丽乡村建设。到2025年，农膜回收利用率达到86%以上，农作物秸秆综合利用率达到95%以上。</w:t>
      </w:r>
    </w:p>
    <w:p w14:paraId="1780FEC9">
      <w:pPr>
        <w:pageBreakBefore w:val="0"/>
        <w:kinsoku/>
        <w:wordWrap/>
        <w:overflowPunct/>
        <w:topLinePunct w:val="0"/>
        <w:autoSpaceDE/>
        <w:autoSpaceDN/>
        <w:bidi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加强畜禽养殖污染防治。强化畜禽粪污处置，特别是规模化养殖场（小区）结合自身养殖规模、能源需求、周边消纳粪尿土地面积等选择不同的粪污处理模式，禁止畜禽粪污未经处理直接外排。新建、改建、扩建畜禽养殖场应实施雨污分流、干湿分离，并推行干法清粪工艺，减少污水产生量。畜禽养殖粪便必须经过无害化处理后才能用作肥料或土壤调节剂，防止土壤污染。创建畜牧业绿色发展示范区、生态循环农业示范区，推广健康生态种养模式，培育一批生态循环农业示范区和示范点，重点建设畜禽粪污与果林种植循环利用示范样板，打造现代生态农业“多级循环体系”。到2025年，畜禽粪污综合利用率达到93%以上。</w:t>
      </w:r>
    </w:p>
    <w:p w14:paraId="4D8FCC53">
      <w:pPr>
        <w:pStyle w:val="5"/>
        <w:pageBreakBefore w:val="0"/>
        <w:kinsoku/>
        <w:wordWrap/>
        <w:overflowPunct/>
        <w:topLinePunct w:val="0"/>
        <w:autoSpaceDE/>
        <w:autoSpaceDN/>
        <w:bidi w:val="0"/>
        <w:spacing w:before="120" w:after="120" w:line="500" w:lineRule="exact"/>
        <w:ind w:firstLine="0" w:firstLineChars="0"/>
        <w:textAlignment w:val="auto"/>
        <w:rPr>
          <w:rFonts w:eastAsia="仿宋"/>
          <w:snapToGrid w:val="0"/>
          <w:color w:val="0070C0"/>
          <w:sz w:val="28"/>
          <w:lang w:val="zh-CN"/>
        </w:rPr>
      </w:pPr>
      <w:bookmarkStart w:id="691" w:name="_Toc495"/>
      <w:bookmarkStart w:id="692" w:name="_Toc18760"/>
      <w:r>
        <w:rPr>
          <w:rFonts w:eastAsia="仿宋"/>
          <w:snapToGrid w:val="0"/>
          <w:color w:val="auto"/>
          <w:sz w:val="28"/>
          <w:lang w:val="zh-CN"/>
        </w:rPr>
        <w:t>9</w:t>
      </w:r>
      <w:r>
        <w:rPr>
          <w:rFonts w:eastAsia="仿宋"/>
          <w:snapToGrid w:val="0"/>
          <w:color w:val="0070C0"/>
          <w:sz w:val="28"/>
          <w:lang w:val="zh-CN"/>
        </w:rPr>
        <w:t>.3.3推进生态宜居美丽乡村建设</w:t>
      </w:r>
      <w:bookmarkEnd w:id="691"/>
      <w:bookmarkEnd w:id="692"/>
    </w:p>
    <w:p w14:paraId="610351C0">
      <w:pPr>
        <w:pageBreakBefore w:val="0"/>
        <w:kinsoku/>
        <w:wordWrap/>
        <w:overflowPunct/>
        <w:topLinePunct w:val="0"/>
        <w:autoSpaceDE/>
        <w:autoSpaceDN/>
        <w:bidi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着力打造美丽乡村。推动乡村产业发展壮大，建设一批农业产业强镇和“一村一品”专业村。实施乡村振兴“百千万”示范工程，扎实推进新一轮农村人居环境整治，全面完成村庄建设规划编制，强化农村建房规划建设管理，坚决遏制乡村违法违规无序建房行为，打造一批示范乡镇、精品示范村和美丽村庄。加强乡风文明建设，推进移风易俗，完善村规民约，不断提升乡村文明水平。加强和改进乡村治理，探索建立村（社区）两委乡贤治理机制，健全乡村治理体系。拓展农民增收渠道，多措并举增加经营性、工资性、财产性、转移性收入，促进农民收入稳定增长。</w:t>
      </w:r>
    </w:p>
    <w:p w14:paraId="6407DD12">
      <w:pPr>
        <w:pageBreakBefore w:val="0"/>
        <w:kinsoku/>
        <w:wordWrap/>
        <w:overflowPunct/>
        <w:topLinePunct w:val="0"/>
        <w:autoSpaceDE/>
        <w:autoSpaceDN/>
        <w:bidi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全面实施乡村振兴“百千万”工程，统筹城镇和村庄规划建设，保护传统村落和乡村风貌，实现乡村规划全覆盖。积极发展农林牧渔绿色生态循环农业模式。</w:t>
      </w:r>
    </w:p>
    <w:p w14:paraId="2D14C420">
      <w:pPr>
        <w:pageBreakBefore w:val="0"/>
        <w:kinsoku/>
        <w:wordWrap/>
        <w:overflowPunct/>
        <w:topLinePunct w:val="0"/>
        <w:autoSpaceDE/>
        <w:autoSpaceDN/>
        <w:bidi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推进示范创建。围绕打造“滇中绿谷、宜居新平”目标，按照“宜居、宜业、宜游”的原则，深入实施乡村人居环境整治行动和乡村生态保护与修复工程，推动实施“美丽乡村建设示范行动”，全面建设生态宜居美丽乡村。到2025年，力争建设1个以上乡村振兴示范乡镇、10个精品示范村、100个乡村振兴规划示范点，打造腰街片区乡村振兴示范区。</w:t>
      </w:r>
    </w:p>
    <w:p w14:paraId="3F201AB1">
      <w:pPr>
        <w:pStyle w:val="4"/>
        <w:pageBreakBefore w:val="0"/>
        <w:kinsoku/>
        <w:wordWrap/>
        <w:overflowPunct/>
        <w:topLinePunct w:val="0"/>
        <w:autoSpaceDE/>
        <w:autoSpaceDN/>
        <w:bidi w:val="0"/>
        <w:spacing w:before="260" w:after="260" w:line="500" w:lineRule="exact"/>
        <w:ind w:firstLine="0"/>
        <w:textAlignment w:val="auto"/>
        <w:rPr>
          <w:rFonts w:hint="default" w:ascii="Times New Roman" w:hAnsi="Times New Roman" w:eastAsia="仿宋" w:cs="Times New Roman"/>
          <w:color w:val="auto"/>
          <w:sz w:val="32"/>
          <w:lang w:val="zh-CN" w:eastAsia="zh-CN"/>
        </w:rPr>
      </w:pPr>
      <w:bookmarkStart w:id="693" w:name="_Toc12063"/>
      <w:bookmarkStart w:id="694" w:name="_Toc3829"/>
      <w:r>
        <w:rPr>
          <w:rFonts w:hint="default" w:ascii="Times New Roman" w:hAnsi="Times New Roman" w:eastAsia="仿宋" w:cs="Times New Roman"/>
          <w:color w:val="auto"/>
          <w:sz w:val="32"/>
          <w:lang w:val="zh-CN" w:eastAsia="zh-CN"/>
        </w:rPr>
        <w:t>9.4</w:t>
      </w:r>
      <w:bookmarkEnd w:id="693"/>
      <w:r>
        <w:rPr>
          <w:rFonts w:hint="eastAsia" w:ascii="Times New Roman" w:hAnsi="Times New Roman" w:eastAsia="仿宋" w:cs="Times New Roman"/>
          <w:color w:val="auto"/>
          <w:sz w:val="32"/>
          <w:lang w:val="zh-CN" w:eastAsia="zh-CN"/>
        </w:rPr>
        <w:t>践行简约绿色低碳生活</w:t>
      </w:r>
      <w:bookmarkEnd w:id="694"/>
      <w:r>
        <w:rPr>
          <w:rFonts w:hint="eastAsia" w:ascii="Times New Roman" w:hAnsi="Times New Roman" w:eastAsia="仿宋" w:cs="Times New Roman"/>
          <w:color w:val="auto"/>
          <w:sz w:val="32"/>
          <w:lang w:val="zh-CN" w:eastAsia="zh-CN"/>
        </w:rPr>
        <w:tab/>
      </w:r>
      <w:r>
        <w:rPr>
          <w:rFonts w:hint="default" w:ascii="Times New Roman" w:hAnsi="Times New Roman" w:eastAsia="仿宋" w:cs="Times New Roman"/>
          <w:color w:val="auto"/>
          <w:sz w:val="32"/>
          <w:lang w:val="zh-CN" w:eastAsia="zh-CN"/>
        </w:rPr>
        <w:tab/>
      </w:r>
    </w:p>
    <w:p w14:paraId="41EE61D1">
      <w:pPr>
        <w:pStyle w:val="5"/>
        <w:pageBreakBefore w:val="0"/>
        <w:kinsoku/>
        <w:wordWrap/>
        <w:overflowPunct/>
        <w:topLinePunct w:val="0"/>
        <w:autoSpaceDE/>
        <w:autoSpaceDN/>
        <w:bidi w:val="0"/>
        <w:spacing w:before="120" w:after="120" w:line="500" w:lineRule="exact"/>
        <w:ind w:firstLine="0" w:firstLineChars="0"/>
        <w:textAlignment w:val="auto"/>
        <w:rPr>
          <w:rFonts w:eastAsia="仿宋"/>
          <w:snapToGrid w:val="0"/>
          <w:color w:val="auto"/>
          <w:sz w:val="28"/>
          <w:lang w:val="zh-CN"/>
        </w:rPr>
      </w:pPr>
      <w:bookmarkStart w:id="695" w:name="_Toc7861"/>
      <w:bookmarkStart w:id="696" w:name="_Toc15919"/>
      <w:r>
        <w:rPr>
          <w:rFonts w:eastAsia="仿宋"/>
          <w:snapToGrid w:val="0"/>
          <w:color w:val="auto"/>
          <w:sz w:val="28"/>
          <w:lang w:val="zh-CN"/>
        </w:rPr>
        <w:t>9.4.1提升绿色建筑水平</w:t>
      </w:r>
      <w:bookmarkEnd w:id="695"/>
      <w:bookmarkEnd w:id="696"/>
    </w:p>
    <w:p w14:paraId="2C31AFFE">
      <w:pPr>
        <w:pageBreakBefore w:val="0"/>
        <w:kinsoku/>
        <w:wordWrap/>
        <w:overflowPunct/>
        <w:topLinePunct w:val="0"/>
        <w:autoSpaceDE/>
        <w:autoSpaceDN/>
        <w:bidi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推广绿色建筑。开展建筑及社区节能改造，鼓励低碳居住消费模式。到2025年，城镇新建绿色建筑比例达到100%以上。</w:t>
      </w:r>
    </w:p>
    <w:p w14:paraId="284DA4F9">
      <w:pPr>
        <w:pageBreakBefore w:val="0"/>
        <w:kinsoku/>
        <w:wordWrap/>
        <w:overflowPunct/>
        <w:topLinePunct w:val="0"/>
        <w:autoSpaceDE/>
        <w:autoSpaceDN/>
        <w:bidi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加快建筑能耗改造。继续严格监管新建和改造建筑，加快建筑碳排放评级，推进碳标签，确保新建建筑全部符合绿色建筑标准，同时鼓励新建建筑申请高星级绿色建筑标准；完善绿色建筑政策法规和技术规范体系，建立绿色建筑建设全过程管理制度；继续推进国家机关办公建筑和大型公共建筑节能监管体系，建立基于能耗监测平台的能耗分析机制，充分发挥能耗监测系统的作用。筛选不同使用性质的高能耗办公建筑或大型公共建筑，实施公共建筑综合节能改造与单项技术节能改造，优化运行管理、改善空调系统、改善照明系统及非节能门窗、加装遮阳设施等；鼓励住宅建筑进行非节能门窗和加装遮阳设施改造，提高家电设备效率。重点培育2—3座绿色建筑典范，带动全社会大力发展高星级绿色建筑；重点开发政府投资绿色建筑示范项目建设，新建、改建、扩建的保障性住房、学校、医院、文化体育旅游项目必须严格按绿色建筑的标准进行规划、建设和运营管理，确保政府新建公共建筑100%执行绿色建筑标准。</w:t>
      </w:r>
    </w:p>
    <w:p w14:paraId="5469ACB8">
      <w:pPr>
        <w:pStyle w:val="5"/>
        <w:pageBreakBefore w:val="0"/>
        <w:kinsoku/>
        <w:wordWrap/>
        <w:overflowPunct/>
        <w:topLinePunct w:val="0"/>
        <w:autoSpaceDE/>
        <w:autoSpaceDN/>
        <w:bidi w:val="0"/>
        <w:spacing w:before="120" w:after="120" w:line="500" w:lineRule="exact"/>
        <w:ind w:firstLine="0" w:firstLineChars="0"/>
        <w:textAlignment w:val="auto"/>
        <w:rPr>
          <w:rFonts w:eastAsia="仿宋"/>
          <w:snapToGrid w:val="0"/>
          <w:color w:val="auto"/>
          <w:sz w:val="28"/>
          <w:lang w:val="zh-CN"/>
        </w:rPr>
      </w:pPr>
      <w:bookmarkStart w:id="697" w:name="_Toc11918"/>
      <w:bookmarkStart w:id="698" w:name="_Toc24340"/>
      <w:r>
        <w:rPr>
          <w:rFonts w:eastAsia="仿宋"/>
          <w:snapToGrid w:val="0"/>
          <w:color w:val="auto"/>
          <w:sz w:val="28"/>
          <w:lang w:val="zh-CN"/>
        </w:rPr>
        <w:t>9.4.2倡导绿色出行</w:t>
      </w:r>
      <w:bookmarkEnd w:id="697"/>
      <w:bookmarkEnd w:id="698"/>
    </w:p>
    <w:p w14:paraId="4072D317">
      <w:pPr>
        <w:pageBreakBefore w:val="0"/>
        <w:kinsoku/>
        <w:wordWrap/>
        <w:overflowPunct/>
        <w:topLinePunct w:val="0"/>
        <w:autoSpaceDE/>
        <w:autoSpaceDN/>
        <w:bidi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大力发展绿色交通，加强快速路网系统建设，优化城市路网结构，有机连接高速公路、汽车站和相邻县区，逐步提升公共交通线路网络化水平。推广电动汽车，建设新能源汽车充电站。加快配套充电站、充气站的建设。以人为本，新建城市道路优先设计步行、自行车与公交出行系统，提高公共交通服务水平。以中心城区为试点，在全县范围推行绿色出行，建立城市“公交+慢行”出行系统，加快绿色自行车站点及其配套设施建设，鼓励绿色出行。倡导“135”绿色低碳出行方式（1公里以内步行，3公里以内骑自行车，5公里左右乘坐公共交通工具），引导购买小排量汽车、节能与新能源汽车。</w:t>
      </w:r>
    </w:p>
    <w:p w14:paraId="0DB32CDB">
      <w:pPr>
        <w:pageBreakBefore w:val="0"/>
        <w:kinsoku/>
        <w:wordWrap/>
        <w:overflowPunct/>
        <w:topLinePunct w:val="0"/>
        <w:autoSpaceDE/>
        <w:autoSpaceDN/>
        <w:bidi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优先发展城市公共交通，实现全县新能源公交车全覆盖并努力实现交通网无缝对接。提升公共交通智能化水平，利用公交网站、电子站牌、掌上公交等多样化服务手段，为乘客提供服务咨询、公交信息、线路查询、换乘导航等全方位服务。</w:t>
      </w:r>
    </w:p>
    <w:p w14:paraId="5004DA64">
      <w:pPr>
        <w:pStyle w:val="5"/>
        <w:pageBreakBefore w:val="0"/>
        <w:kinsoku/>
        <w:wordWrap/>
        <w:overflowPunct/>
        <w:topLinePunct w:val="0"/>
        <w:autoSpaceDE/>
        <w:autoSpaceDN/>
        <w:bidi w:val="0"/>
        <w:spacing w:before="120" w:after="120" w:line="500" w:lineRule="exact"/>
        <w:ind w:firstLine="0" w:firstLineChars="0"/>
        <w:textAlignment w:val="auto"/>
        <w:rPr>
          <w:rFonts w:eastAsia="仿宋"/>
          <w:snapToGrid w:val="0"/>
          <w:color w:val="auto"/>
          <w:sz w:val="28"/>
          <w:lang w:val="zh-CN"/>
        </w:rPr>
      </w:pPr>
      <w:bookmarkStart w:id="699" w:name="_Toc14432"/>
      <w:bookmarkStart w:id="700" w:name="_Toc8313"/>
      <w:bookmarkStart w:id="701" w:name="_Toc23524"/>
      <w:r>
        <w:rPr>
          <w:rFonts w:eastAsia="仿宋"/>
          <w:snapToGrid w:val="0"/>
          <w:color w:val="auto"/>
          <w:sz w:val="28"/>
          <w:lang w:val="zh-CN"/>
        </w:rPr>
        <w:t>9.4.3持续巩固政府绿色采购</w:t>
      </w:r>
      <w:bookmarkEnd w:id="699"/>
      <w:bookmarkEnd w:id="700"/>
      <w:bookmarkEnd w:id="701"/>
    </w:p>
    <w:p w14:paraId="126ADB6E">
      <w:pPr>
        <w:pageBreakBefore w:val="0"/>
        <w:kinsoku/>
        <w:wordWrap/>
        <w:overflowPunct/>
        <w:topLinePunct w:val="0"/>
        <w:autoSpaceDE/>
        <w:autoSpaceDN/>
        <w:bidi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保证节能环保采购落到实处。严格执行政府采购推动节能减排、促进环境保护的强制采购、优先采购政策。按照“节能产品政府采购清单”标明的节能（节水）产品类别，执行强制采购和优先采购规定；对“环境标志产品政府采购清单”中的产品实行优先采购，杜绝采购国家明令禁止使用的高耗能设备或产品。</w:t>
      </w:r>
    </w:p>
    <w:p w14:paraId="41456365">
      <w:pPr>
        <w:pageBreakBefore w:val="0"/>
        <w:kinsoku/>
        <w:wordWrap/>
        <w:overflowPunct/>
        <w:topLinePunct w:val="0"/>
        <w:autoSpaceDE/>
        <w:autoSpaceDN/>
        <w:bidi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持续完善政府绿色采购政策体系，全面推进绿色采购标准体系建设，完善配套政策措施，加大绿色采购宣传力度。政府绿色采购制度是推动减污降碳，促进绿色低碳循环发展。继续健全绿色低碳的政府采购政策，加大对环保、节能、节水、循环、低碳、再生等绿色低碳产品的采购力度。探索完善采购需求标准，根据采购产品和服务的不同特点，分类建立绿色低碳政府采购需求标准，逐步扩大政府采购绿色低碳产品范围，要求采购人采购符合绿色低碳需求标准的产品，定期组织开展绿色采购制度培训。</w:t>
      </w:r>
    </w:p>
    <w:p w14:paraId="0F3AABD0">
      <w:pPr>
        <w:pStyle w:val="5"/>
        <w:pageBreakBefore w:val="0"/>
        <w:kinsoku/>
        <w:wordWrap/>
        <w:overflowPunct/>
        <w:topLinePunct w:val="0"/>
        <w:autoSpaceDE/>
        <w:autoSpaceDN/>
        <w:bidi w:val="0"/>
        <w:spacing w:before="120" w:after="120" w:line="500" w:lineRule="exact"/>
        <w:ind w:firstLine="0" w:firstLineChars="0"/>
        <w:textAlignment w:val="auto"/>
        <w:rPr>
          <w:rFonts w:eastAsia="仿宋"/>
          <w:snapToGrid w:val="0"/>
          <w:color w:val="auto"/>
          <w:sz w:val="28"/>
          <w:lang w:val="zh-CN"/>
        </w:rPr>
      </w:pPr>
      <w:bookmarkStart w:id="702" w:name="_Toc18749"/>
      <w:bookmarkStart w:id="703" w:name="_Toc4845"/>
      <w:bookmarkStart w:id="704" w:name="_Toc2580"/>
      <w:r>
        <w:rPr>
          <w:rFonts w:eastAsia="仿宋"/>
          <w:snapToGrid w:val="0"/>
          <w:color w:val="auto"/>
          <w:sz w:val="28"/>
          <w:lang w:val="zh-CN"/>
        </w:rPr>
        <w:t>9.4.4不断推进生活垃圾分类</w:t>
      </w:r>
      <w:bookmarkEnd w:id="702"/>
      <w:bookmarkEnd w:id="703"/>
      <w:r>
        <w:rPr>
          <w:rFonts w:eastAsia="仿宋"/>
          <w:snapToGrid w:val="0"/>
          <w:color w:val="auto"/>
          <w:sz w:val="28"/>
          <w:lang w:val="zh-CN"/>
        </w:rPr>
        <w:t>减量化行动</w:t>
      </w:r>
      <w:bookmarkEnd w:id="704"/>
    </w:p>
    <w:p w14:paraId="6796CDF2">
      <w:pPr>
        <w:pageBreakBefore w:val="0"/>
        <w:kinsoku/>
        <w:wordWrap/>
        <w:overflowPunct/>
        <w:topLinePunct w:val="0"/>
        <w:autoSpaceDE/>
        <w:autoSpaceDN/>
        <w:bidi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切实落实《新平县城市生活垃圾分类实施方案》，建立完善生活垃圾分类投放体系。在县城建成区组织发动各社区、物业服务机构、辖区居民、机关团体等，将可回收物、有害垃圾、厨余垃圾（湿垃圾）、其他垃圾（干垃圾）分别规范就近投放至相应标识的收集容器内，做好监督检查工作；按照要求配备生活垃圾分类投放设施，各类投放设施标识明显，投放指示明确，分布合理、数量满足，具备条件的社区应设置生活垃圾细分投放设施（如单设纸张、金属、玻璃等分类投放设施，做到精准分类）；根据工作实际配备分类督导员，指导监督生活垃圾分类投放工作，做好分类垃圾投放量统计、台账收集等工作，提升生活垃圾分类准确率。厨余、餐厨垃圾（湿垃圾）投放应根据垃圾易腐特点定时定点投放，做到“干湿分离”、密闭管理，避免泼洒和异味。有毒有害垃圾投放应在醒目位置设置有害垃圾标识，做到设施密闭，防止污染。大件垃圾（含绿化垃圾）由社区或小区指定专门收集点集中收集，做到统一规范管理。</w:t>
      </w:r>
    </w:p>
    <w:p w14:paraId="182BB982">
      <w:pPr>
        <w:pageBreakBefore w:val="0"/>
        <w:kinsoku/>
        <w:wordWrap/>
        <w:overflowPunct/>
        <w:topLinePunct w:val="0"/>
        <w:autoSpaceDE/>
        <w:autoSpaceDN/>
        <w:bidi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结合文明城市创建、巩固卫生城市创建成果工作，因地制宜在党政机关、事业单位、企业、社团组织，宾馆、饭店等人员密集场所和居民社区、城乡接合部农村社区等区域开展生活垃圾分类工作。到2025年底，县城主城区生活垃圾分类处理系统得到进一步加强。</w:t>
      </w:r>
    </w:p>
    <w:p w14:paraId="1FA90BEF">
      <w:pPr>
        <w:pStyle w:val="5"/>
        <w:pageBreakBefore w:val="0"/>
        <w:kinsoku/>
        <w:wordWrap/>
        <w:overflowPunct/>
        <w:topLinePunct w:val="0"/>
        <w:autoSpaceDE/>
        <w:autoSpaceDN/>
        <w:bidi w:val="0"/>
        <w:spacing w:before="120" w:after="120" w:line="500" w:lineRule="exact"/>
        <w:ind w:firstLine="0" w:firstLineChars="0"/>
        <w:textAlignment w:val="auto"/>
        <w:rPr>
          <w:rFonts w:eastAsia="仿宋"/>
          <w:snapToGrid w:val="0"/>
          <w:color w:val="auto"/>
          <w:sz w:val="28"/>
          <w:lang w:val="zh-CN"/>
        </w:rPr>
      </w:pPr>
      <w:bookmarkStart w:id="705" w:name="_Toc23882"/>
      <w:bookmarkStart w:id="706" w:name="_Toc13797"/>
      <w:r>
        <w:rPr>
          <w:rFonts w:eastAsia="仿宋"/>
          <w:snapToGrid w:val="0"/>
          <w:color w:val="auto"/>
          <w:sz w:val="28"/>
          <w:lang w:val="zh-CN"/>
        </w:rPr>
        <w:t>9.4.5</w:t>
      </w:r>
      <w:bookmarkEnd w:id="705"/>
      <w:r>
        <w:rPr>
          <w:rFonts w:hint="eastAsia" w:eastAsia="仿宋"/>
          <w:snapToGrid w:val="0"/>
          <w:color w:val="auto"/>
          <w:sz w:val="28"/>
          <w:lang w:val="zh-CN"/>
        </w:rPr>
        <w:t>积极开展“限塑”活动</w:t>
      </w:r>
      <w:bookmarkEnd w:id="706"/>
    </w:p>
    <w:p w14:paraId="3F420C0D">
      <w:pPr>
        <w:pageBreakBefore w:val="0"/>
        <w:kinsoku/>
        <w:wordWrap/>
        <w:overflowPunct/>
        <w:topLinePunct w:val="0"/>
        <w:autoSpaceDE/>
        <w:autoSpaceDN/>
        <w:bidi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积极推广替代塑料产品，增加可循环、易回收、可降解绿色产品供给。有序限制、禁止部分塑料制品生产、销售和使用。持续减少不可降解塑料袋、塑料餐具、宾馆酒店一次性塑料用品、快递塑料包装等使用。持续开展塑料污染治理部门联合专项行动，依法查处生产、销售厚度小于要求的超薄塑料购物袋、聚乙烯农用地膜和纳入淘汰类产品目录的一次性发泡塑料餐具、塑料棉签、含塑料微珠日化产品等违法行为。</w:t>
      </w:r>
    </w:p>
    <w:p w14:paraId="1AD965B0">
      <w:pPr>
        <w:pageBreakBefore w:val="0"/>
        <w:kinsoku/>
        <w:wordWrap/>
        <w:overflowPunct/>
        <w:topLinePunct w:val="0"/>
        <w:autoSpaceDE/>
        <w:autoSpaceDN/>
        <w:bidi w:val="0"/>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sectPr>
          <w:pgSz w:w="11906" w:h="16838"/>
          <w:pgMar w:top="1440" w:right="1797" w:bottom="1440" w:left="1797" w:header="851" w:footer="992" w:gutter="0"/>
          <w:pgNumType w:fmt="decimal"/>
          <w:cols w:space="425" w:num="1"/>
          <w:docGrid w:linePitch="312" w:charSpace="0"/>
        </w:sectPr>
      </w:pPr>
    </w:p>
    <w:bookmarkEnd w:id="665"/>
    <w:p w14:paraId="21236B74">
      <w:pPr>
        <w:pStyle w:val="3"/>
        <w:pageBreakBefore w:val="0"/>
        <w:kinsoku/>
        <w:wordWrap/>
        <w:overflowPunct/>
        <w:topLinePunct w:val="0"/>
        <w:autoSpaceDE/>
        <w:autoSpaceDN/>
        <w:bidi w:val="0"/>
        <w:spacing w:before="0" w:after="0" w:line="500" w:lineRule="exact"/>
        <w:jc w:val="center"/>
        <w:textAlignment w:val="auto"/>
        <w:rPr>
          <w:rFonts w:hint="default" w:ascii="Times New Roman" w:hAnsi="Times New Roman" w:eastAsia="仿宋" w:cs="Times New Roman"/>
          <w:color w:val="auto"/>
          <w:sz w:val="44"/>
          <w:lang w:val="en-US" w:eastAsia="zh-CN"/>
        </w:rPr>
      </w:pPr>
      <w:bookmarkStart w:id="707" w:name="_Toc17530"/>
      <w:r>
        <w:rPr>
          <w:rFonts w:hint="default" w:ascii="Times New Roman" w:hAnsi="Times New Roman" w:eastAsia="仿宋" w:cs="Times New Roman"/>
          <w:color w:val="auto"/>
          <w:sz w:val="44"/>
          <w:lang w:val="en-US" w:eastAsia="zh-CN"/>
        </w:rPr>
        <w:t>10</w:t>
      </w:r>
      <w:r>
        <w:rPr>
          <w:rFonts w:hint="eastAsia" w:ascii="Times New Roman" w:hAnsi="Times New Roman" w:eastAsia="仿宋" w:cs="Times New Roman"/>
          <w:color w:val="auto"/>
          <w:sz w:val="44"/>
          <w:lang w:val="en-US" w:eastAsia="zh-CN"/>
        </w:rPr>
        <w:t>弘扬生态理念</w:t>
      </w:r>
      <w:r>
        <w:rPr>
          <w:rFonts w:hint="default" w:ascii="Times New Roman" w:hAnsi="Times New Roman" w:eastAsia="仿宋" w:cs="Times New Roman"/>
          <w:color w:val="auto"/>
          <w:sz w:val="44"/>
          <w:lang w:val="en-US" w:eastAsia="zh-CN"/>
        </w:rPr>
        <w:t>，</w:t>
      </w:r>
      <w:r>
        <w:rPr>
          <w:rFonts w:hint="eastAsia" w:ascii="Times New Roman" w:hAnsi="Times New Roman" w:eastAsia="仿宋" w:cs="Times New Roman"/>
          <w:color w:val="auto"/>
          <w:sz w:val="44"/>
          <w:lang w:val="en-US" w:eastAsia="zh-CN"/>
        </w:rPr>
        <w:t>构建</w:t>
      </w:r>
      <w:r>
        <w:rPr>
          <w:rFonts w:hint="default" w:ascii="Times New Roman" w:hAnsi="Times New Roman" w:eastAsia="仿宋" w:cs="Times New Roman"/>
          <w:color w:val="auto"/>
          <w:sz w:val="44"/>
          <w:lang w:val="en-US" w:eastAsia="zh-CN"/>
        </w:rPr>
        <w:t>生态文化体系</w:t>
      </w:r>
      <w:bookmarkEnd w:id="707"/>
    </w:p>
    <w:p w14:paraId="17719438">
      <w:pPr>
        <w:pStyle w:val="4"/>
        <w:pageBreakBefore w:val="0"/>
        <w:kinsoku/>
        <w:wordWrap/>
        <w:overflowPunct/>
        <w:topLinePunct w:val="0"/>
        <w:autoSpaceDE/>
        <w:autoSpaceDN/>
        <w:bidi w:val="0"/>
        <w:spacing w:before="260" w:after="260" w:line="500" w:lineRule="exact"/>
        <w:ind w:firstLine="0"/>
        <w:textAlignment w:val="auto"/>
        <w:rPr>
          <w:rFonts w:hint="default" w:ascii="Times New Roman" w:hAnsi="Times New Roman" w:eastAsia="仿宋" w:cs="Times New Roman"/>
          <w:color w:val="auto"/>
          <w:sz w:val="32"/>
          <w:lang w:val="zh-CN" w:eastAsia="zh-CN"/>
        </w:rPr>
      </w:pPr>
      <w:bookmarkStart w:id="708" w:name="_Toc16079"/>
      <w:r>
        <w:rPr>
          <w:rFonts w:hint="default" w:ascii="Times New Roman" w:hAnsi="Times New Roman" w:eastAsia="仿宋" w:cs="Times New Roman"/>
          <w:color w:val="auto"/>
          <w:sz w:val="32"/>
          <w:lang w:val="zh-CN" w:eastAsia="zh-CN"/>
        </w:rPr>
        <w:t>10.1加强生态文化载体建设</w:t>
      </w:r>
      <w:bookmarkEnd w:id="708"/>
    </w:p>
    <w:p w14:paraId="1CF82AB0">
      <w:pPr>
        <w:pStyle w:val="5"/>
        <w:pageBreakBefore w:val="0"/>
        <w:kinsoku/>
        <w:wordWrap/>
        <w:overflowPunct/>
        <w:topLinePunct w:val="0"/>
        <w:autoSpaceDE/>
        <w:autoSpaceDN/>
        <w:bidi w:val="0"/>
        <w:spacing w:before="120" w:after="120" w:line="500" w:lineRule="exact"/>
        <w:ind w:firstLine="0" w:firstLineChars="0"/>
        <w:textAlignment w:val="auto"/>
        <w:rPr>
          <w:rFonts w:eastAsia="仿宋"/>
          <w:snapToGrid w:val="0"/>
          <w:color w:val="auto"/>
          <w:sz w:val="28"/>
        </w:rPr>
      </w:pPr>
      <w:bookmarkStart w:id="709" w:name="_Toc2307"/>
      <w:r>
        <w:rPr>
          <w:rFonts w:eastAsia="仿宋"/>
          <w:snapToGrid w:val="0"/>
          <w:color w:val="auto"/>
          <w:sz w:val="28"/>
        </w:rPr>
        <w:t>10.1.1深挖特色文化生态理念</w:t>
      </w:r>
      <w:bookmarkEnd w:id="709"/>
    </w:p>
    <w:p w14:paraId="2291992A">
      <w:pPr>
        <w:pageBreakBefore w:val="0"/>
        <w:kinsoku/>
        <w:wordWrap/>
        <w:overflowPunct/>
        <w:topLinePunct w:val="0"/>
        <w:autoSpaceDE/>
        <w:autoSpaceDN/>
        <w:bidi w:val="0"/>
        <w:spacing w:line="500" w:lineRule="exact"/>
        <w:ind w:firstLine="568"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挖掘和弘扬传统文化生态理念。建立少数民族文化资源数据库和少数民族语言文字资源数据库，加强以花腰傣为主的少数民族古籍、民族手工、民族歌舞等优秀民族传统文化的抢救、挖掘，助力新平花腰傣之乡美誉。加快培养生态文化品牌，强化区域特色民族民间文化和优秀传统文化的研究、传承与创新，深入挖掘新平特色文化生态理念，挖掘生态文化价值，实施文艺精品工程，支持骨干企业和文艺单位开展《猫猫舞》舞台剧、《喊月亮》情景歌舞剧创作，打造特色文化演艺品牌，提高全县生态文化品位。建立非物质文化遗产保护名录体系，实施非物质文化遗产传承发展工程。加强对各级文物的保护修缮，培育一批高素质文物工作专业队伍。以扬武和帽盒山为主，保护滇中滇南思普三地军事代表联席会议旧址，全面展示革命历史红色印迹。加快推进戛洒镇大平掌、平甸乡磨皮大寨等特色民族村寨建设，打造一批特色鲜明的农耕文化产业展示区、示范区。</w:t>
      </w:r>
    </w:p>
    <w:p w14:paraId="09C60865">
      <w:pPr>
        <w:pageBreakBefore w:val="0"/>
        <w:kinsoku/>
        <w:wordWrap/>
        <w:overflowPunct/>
        <w:topLinePunct w:val="0"/>
        <w:autoSpaceDE/>
        <w:autoSpaceDN/>
        <w:bidi w:val="0"/>
        <w:spacing w:line="500" w:lineRule="exact"/>
        <w:ind w:firstLine="568"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加强文化遗产保护利用。加强历史文物古迹保护、研究、利用，强化重要文化和自然遗产、非物质文化遗产系统性保护，加强各民族优秀传统手工艺保护和传承。探索“非遗+旅游”“非遗+研学”开发模式，开发非遗旅游产品，积极开展非物质文化遗产展示。吸引社会力量保护开发村落古建筑，盘活古村落、古民居资源。积极开拓扬武烟盒舞、磨皮花鼓舞、傣族猫猫舞等民俗表演文化市场。加强竹编、土陶、花腰傣刺绣等民族工艺、保护与开发利用。积极参与“云南省民族艺术之乡”评比。以市场为导向，创新举办火把节、花街节、沐浴节、服饰节等传统民族节庆活动，打造少数民族特色节庆品牌。建设平寨、旋涡、大沐浴、磨皮、南薅等少数民族特色村寨，促进民族民间文化与旅游深度融合发展。创新投融资模式，扶持一批创新力竞争力强的文旅和文创企业，加快发展文化创意设计等新型文化业态，鼓励创作具有新平少数民族文化特色的艺术作品，壮大民族文化产业。加强新平传统历史文化认知、保护、挖掘和利用，提高文化遗产保护开发水平，挖掘整理全市非物质文化遗产和古籍，开展文化传承人调查和认定，加强宣传和普及文化遗产知识，引导培养传承人。</w:t>
      </w:r>
    </w:p>
    <w:p w14:paraId="2808DD76">
      <w:pPr>
        <w:pStyle w:val="5"/>
        <w:pageBreakBefore w:val="0"/>
        <w:kinsoku/>
        <w:wordWrap/>
        <w:overflowPunct/>
        <w:topLinePunct w:val="0"/>
        <w:autoSpaceDE/>
        <w:autoSpaceDN/>
        <w:bidi w:val="0"/>
        <w:spacing w:before="120" w:after="120" w:line="500" w:lineRule="exact"/>
        <w:ind w:firstLine="0" w:firstLineChars="0"/>
        <w:textAlignment w:val="auto"/>
        <w:rPr>
          <w:rFonts w:eastAsia="仿宋"/>
          <w:snapToGrid w:val="0"/>
          <w:color w:val="auto"/>
          <w:sz w:val="28"/>
        </w:rPr>
      </w:pPr>
      <w:bookmarkStart w:id="710" w:name="_Toc15486"/>
      <w:r>
        <w:rPr>
          <w:rFonts w:eastAsia="仿宋"/>
          <w:snapToGrid w:val="0"/>
          <w:color w:val="auto"/>
          <w:sz w:val="28"/>
        </w:rPr>
        <w:t>10.1.2夯实公共文化服务供给</w:t>
      </w:r>
      <w:bookmarkEnd w:id="710"/>
    </w:p>
    <w:p w14:paraId="41339EB6">
      <w:pPr>
        <w:pageBreakBefore w:val="0"/>
        <w:kinsoku/>
        <w:wordWrap/>
        <w:overflowPunct/>
        <w:topLinePunct w:val="0"/>
        <w:autoSpaceDE/>
        <w:autoSpaceDN/>
        <w:bidi w:val="0"/>
        <w:spacing w:line="500" w:lineRule="exact"/>
        <w:ind w:firstLine="568"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加强公共文化基础设施建设。推动新平民俗工艺博物馆建设。作为文化和旅游产业相融合的产物，博物馆具有艺术观赏、历史溯源、科学研究、教育推广等方面的价值与功能，已经成为公共文化服务和旅游发展的前沿阵地与有效载体。因此要通过科技支撑、创意融入、以展带会、夜间产品开发等形式形成深度体验；推进公共文化服务设施建设。把公共文化服务体系建设的重心放在基层和农村，进一步完善一批综合性、多功能乡镇（街道）综合文化站、文化活动室、文化广场等基本文化阵地建设。继续实施县乡“两馆一站”达标建设任务，建立以图书馆、文化馆为总馆，乡镇（街道）综合文化站为分馆的总分馆制建设。构建覆盖城乡、惠及全民的公共文化服务体系。强化农村公共资源整合利用。依托乡镇综合文化站、村社区文化室、农家书屋，建成集“宣传文化、党员教育、科学普及、普法教育、体育健身等设备资源”于一体的基层综合文化服务中心。2025年实现乡村两级公共文化服务全覆盖，提升服务效能。</w:t>
      </w:r>
    </w:p>
    <w:p w14:paraId="112281F4">
      <w:pPr>
        <w:pageBreakBefore w:val="0"/>
        <w:kinsoku/>
        <w:wordWrap/>
        <w:overflowPunct/>
        <w:topLinePunct w:val="0"/>
        <w:autoSpaceDE/>
        <w:autoSpaceDN/>
        <w:bidi w:val="0"/>
        <w:spacing w:line="500" w:lineRule="exact"/>
        <w:ind w:firstLine="568"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提升公共文化服务质量。结合“深入生活、扎根人民”主题实践活动，充分运用“红色文化轻骑兵中国梦·玉溪情”文化惠民演出、文化进万家、送欢乐下基层、文艺志愿服务把更多优秀的电影、戏曲、书刊、文艺演出等活动送到基层。创新公共文化服务供给方式，制定公共文化服务提供目录，提供“菜单式”“订单式”服务，探索建设公共文化服务云平台，推动公共文化服务实现精准化。推广政府购买公共文化服务，在充分发挥文化企业供给作用的基础上，探索运用市场机制、社会捐助等多种形式，引导社会力量参与，增加基层文化资源总量，提高服务水平和效率。支持“三农”题材文艺创作生产，不断推出反映农民生产生活尤其是移风易俗方面的优秀文艺作品。鼓励各级文艺组织深入农村地区开展惠民演出活动。充分调动农村业余文艺队伍，推动“一村一年一场戏”免费送戏活动等平台载体，推动全民阅读进家庭、进农村，提高群众科学文化素养。</w:t>
      </w:r>
    </w:p>
    <w:p w14:paraId="02469DE7">
      <w:pPr>
        <w:pageBreakBefore w:val="0"/>
        <w:kinsoku/>
        <w:wordWrap/>
        <w:overflowPunct/>
        <w:topLinePunct w:val="0"/>
        <w:autoSpaceDE/>
        <w:autoSpaceDN/>
        <w:bidi w:val="0"/>
        <w:spacing w:line="500" w:lineRule="exact"/>
        <w:ind w:firstLine="568"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培育壮大文化队伍。引进文化专业人才，同时提升乡镇文化站组织管理人员能力，扶持发展农村广场舞队、民间文艺社团和业余文化队伍，培育挖掘乡土文化人才，增强农村基层文化的自我发展能力。组织文化专业人才、文化能人、民间艺人、非物质文化遗产传承人等开展培训辅导，提高农村文化骨干专业技能，培养一支懂文艺爱农村爱农民、专兼职相结合的农村文化工作队伍。扶持壮大文化志愿者和群众文化活动积极分子队伍，组织广大文艺工作者下乡，吸引优秀高校毕业生从事基层公共文化服务。做到村、社区有文化活动骨干，农村居民聚集点有文化活动组织者。建立一支既有专业知识、理论水平，又能吃苦耐劳、团结协作的高素质专业队伍，切实做好文物保护和利用工作。</w:t>
      </w:r>
    </w:p>
    <w:p w14:paraId="0463D4B0">
      <w:pPr>
        <w:pStyle w:val="5"/>
        <w:pageBreakBefore w:val="0"/>
        <w:kinsoku/>
        <w:wordWrap/>
        <w:overflowPunct/>
        <w:topLinePunct w:val="0"/>
        <w:autoSpaceDE/>
        <w:autoSpaceDN/>
        <w:bidi w:val="0"/>
        <w:spacing w:before="120" w:after="120" w:line="500" w:lineRule="exact"/>
        <w:ind w:firstLine="0" w:firstLineChars="0"/>
        <w:textAlignment w:val="auto"/>
        <w:rPr>
          <w:rFonts w:eastAsia="仿宋"/>
          <w:snapToGrid w:val="0"/>
          <w:color w:val="000000" w:themeColor="text1"/>
          <w:sz w:val="28"/>
          <w14:textFill>
            <w14:solidFill>
              <w14:schemeClr w14:val="tx1"/>
            </w14:solidFill>
          </w14:textFill>
        </w:rPr>
      </w:pPr>
      <w:bookmarkStart w:id="711" w:name="_Toc29373"/>
      <w:r>
        <w:rPr>
          <w:rFonts w:eastAsia="仿宋"/>
          <w:snapToGrid w:val="0"/>
          <w:color w:val="000000" w:themeColor="text1"/>
          <w:sz w:val="28"/>
          <w14:textFill>
            <w14:solidFill>
              <w14:schemeClr w14:val="tx1"/>
            </w14:solidFill>
          </w14:textFill>
        </w:rPr>
        <w:t>10.1.3创建现代生态文化体系</w:t>
      </w:r>
      <w:bookmarkEnd w:id="711"/>
    </w:p>
    <w:p w14:paraId="713F8DDC">
      <w:pPr>
        <w:pageBreakBefore w:val="0"/>
        <w:kinsoku/>
        <w:wordWrap/>
        <w:overflowPunct/>
        <w:topLinePunct w:val="0"/>
        <w:autoSpaceDE/>
        <w:autoSpaceDN/>
        <w:bidi w:val="0"/>
        <w:spacing w:line="500" w:lineRule="exact"/>
        <w:ind w:firstLine="568"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深化文化市场综合执法改革。全面落实文化市场综合执法改革任务，完善权责明确、监督有效、保障有力的综合执法管理体制。全面推进文化市场综合执法队伍建设，加强执法保障，推进严格规范公正文明执法。利用文化市场技术监管服务平台功能，提升执法信息化水平。进一步理顺与县级有关部门的工作关系，建立文化和旅游、文物、新闻出版、版权、广播电视、电影等职能部门参与的行政执法协同会商机制。</w:t>
      </w:r>
    </w:p>
    <w:p w14:paraId="0EB7061B">
      <w:pPr>
        <w:pageBreakBefore w:val="0"/>
        <w:kinsoku/>
        <w:wordWrap/>
        <w:overflowPunct/>
        <w:topLinePunct w:val="0"/>
        <w:autoSpaceDE/>
        <w:autoSpaceDN/>
        <w:bidi w:val="0"/>
        <w:spacing w:line="500" w:lineRule="exact"/>
        <w:ind w:firstLine="568"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赋予传统文艺创作新活力和新动能。依托新平的人文风情，以文化引领产业，以数字创新助力发展，促进“文化+”“数创+”发展，汇集数字出版、网络文学、文化电商、文创产品研发、数字创意、网络视听、多媒体制作、数字娱乐、智慧教育、大数据、云计算等行业内企业，实现文艺跨业态、跨门类、跨地区的深度融合，赋予传统文艺创作新活力和新动能。</w:t>
      </w:r>
    </w:p>
    <w:p w14:paraId="62A0006C">
      <w:pPr>
        <w:pageBreakBefore w:val="0"/>
        <w:kinsoku/>
        <w:wordWrap/>
        <w:overflowPunct/>
        <w:topLinePunct w:val="0"/>
        <w:autoSpaceDE/>
        <w:autoSpaceDN/>
        <w:bidi w:val="0"/>
        <w:spacing w:line="500" w:lineRule="exact"/>
        <w:ind w:firstLine="568"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不断优化提升文化产业经营环境。认真落实国家、省、市有关文化企业信贷融资、专项资金扶持等政策，充分利用各类文化产业博览会、交易会，为企业提供展示和推广平台，做大做强文化市场。坚持“一手抓繁荣、一手抓管理”，不断健全文化市场管理服务体制机制，始终保持文化市场综合行政执法监管工作高压态势。推进文化市场“放管服”，努力做到审批更简、监管更强、服务更优，激发文化市场活力和社会创造力。</w:t>
      </w:r>
    </w:p>
    <w:p w14:paraId="557957FB">
      <w:pPr>
        <w:pStyle w:val="4"/>
        <w:pageBreakBefore w:val="0"/>
        <w:kinsoku/>
        <w:wordWrap/>
        <w:overflowPunct/>
        <w:topLinePunct w:val="0"/>
        <w:autoSpaceDE/>
        <w:autoSpaceDN/>
        <w:bidi w:val="0"/>
        <w:spacing w:before="260" w:after="260" w:line="500" w:lineRule="exact"/>
        <w:ind w:firstLine="0"/>
        <w:textAlignment w:val="auto"/>
        <w:rPr>
          <w:rFonts w:hint="default" w:ascii="Times New Roman" w:hAnsi="Times New Roman" w:eastAsia="仿宋" w:cs="Times New Roman"/>
          <w:color w:val="auto"/>
          <w:sz w:val="32"/>
          <w:lang w:val="zh-CN" w:eastAsia="zh-CN"/>
        </w:rPr>
      </w:pPr>
      <w:bookmarkStart w:id="712" w:name="_Toc2334"/>
      <w:r>
        <w:rPr>
          <w:rFonts w:hint="default" w:ascii="Times New Roman" w:hAnsi="Times New Roman" w:eastAsia="仿宋" w:cs="Times New Roman"/>
          <w:color w:val="auto"/>
          <w:sz w:val="32"/>
          <w:lang w:val="zh-CN" w:eastAsia="zh-CN"/>
        </w:rPr>
        <w:t>10.2强化生态文明宣传教育</w:t>
      </w:r>
      <w:bookmarkEnd w:id="712"/>
    </w:p>
    <w:p w14:paraId="399BDEED">
      <w:pPr>
        <w:pStyle w:val="5"/>
        <w:pageBreakBefore w:val="0"/>
        <w:kinsoku/>
        <w:wordWrap/>
        <w:overflowPunct/>
        <w:topLinePunct w:val="0"/>
        <w:autoSpaceDE/>
        <w:autoSpaceDN/>
        <w:bidi w:val="0"/>
        <w:spacing w:before="120" w:after="120" w:line="500" w:lineRule="exact"/>
        <w:ind w:firstLine="0" w:firstLineChars="0"/>
        <w:textAlignment w:val="auto"/>
        <w:rPr>
          <w:rFonts w:eastAsia="仿宋"/>
          <w:snapToGrid w:val="0"/>
          <w:color w:val="auto"/>
          <w:sz w:val="28"/>
        </w:rPr>
      </w:pPr>
      <w:bookmarkStart w:id="713" w:name="_Toc22803"/>
      <w:r>
        <w:rPr>
          <w:rFonts w:eastAsia="仿宋"/>
          <w:snapToGrid w:val="0"/>
          <w:color w:val="auto"/>
          <w:sz w:val="28"/>
        </w:rPr>
        <w:t>10.2.1丰富生态文明宣传教育渠道</w:t>
      </w:r>
      <w:bookmarkEnd w:id="713"/>
    </w:p>
    <w:p w14:paraId="334786C7">
      <w:pPr>
        <w:pageBreakBefore w:val="0"/>
        <w:kinsoku/>
        <w:wordWrap/>
        <w:overflowPunct/>
        <w:topLinePunct w:val="0"/>
        <w:autoSpaceDE/>
        <w:autoSpaceDN/>
        <w:bidi w:val="0"/>
        <w:spacing w:line="500" w:lineRule="exact"/>
        <w:ind w:firstLine="568"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强化公共媒体生态文明宣传。充分发挥广播、电视、报刊、网络、板报、标语、橱窗专栏、宣传图册等宣传工具开展生态文明宣传。扩大网络新型媒体作用，建立新平县生态文明建设专题网站，建立、推广微博、微信生态文明建设公众号，在政府门户网站和主要报纸杂志上开辟生态文明专栏，定期发布生态文明建设的政策解读、主要成果、重要计划等信息。强化广告宣传，拓宽户外广告覆盖区域，增加生态文明建设类公益广告比例，在新平县主要街道、标志性建筑、公共交通工具、工地围挡等地点，新设或利用已有广告牌、LED屏及展板等设施，播放生态文明建设公益广告，制作宣传展板，悬挂环境保护宣传挂图，向本地居民及游客宣传生态文化。各单位各行业要结合实际工作实际，把生态文明建设宣传工作放在重要位置，摆上重要议事日程，强化工作指导，努力在生态文明建设宣传体制、运行机制、投入机制、机构队伍建设等方面狠下功夫，制定行之有效的生态文化宣传教育计划，明确生态文化建设宣传的目标、任务和内容，开展多形式、多层次的以普及生态环境知识、弘扬优秀传统文化、增强全民生态文化保护意识为目标的生态文化宣传教育。</w:t>
      </w:r>
    </w:p>
    <w:p w14:paraId="2C2C857E">
      <w:pPr>
        <w:pageBreakBefore w:val="0"/>
        <w:kinsoku/>
        <w:wordWrap/>
        <w:overflowPunct/>
        <w:topLinePunct w:val="0"/>
        <w:autoSpaceDE/>
        <w:autoSpaceDN/>
        <w:bidi w:val="0"/>
        <w:spacing w:line="500" w:lineRule="exact"/>
        <w:ind w:firstLine="568"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丰富生态文明宣传教育形式。开展生态文化进机关、进农村、进社区、进学校、进家庭、进企业等“六进”活动，引导全社会积极参与生态文明建设，提高公众对生态文明建设的满意度和参与度。加大生态环境宣传产品制作和传播力度，结合新平县实际和特色打造生态文化品牌，研发推广生态环境文化产品。充分利用世界环境日、国际生物多样性日、世界地球日、世界水日等重要主题节日集中开展生态文明建设相关宣传教育活动，普及资源生态环境保护相关的法律法规、科学知识，提升公民生态文明意识，倡导绿色、低碳、循环发展理念的绿色生活方式和消费方式，推进全社会生态文化建设和实践。</w:t>
      </w:r>
    </w:p>
    <w:p w14:paraId="69BCE560">
      <w:pPr>
        <w:pageBreakBefore w:val="0"/>
        <w:kinsoku/>
        <w:wordWrap/>
        <w:overflowPunct/>
        <w:topLinePunct w:val="0"/>
        <w:autoSpaceDE/>
        <w:autoSpaceDN/>
        <w:bidi w:val="0"/>
        <w:spacing w:line="500" w:lineRule="exact"/>
        <w:ind w:firstLine="568"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建立生态文明义务宣传队伍。整合社会资源，引导环保社会公益和志愿服务健康发展，建立党员干部、公职人员以及社会公众、学生群体等不同层次的志愿者队伍，鼓励环保社会组织积极参与到生态文明建设中，积极宣传生态文明建设，充分发挥环保志愿者作用。加强生态环境部门与环保社会组织之间的沟通与合作，构建经常性的沟通交流平台，形成积极互动、相互支持、密切配合的局面。支持具备资格的环保组织依法开展生态环境公益诉讼等活动。制定生态文明志愿宣传激励制度，提高志愿者参与生态文明宣传的积极性。建立生态文明宣传人员环保知识培训制度，提升宣传人员生态文明宣传水平。</w:t>
      </w:r>
    </w:p>
    <w:p w14:paraId="21FAD823">
      <w:pPr>
        <w:pStyle w:val="5"/>
        <w:pageBreakBefore w:val="0"/>
        <w:kinsoku/>
        <w:wordWrap/>
        <w:overflowPunct/>
        <w:topLinePunct w:val="0"/>
        <w:autoSpaceDE/>
        <w:autoSpaceDN/>
        <w:bidi w:val="0"/>
        <w:spacing w:before="120" w:after="120" w:line="500" w:lineRule="exact"/>
        <w:ind w:firstLine="0" w:firstLineChars="0"/>
        <w:textAlignment w:val="auto"/>
        <w:rPr>
          <w:rFonts w:eastAsia="仿宋"/>
          <w:snapToGrid w:val="0"/>
          <w:color w:val="auto"/>
          <w:sz w:val="28"/>
        </w:rPr>
      </w:pPr>
      <w:bookmarkStart w:id="714" w:name="_Toc13462"/>
      <w:r>
        <w:rPr>
          <w:rFonts w:eastAsia="仿宋"/>
          <w:snapToGrid w:val="0"/>
          <w:color w:val="auto"/>
          <w:sz w:val="28"/>
        </w:rPr>
        <w:t>10.2.2全面开展生态文明教育培训</w:t>
      </w:r>
      <w:bookmarkEnd w:id="714"/>
    </w:p>
    <w:p w14:paraId="645D3A59">
      <w:pPr>
        <w:pageBreakBefore w:val="0"/>
        <w:kinsoku/>
        <w:wordWrap/>
        <w:overflowPunct/>
        <w:topLinePunct w:val="0"/>
        <w:autoSpaceDE/>
        <w:autoSpaceDN/>
        <w:bidi w:val="0"/>
        <w:spacing w:line="500" w:lineRule="exact"/>
        <w:ind w:firstLine="568"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持续加强党政机关生态文明教育。强化各级政府在生态文明教育中良好的引导作用，不断提高新平县领导干部的生态文明意识和生态文明建设理论知识水平。将生态文化建设纳入党群宣教体系，将生态文明教育纳入党政干部培训体系中，把生态文明知识纳入党政干部的理论学习内容，利用党校等机构不定期举办生态文明专题培训班，开展学习月、学习周等活动，采取专题集中学习和网络在线学习有机结合的方式，推进党政领导干部生态环境教育常态化，培育“人与自然和谐”的生态意识，引导各级干部建立“绿色GDP”观念，树立生态文明政绩观，并逐步扩大生态文化教育培训的覆盖范围。在县委党校组织的各类干部培训工作中进一步增加生态文明建设相关的内容课程比例，对各级领导干部进行系统性的生态文明教育，特别要加强对基层村镇干部的生态文明教育培训。严格培训考核制度，把干部培训工作纳入各乡镇街道、各单位目标管理体系中。建立良好的生态文明交流机制，定期组织党政人员到区外生态文明建设先进地区进行参观学习和经验交流。规划期间，党政领导干部参加生态文明培训的人数比例保持在100%。</w:t>
      </w:r>
    </w:p>
    <w:p w14:paraId="77092F8E">
      <w:pPr>
        <w:pageBreakBefore w:val="0"/>
        <w:kinsoku/>
        <w:wordWrap/>
        <w:overflowPunct/>
        <w:topLinePunct w:val="0"/>
        <w:autoSpaceDE/>
        <w:autoSpaceDN/>
        <w:bidi w:val="0"/>
        <w:spacing w:line="500" w:lineRule="exact"/>
        <w:ind w:firstLine="568"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强化工业企业生态文明宣传教育。开展企业生态文化宣教和创建活动，组织开展生态文明知识讲座、企业环境责任培训、生态环境法律法规宣传等系列活动，促进企业规范环境行为，完善企业环境管理体系，提高企业遵守生态环境法律法规的自觉性，促进企业形成生态文明责任观，积极培育企业生态文化。将生态价值观、生态技术作为培训的重要内容，重点宣传节能减排、清洁生产、循环经济等方面的先进技术及管理方法，鼓励企业进行技术改造和创新，积极创建环境友好型企业，将企业特色和生态文明理念有机结合，引导和鼓励企业建立符合企业实际的特色企业生态文化体系。对纳入国家、省、市排放污染物重点监管企业的负责人、环境保护管理人员、环境保护设施操作人员开展生态环境教育培训，加强警示教育，强化企业环保责任和绿色发展意识，让绿色生产成为企业员工的主流思想导向和日常行为准则，将生态文化融入企业文化。鼓励企业制定生态文明教育培训计划，定期开展企业内部生态文明教育培训，提高企业员工生态环境保护和生态文明意识。</w:t>
      </w:r>
    </w:p>
    <w:p w14:paraId="226A553C">
      <w:pPr>
        <w:pageBreakBefore w:val="0"/>
        <w:kinsoku/>
        <w:wordWrap/>
        <w:overflowPunct/>
        <w:topLinePunct w:val="0"/>
        <w:autoSpaceDE/>
        <w:autoSpaceDN/>
        <w:bidi w:val="0"/>
        <w:spacing w:line="500" w:lineRule="exact"/>
        <w:ind w:firstLine="568"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推行校园生态文明教育。加强构建学校生态文明教育体系，推动各级各类学校生态文明教育活动，深入推进生态文明进学校，把生态文明教育摆上学生素质教育的突出位置，建立学校生态文明教育工作机制。研究制定教师生态文明培训方案，加强对全县教师的生态文明培训，把生态文明教育纳入教师的业务培训和继续教育课程，开展教师生态文明渗入式教育研究。将生态文明建设内容纳入教学计划，鼓励开展生态环境保护相关专题讲座，深入开展生态文明实践与主题教育活动，支持学校组织学生参观环保设施、环保知识竞赛等环保实践活动，推广“生态文明生活方式”养成教育，组织开展以节能低碳、绿色文明、节水节电等为重点内容的教育和社会实践活动，营造节约型绿色校园的良好氛围。</w:t>
      </w:r>
    </w:p>
    <w:p w14:paraId="1A38F16F">
      <w:pPr>
        <w:pageBreakBefore w:val="0"/>
        <w:kinsoku/>
        <w:wordWrap/>
        <w:overflowPunct/>
        <w:topLinePunct w:val="0"/>
        <w:autoSpaceDE/>
        <w:autoSpaceDN/>
        <w:bidi w:val="0"/>
        <w:spacing w:line="500" w:lineRule="exact"/>
        <w:ind w:firstLine="568"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推进城市社区生态文明教育。以生态文明教育为先导，将生态文明理念渗透到每个社区单位、每个家庭，引导居民履行环境保护责任和义务，培育文明向上的社区生态文化。完善社区宣传栏设置，提高宣传栏中生态文明建设相关内容比例，强化宣传内容的可接受性，编印居民生态文明行为规范、生态环境教育读本等。探索开展形式多样、寓教于乐的社区生态文明教育，充分调动社区居民学习热情，采取发放环保宣传手册、举办社区生态文化展览和主题宣传活动等多种形式，广泛开展绿色生活主题宣传教育，倡导居民选择绿色生活方式，节约资源、开展绿色消费和绿色出行，使生态文明理念扎根社区。鼓励生态文明建设宣传上街入户，定期或不定期开展面对面宣传活动。</w:t>
      </w:r>
    </w:p>
    <w:p w14:paraId="421F3EB2">
      <w:pPr>
        <w:pageBreakBefore w:val="0"/>
        <w:kinsoku/>
        <w:wordWrap/>
        <w:overflowPunct/>
        <w:topLinePunct w:val="0"/>
        <w:autoSpaceDE/>
        <w:autoSpaceDN/>
        <w:bidi w:val="0"/>
        <w:spacing w:line="500" w:lineRule="exact"/>
        <w:ind w:firstLine="568"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加强农村生态文明教育。以社会主义核心价值观为引领，加强农村思想文化阵地建设，完善农村公共文化设施，加强乡村文化活动站、图书馆建设，传承提升农村优秀传统文化。依托美丽乡村建设，整合各种生态文化资源，充分利用和整合农村现有的宣传设施，包括村广播站、墙体文化、民俗活动等，开展生态文明教育，引导公众关注和参与村内生态文明建设，结合生态文明知识制定通俗易懂的村规民约，鼓励村民关心生态环境，鼓励选择保水、节能、循环利用等绿色生活方式，学习了解现代农业、生态农业技术，鼓励村民自发设立民俗文化宣传员、生态环保监督员等，形成推动农村生态文化建设的骨干力量，提高村民生态文明建设参与意识。</w:t>
      </w:r>
    </w:p>
    <w:p w14:paraId="4898E421">
      <w:pPr>
        <w:pStyle w:val="4"/>
        <w:pageBreakBefore w:val="0"/>
        <w:kinsoku/>
        <w:wordWrap/>
        <w:overflowPunct/>
        <w:topLinePunct w:val="0"/>
        <w:autoSpaceDE/>
        <w:autoSpaceDN/>
        <w:bidi w:val="0"/>
        <w:spacing w:before="260" w:after="260" w:line="500" w:lineRule="exact"/>
        <w:ind w:firstLine="0"/>
        <w:textAlignment w:val="auto"/>
        <w:rPr>
          <w:rFonts w:hint="default" w:ascii="Times New Roman" w:hAnsi="Times New Roman" w:eastAsia="仿宋" w:cs="Times New Roman"/>
          <w:color w:val="auto"/>
          <w:sz w:val="32"/>
          <w:lang w:val="zh-CN" w:eastAsia="zh-CN"/>
        </w:rPr>
      </w:pPr>
      <w:bookmarkStart w:id="715" w:name="_Toc29950"/>
      <w:r>
        <w:rPr>
          <w:rFonts w:hint="default" w:ascii="Times New Roman" w:hAnsi="Times New Roman" w:eastAsia="仿宋" w:cs="Times New Roman"/>
          <w:color w:val="auto"/>
          <w:sz w:val="32"/>
          <w:lang w:val="zh-CN" w:eastAsia="zh-CN"/>
        </w:rPr>
        <w:t>10.3推动生态文明共建共享</w:t>
      </w:r>
      <w:bookmarkEnd w:id="715"/>
    </w:p>
    <w:p w14:paraId="29C6188A">
      <w:pPr>
        <w:pageBreakBefore w:val="0"/>
        <w:kinsoku/>
        <w:wordWrap/>
        <w:overflowPunct/>
        <w:topLinePunct w:val="0"/>
        <w:autoSpaceDE/>
        <w:autoSpaceDN/>
        <w:bidi w:val="0"/>
        <w:spacing w:line="500" w:lineRule="exact"/>
        <w:ind w:firstLine="568"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创新社会公众参与机制。积极组织各类接地气的生态文明建设活动，提高群众参与度。广泛发动、组织动员全县各界积极行动起来，投身建设实践。不断完善生态建设和环境信息公开，充分发挥网络、报纸、广播、电视等新闻媒体的作用，建立系统化信息公开机制。完善公众监督和举报反馈机制，健全环境有奖举报，鼓励社会各界依法有序监督生态环保工作，充分发挥“12369”环保举报热线作用，畅通环保监督渠道。建立健全公众参与机制，搭建公众参与生态环境公共事务的线上互动平台，积极引导公众参与生态文明建设工作，鼓励公众参与环境政策制定、环境决策、环境监督等。</w:t>
      </w:r>
    </w:p>
    <w:p w14:paraId="3C80333F">
      <w:pPr>
        <w:pageBreakBefore w:val="0"/>
        <w:kinsoku/>
        <w:wordWrap/>
        <w:overflowPunct/>
        <w:topLinePunct w:val="0"/>
        <w:autoSpaceDE/>
        <w:autoSpaceDN/>
        <w:bidi w:val="0"/>
        <w:spacing w:line="500" w:lineRule="exact"/>
        <w:ind w:firstLine="568"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完善公共文化服务体系。加快建设以城区为中心、乡镇为支中心、行政村为节点的城乡一体、布局合理、设施完善、功能齐备的公共文化服务网络。持续推进新时代文明实践中心（所、站）、综合文化站协同建设与提档升级，有效整合公共文化资源，逐步实现“资源共享、阵地共建、设施共管、活动共办”。挖掘、培育特色文化资源村，逐步实现新时代文明实践项目的“一乡一品”特色。</w:t>
      </w:r>
    </w:p>
    <w:p w14:paraId="0C3329B7">
      <w:pPr>
        <w:pStyle w:val="4"/>
        <w:pageBreakBefore w:val="0"/>
        <w:kinsoku/>
        <w:wordWrap/>
        <w:overflowPunct/>
        <w:topLinePunct w:val="0"/>
        <w:autoSpaceDE/>
        <w:autoSpaceDN/>
        <w:bidi w:val="0"/>
        <w:spacing w:before="260" w:after="260" w:line="500" w:lineRule="exact"/>
        <w:ind w:firstLine="0"/>
        <w:textAlignment w:val="auto"/>
        <w:rPr>
          <w:rFonts w:hint="default" w:ascii="Times New Roman" w:hAnsi="Times New Roman" w:eastAsia="仿宋" w:cs="Times New Roman"/>
          <w:color w:val="auto"/>
          <w:sz w:val="32"/>
          <w:lang w:val="zh-CN" w:eastAsia="zh-CN"/>
        </w:rPr>
      </w:pPr>
      <w:bookmarkStart w:id="716" w:name="_Toc31815"/>
      <w:r>
        <w:rPr>
          <w:rFonts w:hint="default" w:ascii="Times New Roman" w:hAnsi="Times New Roman" w:eastAsia="仿宋" w:cs="Times New Roman"/>
          <w:color w:val="auto"/>
          <w:sz w:val="32"/>
          <w:lang w:val="zh-CN" w:eastAsia="zh-CN"/>
        </w:rPr>
        <w:t>10.4绿色细胞工程建设</w:t>
      </w:r>
      <w:bookmarkEnd w:id="716"/>
    </w:p>
    <w:p w14:paraId="30769416">
      <w:pPr>
        <w:pStyle w:val="5"/>
        <w:pageBreakBefore w:val="0"/>
        <w:kinsoku/>
        <w:wordWrap/>
        <w:overflowPunct/>
        <w:topLinePunct w:val="0"/>
        <w:autoSpaceDE/>
        <w:autoSpaceDN/>
        <w:bidi w:val="0"/>
        <w:spacing w:before="120" w:after="120" w:line="500" w:lineRule="exact"/>
        <w:ind w:firstLine="0" w:firstLineChars="0"/>
        <w:textAlignment w:val="auto"/>
        <w:rPr>
          <w:rFonts w:eastAsia="仿宋"/>
          <w:snapToGrid w:val="0"/>
          <w:color w:val="auto"/>
          <w:sz w:val="28"/>
        </w:rPr>
      </w:pPr>
      <w:bookmarkStart w:id="717" w:name="_Toc12220"/>
      <w:r>
        <w:rPr>
          <w:rFonts w:eastAsia="仿宋"/>
          <w:snapToGrid w:val="0"/>
          <w:color w:val="auto"/>
          <w:sz w:val="28"/>
        </w:rPr>
        <w:t>10.4.1巩固现有生态创建成果</w:t>
      </w:r>
      <w:bookmarkEnd w:id="717"/>
    </w:p>
    <w:p w14:paraId="3BC7C478">
      <w:pPr>
        <w:pageBreakBefore w:val="0"/>
        <w:kinsoku/>
        <w:wordWrap/>
        <w:overflowPunct/>
        <w:topLinePunct w:val="0"/>
        <w:autoSpaceDE/>
        <w:autoSpaceDN/>
        <w:bidi w:val="0"/>
        <w:spacing w:line="500" w:lineRule="exact"/>
        <w:ind w:firstLine="568"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进一步巩固提升绿色细胞工程创建成果。不断巩固提升云南省生态文明县、省级生态文明乡（镇、街道）、市级生态村创建成果，进一步夯实绿色学校、绿色机关、绿色小区、节水型机关、节水型社区等群众性生态文明示范创建成果，全面建设美丽新平。</w:t>
      </w:r>
    </w:p>
    <w:p w14:paraId="34E347B2">
      <w:pPr>
        <w:pStyle w:val="5"/>
        <w:pageBreakBefore w:val="0"/>
        <w:kinsoku/>
        <w:wordWrap/>
        <w:overflowPunct/>
        <w:topLinePunct w:val="0"/>
        <w:autoSpaceDE/>
        <w:autoSpaceDN/>
        <w:bidi w:val="0"/>
        <w:spacing w:before="120" w:after="120" w:line="500" w:lineRule="exact"/>
        <w:ind w:firstLine="0" w:firstLineChars="0"/>
        <w:textAlignment w:val="auto"/>
        <w:rPr>
          <w:rFonts w:eastAsia="仿宋"/>
          <w:snapToGrid w:val="0"/>
          <w:color w:val="auto"/>
          <w:sz w:val="28"/>
        </w:rPr>
      </w:pPr>
      <w:bookmarkStart w:id="718" w:name="_Toc1635"/>
      <w:r>
        <w:rPr>
          <w:rFonts w:eastAsia="仿宋"/>
          <w:snapToGrid w:val="0"/>
          <w:color w:val="auto"/>
          <w:sz w:val="28"/>
        </w:rPr>
        <w:t>10.4.2持续推进生态创建活动</w:t>
      </w:r>
      <w:bookmarkEnd w:id="718"/>
    </w:p>
    <w:p w14:paraId="708642A6">
      <w:pPr>
        <w:pageBreakBefore w:val="0"/>
        <w:widowControl/>
        <w:kinsoku/>
        <w:wordWrap/>
        <w:overflowPunct/>
        <w:topLinePunct w:val="0"/>
        <w:autoSpaceDE/>
        <w:autoSpaceDN/>
        <w:bidi w:val="0"/>
        <w:spacing w:line="500" w:lineRule="exact"/>
        <w:ind w:firstLine="568" w:firstLineChars="200"/>
        <w:textAlignment w:val="auto"/>
        <w:rPr>
          <w:rFonts w:ascii="Times New Roman" w:hAnsi="Times New Roman" w:eastAsia="仿宋" w:cs="Times New Roman"/>
          <w:color w:val="FF0000"/>
          <w:sz w:val="44"/>
        </w:rPr>
      </w:pPr>
      <w:r>
        <w:rPr>
          <w:rFonts w:hint="eastAsia" w:ascii="Times New Roman" w:hAnsi="Times New Roman" w:eastAsia="方正仿宋_GBK" w:cs="方正仿宋_GBK"/>
          <w:b w:val="0"/>
          <w:bCs w:val="0"/>
          <w:color w:val="auto"/>
          <w:kern w:val="2"/>
          <w:sz w:val="28"/>
          <w:szCs w:val="28"/>
          <w:lang w:val="en-US" w:eastAsia="zh-CN" w:bidi="ar-SA"/>
        </w:rPr>
        <w:t>持续开展绿色细胞工程建设。大力推进生态村、节约型机关、绿色社区、绿色学校、绿色医院、绿色企业、生态文明教育基地等创建活动，提高生态创建覆盖率，推动绿色发展，提升全县生态创建水平。以创建为载体，深入全民生态文明理念，广泛宣传推广简约适度、绿色低碳、文明健康的生活理念和生活方式，建立完善绿色生活的相关政策和管理制度，引导全社会践行绿色生产、生活和消费方式，形成崇尚绿色生活的社会氛围。</w:t>
      </w:r>
      <w:bookmarkStart w:id="719" w:name="_Toc32355"/>
      <w:r>
        <w:rPr>
          <w:rFonts w:ascii="Times New Roman" w:hAnsi="Times New Roman" w:eastAsia="仿宋" w:cs="Times New Roman"/>
          <w:color w:val="FF0000"/>
          <w:sz w:val="44"/>
        </w:rPr>
        <w:br w:type="page"/>
      </w:r>
    </w:p>
    <w:p w14:paraId="11A0DC73">
      <w:pPr>
        <w:pStyle w:val="3"/>
        <w:pageBreakBefore w:val="0"/>
        <w:kinsoku/>
        <w:wordWrap/>
        <w:overflowPunct/>
        <w:topLinePunct w:val="0"/>
        <w:autoSpaceDE/>
        <w:autoSpaceDN/>
        <w:bidi w:val="0"/>
        <w:adjustRightInd/>
        <w:snapToGrid/>
        <w:spacing w:before="0" w:after="0" w:line="500" w:lineRule="exact"/>
        <w:jc w:val="center"/>
        <w:textAlignment w:val="auto"/>
        <w:rPr>
          <w:rFonts w:hint="default" w:ascii="Times New Roman" w:hAnsi="Times New Roman" w:eastAsia="仿宋" w:cs="Times New Roman"/>
          <w:color w:val="auto"/>
          <w:sz w:val="44"/>
          <w:lang w:val="en-US" w:eastAsia="zh-CN"/>
        </w:rPr>
      </w:pPr>
      <w:bookmarkStart w:id="720" w:name="_Toc2192"/>
      <w:r>
        <w:rPr>
          <w:rFonts w:hint="default" w:ascii="Times New Roman" w:hAnsi="Times New Roman" w:eastAsia="仿宋" w:cs="Times New Roman"/>
          <w:color w:val="auto"/>
          <w:sz w:val="44"/>
          <w:lang w:val="en-US" w:eastAsia="zh-CN"/>
        </w:rPr>
        <w:t>11重点工程</w:t>
      </w:r>
      <w:bookmarkEnd w:id="719"/>
      <w:bookmarkEnd w:id="720"/>
    </w:p>
    <w:p w14:paraId="140A11AF">
      <w:pPr>
        <w:pStyle w:val="4"/>
        <w:pageBreakBefore w:val="0"/>
        <w:kinsoku/>
        <w:wordWrap/>
        <w:overflowPunct/>
        <w:topLinePunct w:val="0"/>
        <w:autoSpaceDE/>
        <w:autoSpaceDN/>
        <w:bidi w:val="0"/>
        <w:adjustRightInd/>
        <w:snapToGrid/>
        <w:spacing w:before="260" w:after="260" w:line="500" w:lineRule="exact"/>
        <w:ind w:firstLine="0"/>
        <w:textAlignment w:val="auto"/>
        <w:rPr>
          <w:rFonts w:hint="default" w:ascii="Times New Roman" w:hAnsi="Times New Roman" w:eastAsia="仿宋" w:cs="Times New Roman"/>
          <w:color w:val="auto"/>
          <w:sz w:val="32"/>
          <w:lang w:val="zh-CN" w:eastAsia="zh-CN"/>
        </w:rPr>
      </w:pPr>
      <w:bookmarkStart w:id="721" w:name="_Toc9233"/>
      <w:bookmarkStart w:id="722" w:name="_Toc112155940"/>
      <w:r>
        <w:rPr>
          <w:rFonts w:hint="default" w:ascii="Times New Roman" w:hAnsi="Times New Roman" w:eastAsia="仿宋" w:cs="Times New Roman"/>
          <w:color w:val="auto"/>
          <w:sz w:val="32"/>
          <w:lang w:val="zh-CN" w:eastAsia="zh-CN"/>
        </w:rPr>
        <w:t>11.1重点工程</w:t>
      </w:r>
      <w:bookmarkEnd w:id="721"/>
      <w:bookmarkEnd w:id="722"/>
    </w:p>
    <w:p w14:paraId="3C20B6FC">
      <w:pPr>
        <w:pageBreakBefore w:val="0"/>
        <w:widowControl/>
        <w:kinsoku/>
        <w:wordWrap/>
        <w:overflowPunct/>
        <w:topLinePunct w:val="0"/>
        <w:autoSpaceDE/>
        <w:autoSpaceDN/>
        <w:bidi w:val="0"/>
        <w:adjustRightInd/>
        <w:snapToGrid/>
        <w:spacing w:line="500" w:lineRule="exact"/>
        <w:ind w:firstLine="568"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为落实规划和生态文明建设任务，必须调动各方面的积极性，集中力量，围绕生态制度、生态安全、生态空间、生态经济、生态生活、生态文化六大体系建设，设立六大工程建设项目，共计43项，总投资1119993万元，建设期为2022年至2030年，详见表11.1-1至11.1-2。</w:t>
      </w:r>
    </w:p>
    <w:p w14:paraId="50DB14FD">
      <w:pPr>
        <w:adjustRightInd w:val="0"/>
        <w:snapToGrid w:val="0"/>
        <w:ind w:firstLine="488" w:firstLineChars="200"/>
        <w:jc w:val="center"/>
        <w:rPr>
          <w:rFonts w:ascii="Times New Roman" w:hAnsi="Times New Roman" w:eastAsia="仿宋" w:cs="Times New Roman"/>
          <w:b/>
          <w:color w:val="auto"/>
          <w:sz w:val="24"/>
        </w:rPr>
      </w:pPr>
      <w:bookmarkStart w:id="723" w:name="_Toc28463_WPSOffice_Level2"/>
      <w:bookmarkStart w:id="724" w:name="_Toc14930_WPSOffice_Level2"/>
      <w:bookmarkStart w:id="725" w:name="_Toc5159_WPSOffice_Level2"/>
      <w:r>
        <w:rPr>
          <w:rFonts w:ascii="Times New Roman" w:hAnsi="Times New Roman" w:eastAsia="仿宋" w:cs="Times New Roman"/>
          <w:b/>
          <w:color w:val="auto"/>
          <w:sz w:val="24"/>
        </w:rPr>
        <w:t>表11.1-1各建设体系投资分配</w:t>
      </w:r>
      <w:bookmarkEnd w:id="723"/>
      <w:bookmarkEnd w:id="724"/>
      <w:bookmarkEnd w:id="725"/>
    </w:p>
    <w:tbl>
      <w:tblPr>
        <w:tblStyle w:val="25"/>
        <w:tblW w:w="4997" w:type="pct"/>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814"/>
        <w:gridCol w:w="2017"/>
        <w:gridCol w:w="1423"/>
        <w:gridCol w:w="2212"/>
        <w:gridCol w:w="2770"/>
      </w:tblGrid>
      <w:tr w14:paraId="5D68FF1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7" w:hRule="atLeast"/>
        </w:trPr>
        <w:tc>
          <w:tcPr>
            <w:tcW w:w="441" w:type="pct"/>
            <w:shd w:val="clear" w:color="auto" w:fill="BEBEBE"/>
            <w:vAlign w:val="center"/>
          </w:tcPr>
          <w:p w14:paraId="3FC7FBF3">
            <w:pPr>
              <w:adjustRightInd w:val="0"/>
              <w:snapToGrid w:val="0"/>
              <w:spacing w:line="240" w:lineRule="auto"/>
              <w:jc w:val="center"/>
              <w:rPr>
                <w:rFonts w:ascii="Times New Roman" w:hAnsi="Times New Roman" w:eastAsia="仿宋" w:cs="Times New Roman"/>
                <w:bCs/>
                <w:color w:val="auto"/>
                <w:sz w:val="21"/>
                <w:szCs w:val="21"/>
              </w:rPr>
            </w:pPr>
            <w:r>
              <w:rPr>
                <w:rFonts w:ascii="Times New Roman" w:hAnsi="Times New Roman" w:eastAsia="仿宋" w:cs="Times New Roman"/>
                <w:bCs/>
                <w:color w:val="auto"/>
                <w:sz w:val="21"/>
                <w:szCs w:val="21"/>
              </w:rPr>
              <w:t>序号</w:t>
            </w:r>
          </w:p>
        </w:tc>
        <w:tc>
          <w:tcPr>
            <w:tcW w:w="1092" w:type="pct"/>
            <w:shd w:val="clear" w:color="auto" w:fill="BEBEBE"/>
            <w:vAlign w:val="center"/>
          </w:tcPr>
          <w:p w14:paraId="1980247E">
            <w:pPr>
              <w:adjustRightInd w:val="0"/>
              <w:snapToGrid w:val="0"/>
              <w:spacing w:line="240" w:lineRule="auto"/>
              <w:jc w:val="center"/>
              <w:rPr>
                <w:rFonts w:ascii="Times New Roman" w:hAnsi="Times New Roman" w:eastAsia="仿宋" w:cs="Times New Roman"/>
                <w:bCs/>
                <w:color w:val="auto"/>
                <w:sz w:val="21"/>
                <w:szCs w:val="21"/>
              </w:rPr>
            </w:pPr>
            <w:r>
              <w:rPr>
                <w:rFonts w:ascii="Times New Roman" w:hAnsi="Times New Roman" w:eastAsia="仿宋" w:cs="Times New Roman"/>
                <w:bCs/>
                <w:color w:val="auto"/>
                <w:sz w:val="21"/>
                <w:szCs w:val="21"/>
              </w:rPr>
              <w:t>建设体系</w:t>
            </w:r>
          </w:p>
        </w:tc>
        <w:tc>
          <w:tcPr>
            <w:tcW w:w="770" w:type="pct"/>
            <w:shd w:val="clear" w:color="auto" w:fill="BEBEBE"/>
            <w:vAlign w:val="center"/>
          </w:tcPr>
          <w:p w14:paraId="00871137">
            <w:pPr>
              <w:adjustRightInd w:val="0"/>
              <w:snapToGrid w:val="0"/>
              <w:spacing w:line="240" w:lineRule="auto"/>
              <w:jc w:val="center"/>
              <w:rPr>
                <w:rFonts w:ascii="Times New Roman" w:hAnsi="Times New Roman" w:eastAsia="仿宋" w:cs="Times New Roman"/>
                <w:bCs/>
                <w:color w:val="auto"/>
                <w:sz w:val="21"/>
                <w:szCs w:val="21"/>
              </w:rPr>
            </w:pPr>
            <w:r>
              <w:rPr>
                <w:rFonts w:ascii="Times New Roman" w:hAnsi="Times New Roman" w:eastAsia="仿宋" w:cs="Times New Roman"/>
                <w:bCs/>
                <w:color w:val="auto"/>
                <w:sz w:val="21"/>
                <w:szCs w:val="21"/>
              </w:rPr>
              <w:t>项目数</w:t>
            </w:r>
          </w:p>
        </w:tc>
        <w:tc>
          <w:tcPr>
            <w:tcW w:w="1197" w:type="pct"/>
            <w:shd w:val="clear" w:color="auto" w:fill="BEBEBE"/>
            <w:vAlign w:val="center"/>
          </w:tcPr>
          <w:p w14:paraId="3C84AF54">
            <w:pPr>
              <w:adjustRightInd w:val="0"/>
              <w:snapToGrid w:val="0"/>
              <w:spacing w:line="240" w:lineRule="auto"/>
              <w:jc w:val="center"/>
              <w:rPr>
                <w:rFonts w:ascii="Times New Roman" w:hAnsi="Times New Roman" w:eastAsia="仿宋" w:cs="Times New Roman"/>
                <w:bCs/>
                <w:color w:val="auto"/>
                <w:sz w:val="21"/>
                <w:szCs w:val="21"/>
              </w:rPr>
            </w:pPr>
            <w:r>
              <w:rPr>
                <w:rFonts w:ascii="Times New Roman" w:hAnsi="Times New Roman" w:eastAsia="仿宋" w:cs="Times New Roman"/>
                <w:bCs/>
                <w:color w:val="auto"/>
                <w:sz w:val="21"/>
                <w:szCs w:val="21"/>
              </w:rPr>
              <w:t>总投资（万元）</w:t>
            </w:r>
          </w:p>
        </w:tc>
        <w:tc>
          <w:tcPr>
            <w:tcW w:w="1499" w:type="pct"/>
            <w:shd w:val="clear" w:color="auto" w:fill="BEBEBE"/>
            <w:vAlign w:val="center"/>
          </w:tcPr>
          <w:p w14:paraId="416622F4">
            <w:pPr>
              <w:adjustRightInd w:val="0"/>
              <w:snapToGrid w:val="0"/>
              <w:spacing w:line="240" w:lineRule="auto"/>
              <w:jc w:val="center"/>
              <w:rPr>
                <w:rFonts w:ascii="Times New Roman" w:hAnsi="Times New Roman" w:eastAsia="仿宋" w:cs="Times New Roman"/>
                <w:bCs/>
                <w:color w:val="auto"/>
                <w:sz w:val="21"/>
                <w:szCs w:val="21"/>
              </w:rPr>
            </w:pPr>
            <w:r>
              <w:rPr>
                <w:rFonts w:ascii="Times New Roman" w:hAnsi="Times New Roman" w:eastAsia="仿宋" w:cs="Times New Roman"/>
                <w:bCs/>
                <w:color w:val="auto"/>
                <w:sz w:val="21"/>
                <w:szCs w:val="21"/>
              </w:rPr>
              <w:t>占投资比例（%）</w:t>
            </w:r>
          </w:p>
        </w:tc>
      </w:tr>
      <w:tr w14:paraId="5F94FDA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0" w:hRule="atLeast"/>
        </w:trPr>
        <w:tc>
          <w:tcPr>
            <w:tcW w:w="441" w:type="pct"/>
            <w:vAlign w:val="center"/>
          </w:tcPr>
          <w:p w14:paraId="54072948">
            <w:pPr>
              <w:widowControl/>
              <w:snapToGrid w:val="0"/>
              <w:spacing w:line="240" w:lineRule="auto"/>
              <w:jc w:val="center"/>
              <w:textAlignment w:val="center"/>
              <w:rPr>
                <w:rFonts w:ascii="Times New Roman" w:hAnsi="Times New Roman" w:eastAsia="仿宋" w:cs="Times New Roman"/>
                <w:color w:val="auto"/>
                <w:kern w:val="0"/>
                <w:sz w:val="22"/>
                <w:lang w:bidi="ar"/>
              </w:rPr>
            </w:pPr>
            <w:r>
              <w:rPr>
                <w:rFonts w:ascii="Times New Roman" w:hAnsi="Times New Roman" w:eastAsia="仿宋" w:cs="Times New Roman"/>
                <w:color w:val="auto"/>
                <w:kern w:val="0"/>
                <w:sz w:val="22"/>
                <w:lang w:bidi="ar"/>
              </w:rPr>
              <w:t>1</w:t>
            </w:r>
          </w:p>
        </w:tc>
        <w:tc>
          <w:tcPr>
            <w:tcW w:w="1092" w:type="pct"/>
            <w:vAlign w:val="center"/>
          </w:tcPr>
          <w:p w14:paraId="0939D86C">
            <w:pPr>
              <w:widowControl/>
              <w:snapToGrid w:val="0"/>
              <w:spacing w:line="240" w:lineRule="auto"/>
              <w:jc w:val="center"/>
              <w:textAlignment w:val="center"/>
              <w:rPr>
                <w:rFonts w:ascii="Times New Roman" w:hAnsi="Times New Roman" w:eastAsia="仿宋" w:cs="Times New Roman"/>
                <w:color w:val="auto"/>
                <w:kern w:val="0"/>
                <w:sz w:val="22"/>
                <w:lang w:bidi="ar"/>
              </w:rPr>
            </w:pPr>
            <w:r>
              <w:rPr>
                <w:rFonts w:ascii="Times New Roman" w:hAnsi="Times New Roman" w:eastAsia="仿宋" w:cs="Times New Roman"/>
                <w:color w:val="auto"/>
                <w:kern w:val="0"/>
                <w:sz w:val="22"/>
                <w:lang w:bidi="ar"/>
              </w:rPr>
              <w:t>生态制度</w:t>
            </w:r>
          </w:p>
        </w:tc>
        <w:tc>
          <w:tcPr>
            <w:tcW w:w="1423" w:type="dxa"/>
            <w:vAlign w:val="center"/>
          </w:tcPr>
          <w:p w14:paraId="7EA78713">
            <w:pPr>
              <w:widowControl/>
              <w:snapToGrid w:val="0"/>
              <w:spacing w:line="240" w:lineRule="auto"/>
              <w:jc w:val="center"/>
              <w:textAlignment w:val="center"/>
              <w:rPr>
                <w:rFonts w:hint="eastAsia" w:ascii="Times New Roman" w:hAnsi="Times New Roman" w:eastAsia="仿宋" w:cs="Times New Roman"/>
                <w:color w:val="auto"/>
                <w:kern w:val="0"/>
                <w:sz w:val="22"/>
                <w:lang w:val="en-US" w:eastAsia="zh-CN" w:bidi="ar"/>
              </w:rPr>
            </w:pPr>
            <w:r>
              <w:rPr>
                <w:rFonts w:hint="default" w:ascii="Times New Roman" w:hAnsi="Times New Roman" w:eastAsia="仿宋" w:cs="Times New Roman"/>
                <w:color w:val="auto"/>
                <w:kern w:val="0"/>
                <w:sz w:val="22"/>
                <w:lang w:val="en-US" w:eastAsia="zh-CN" w:bidi="ar"/>
              </w:rPr>
              <w:t>2</w:t>
            </w:r>
          </w:p>
        </w:tc>
        <w:tc>
          <w:tcPr>
            <w:tcW w:w="2212" w:type="dxa"/>
            <w:vAlign w:val="center"/>
          </w:tcPr>
          <w:p w14:paraId="0F9C9241">
            <w:pPr>
              <w:widowControl/>
              <w:snapToGrid w:val="0"/>
              <w:spacing w:line="240" w:lineRule="auto"/>
              <w:jc w:val="center"/>
              <w:textAlignment w:val="center"/>
              <w:rPr>
                <w:rFonts w:ascii="Times New Roman" w:hAnsi="Times New Roman" w:eastAsia="仿宋" w:cs="Times New Roman"/>
                <w:color w:val="auto"/>
                <w:kern w:val="0"/>
                <w:sz w:val="22"/>
                <w:lang w:bidi="ar"/>
              </w:rPr>
            </w:pPr>
            <w:r>
              <w:rPr>
                <w:rFonts w:hint="default" w:ascii="Times New Roman" w:hAnsi="Times New Roman" w:eastAsia="仿宋" w:cs="Times New Roman"/>
                <w:color w:val="auto"/>
                <w:kern w:val="0"/>
                <w:sz w:val="22"/>
                <w:lang w:val="en-US" w:eastAsia="zh-CN" w:bidi="ar"/>
              </w:rPr>
              <w:t>130</w:t>
            </w:r>
          </w:p>
        </w:tc>
        <w:tc>
          <w:tcPr>
            <w:tcW w:w="2770" w:type="dxa"/>
            <w:vAlign w:val="center"/>
          </w:tcPr>
          <w:p w14:paraId="02702F45">
            <w:pPr>
              <w:widowControl/>
              <w:snapToGrid w:val="0"/>
              <w:spacing w:line="240" w:lineRule="auto"/>
              <w:jc w:val="center"/>
              <w:textAlignment w:val="center"/>
              <w:rPr>
                <w:rFonts w:ascii="Times New Roman" w:hAnsi="Times New Roman" w:eastAsia="仿宋" w:cs="Times New Roman"/>
                <w:color w:val="auto"/>
                <w:kern w:val="0"/>
                <w:sz w:val="22"/>
                <w:lang w:bidi="ar"/>
              </w:rPr>
            </w:pPr>
            <w:r>
              <w:rPr>
                <w:rFonts w:hint="default" w:ascii="Times New Roman" w:hAnsi="Times New Roman" w:eastAsia="仿宋" w:cs="Times New Roman"/>
                <w:color w:val="auto"/>
                <w:kern w:val="0"/>
                <w:sz w:val="22"/>
                <w:lang w:val="en-US" w:eastAsia="zh-CN" w:bidi="ar"/>
              </w:rPr>
              <w:t>0.01%</w:t>
            </w:r>
          </w:p>
        </w:tc>
      </w:tr>
      <w:tr w14:paraId="6CFE70B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0" w:hRule="atLeast"/>
        </w:trPr>
        <w:tc>
          <w:tcPr>
            <w:tcW w:w="441" w:type="pct"/>
            <w:vAlign w:val="center"/>
          </w:tcPr>
          <w:p w14:paraId="38FF6BF8">
            <w:pPr>
              <w:widowControl/>
              <w:snapToGrid w:val="0"/>
              <w:spacing w:line="240" w:lineRule="auto"/>
              <w:jc w:val="center"/>
              <w:textAlignment w:val="center"/>
              <w:rPr>
                <w:rFonts w:ascii="Times New Roman" w:hAnsi="Times New Roman" w:eastAsia="仿宋" w:cs="Times New Roman"/>
                <w:color w:val="auto"/>
                <w:kern w:val="0"/>
                <w:sz w:val="22"/>
                <w:lang w:bidi="ar"/>
              </w:rPr>
            </w:pPr>
            <w:r>
              <w:rPr>
                <w:rFonts w:ascii="Times New Roman" w:hAnsi="Times New Roman" w:eastAsia="仿宋" w:cs="Times New Roman"/>
                <w:color w:val="auto"/>
                <w:kern w:val="0"/>
                <w:sz w:val="22"/>
                <w:lang w:bidi="ar"/>
              </w:rPr>
              <w:t>2</w:t>
            </w:r>
          </w:p>
        </w:tc>
        <w:tc>
          <w:tcPr>
            <w:tcW w:w="1092" w:type="pct"/>
            <w:vAlign w:val="center"/>
          </w:tcPr>
          <w:p w14:paraId="3E3A9AFC">
            <w:pPr>
              <w:widowControl/>
              <w:snapToGrid w:val="0"/>
              <w:spacing w:line="240" w:lineRule="auto"/>
              <w:jc w:val="center"/>
              <w:textAlignment w:val="center"/>
              <w:rPr>
                <w:rFonts w:ascii="Times New Roman" w:hAnsi="Times New Roman" w:eastAsia="仿宋" w:cs="Times New Roman"/>
                <w:color w:val="auto"/>
                <w:kern w:val="0"/>
                <w:sz w:val="22"/>
                <w:lang w:bidi="ar"/>
              </w:rPr>
            </w:pPr>
            <w:r>
              <w:rPr>
                <w:rFonts w:ascii="Times New Roman" w:hAnsi="Times New Roman" w:eastAsia="仿宋" w:cs="Times New Roman"/>
                <w:color w:val="auto"/>
                <w:kern w:val="0"/>
                <w:sz w:val="22"/>
                <w:lang w:bidi="ar"/>
              </w:rPr>
              <w:t>生态安全</w:t>
            </w:r>
          </w:p>
        </w:tc>
        <w:tc>
          <w:tcPr>
            <w:tcW w:w="1423" w:type="dxa"/>
            <w:vAlign w:val="center"/>
          </w:tcPr>
          <w:p w14:paraId="6B1D1B8A">
            <w:pPr>
              <w:widowControl/>
              <w:snapToGrid w:val="0"/>
              <w:spacing w:line="240" w:lineRule="auto"/>
              <w:jc w:val="center"/>
              <w:textAlignment w:val="center"/>
              <w:rPr>
                <w:rFonts w:ascii="Times New Roman" w:hAnsi="Times New Roman" w:eastAsia="仿宋" w:cs="Times New Roman"/>
                <w:color w:val="auto"/>
                <w:kern w:val="0"/>
                <w:sz w:val="22"/>
                <w:lang w:bidi="ar"/>
              </w:rPr>
            </w:pPr>
            <w:r>
              <w:rPr>
                <w:rFonts w:hint="default" w:ascii="Times New Roman" w:hAnsi="Times New Roman" w:eastAsia="仿宋" w:cs="Times New Roman"/>
                <w:color w:val="auto"/>
                <w:kern w:val="0"/>
                <w:sz w:val="22"/>
                <w:lang w:val="en-US" w:eastAsia="zh-CN" w:bidi="ar"/>
              </w:rPr>
              <w:t>7</w:t>
            </w:r>
          </w:p>
        </w:tc>
        <w:tc>
          <w:tcPr>
            <w:tcW w:w="2212" w:type="dxa"/>
            <w:vAlign w:val="center"/>
          </w:tcPr>
          <w:p w14:paraId="7902CF7E">
            <w:pPr>
              <w:widowControl/>
              <w:snapToGrid w:val="0"/>
              <w:spacing w:line="240" w:lineRule="auto"/>
              <w:jc w:val="center"/>
              <w:textAlignment w:val="center"/>
              <w:rPr>
                <w:rFonts w:ascii="Times New Roman" w:hAnsi="Times New Roman" w:eastAsia="仿宋" w:cs="Times New Roman"/>
                <w:color w:val="auto"/>
                <w:kern w:val="0"/>
                <w:sz w:val="22"/>
                <w:lang w:bidi="ar"/>
              </w:rPr>
            </w:pPr>
            <w:r>
              <w:rPr>
                <w:rFonts w:hint="default" w:ascii="Times New Roman" w:hAnsi="Times New Roman" w:eastAsia="仿宋" w:cs="Times New Roman"/>
                <w:color w:val="auto"/>
                <w:kern w:val="0"/>
                <w:sz w:val="22"/>
                <w:lang w:val="en-US" w:eastAsia="zh-CN" w:bidi="ar"/>
              </w:rPr>
              <w:t>48082</w:t>
            </w:r>
          </w:p>
        </w:tc>
        <w:tc>
          <w:tcPr>
            <w:tcW w:w="2770" w:type="dxa"/>
            <w:vAlign w:val="center"/>
          </w:tcPr>
          <w:p w14:paraId="0572EF78">
            <w:pPr>
              <w:widowControl/>
              <w:snapToGrid w:val="0"/>
              <w:spacing w:line="240" w:lineRule="auto"/>
              <w:jc w:val="center"/>
              <w:textAlignment w:val="center"/>
              <w:rPr>
                <w:rFonts w:ascii="Times New Roman" w:hAnsi="Times New Roman" w:eastAsia="仿宋" w:cs="Times New Roman"/>
                <w:color w:val="auto"/>
                <w:kern w:val="0"/>
                <w:sz w:val="22"/>
                <w:lang w:bidi="ar"/>
              </w:rPr>
            </w:pPr>
            <w:r>
              <w:rPr>
                <w:rFonts w:hint="default" w:ascii="Times New Roman" w:hAnsi="Times New Roman" w:eastAsia="仿宋" w:cs="Times New Roman"/>
                <w:color w:val="auto"/>
                <w:kern w:val="0"/>
                <w:sz w:val="22"/>
                <w:lang w:val="en-US" w:eastAsia="zh-CN" w:bidi="ar"/>
              </w:rPr>
              <w:t>14.68%</w:t>
            </w:r>
          </w:p>
        </w:tc>
      </w:tr>
      <w:tr w14:paraId="65FA1F6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trPr>
        <w:tc>
          <w:tcPr>
            <w:tcW w:w="441" w:type="pct"/>
            <w:vAlign w:val="center"/>
          </w:tcPr>
          <w:p w14:paraId="054235DB">
            <w:pPr>
              <w:widowControl/>
              <w:snapToGrid w:val="0"/>
              <w:spacing w:line="240" w:lineRule="auto"/>
              <w:jc w:val="center"/>
              <w:textAlignment w:val="center"/>
              <w:rPr>
                <w:rFonts w:ascii="Times New Roman" w:hAnsi="Times New Roman" w:eastAsia="仿宋" w:cs="Times New Roman"/>
                <w:color w:val="auto"/>
                <w:kern w:val="0"/>
                <w:sz w:val="22"/>
                <w:lang w:bidi="ar"/>
              </w:rPr>
            </w:pPr>
            <w:r>
              <w:rPr>
                <w:rFonts w:ascii="Times New Roman" w:hAnsi="Times New Roman" w:eastAsia="仿宋" w:cs="Times New Roman"/>
                <w:color w:val="auto"/>
                <w:kern w:val="0"/>
                <w:sz w:val="22"/>
                <w:lang w:bidi="ar"/>
              </w:rPr>
              <w:t>3</w:t>
            </w:r>
          </w:p>
        </w:tc>
        <w:tc>
          <w:tcPr>
            <w:tcW w:w="1092" w:type="pct"/>
            <w:vAlign w:val="center"/>
          </w:tcPr>
          <w:p w14:paraId="0698F4A9">
            <w:pPr>
              <w:widowControl/>
              <w:snapToGrid w:val="0"/>
              <w:spacing w:line="240" w:lineRule="auto"/>
              <w:jc w:val="center"/>
              <w:textAlignment w:val="center"/>
              <w:rPr>
                <w:rFonts w:ascii="Times New Roman" w:hAnsi="Times New Roman" w:eastAsia="仿宋" w:cs="Times New Roman"/>
                <w:color w:val="auto"/>
                <w:kern w:val="0"/>
                <w:sz w:val="22"/>
                <w:lang w:bidi="ar"/>
              </w:rPr>
            </w:pPr>
            <w:r>
              <w:rPr>
                <w:rFonts w:ascii="Times New Roman" w:hAnsi="Times New Roman" w:eastAsia="仿宋" w:cs="Times New Roman"/>
                <w:color w:val="auto"/>
                <w:kern w:val="0"/>
                <w:sz w:val="22"/>
                <w:lang w:bidi="ar"/>
              </w:rPr>
              <w:t>生态空间</w:t>
            </w:r>
          </w:p>
        </w:tc>
        <w:tc>
          <w:tcPr>
            <w:tcW w:w="1423" w:type="dxa"/>
            <w:vAlign w:val="center"/>
          </w:tcPr>
          <w:p w14:paraId="451D3E9F">
            <w:pPr>
              <w:widowControl/>
              <w:snapToGrid w:val="0"/>
              <w:spacing w:line="240" w:lineRule="auto"/>
              <w:jc w:val="center"/>
              <w:textAlignment w:val="center"/>
              <w:rPr>
                <w:rFonts w:ascii="Times New Roman" w:hAnsi="Times New Roman" w:eastAsia="仿宋" w:cs="Times New Roman"/>
                <w:color w:val="auto"/>
                <w:kern w:val="0"/>
                <w:sz w:val="22"/>
                <w:lang w:bidi="ar"/>
              </w:rPr>
            </w:pPr>
            <w:r>
              <w:rPr>
                <w:rFonts w:hint="default" w:ascii="Times New Roman" w:hAnsi="Times New Roman" w:eastAsia="仿宋" w:cs="Times New Roman"/>
                <w:color w:val="auto"/>
                <w:kern w:val="0"/>
                <w:sz w:val="22"/>
                <w:lang w:val="en-US" w:eastAsia="zh-CN" w:bidi="ar"/>
              </w:rPr>
              <w:t>5</w:t>
            </w:r>
          </w:p>
        </w:tc>
        <w:tc>
          <w:tcPr>
            <w:tcW w:w="2212" w:type="dxa"/>
            <w:vAlign w:val="center"/>
          </w:tcPr>
          <w:p w14:paraId="3597EC68">
            <w:pPr>
              <w:widowControl/>
              <w:snapToGrid w:val="0"/>
              <w:spacing w:line="240" w:lineRule="auto"/>
              <w:jc w:val="center"/>
              <w:textAlignment w:val="center"/>
              <w:rPr>
                <w:rFonts w:ascii="Times New Roman" w:hAnsi="Times New Roman" w:eastAsia="仿宋" w:cs="Times New Roman"/>
                <w:color w:val="auto"/>
                <w:kern w:val="0"/>
                <w:sz w:val="22"/>
                <w:lang w:bidi="ar"/>
              </w:rPr>
            </w:pPr>
            <w:r>
              <w:rPr>
                <w:rFonts w:hint="default" w:ascii="Times New Roman" w:hAnsi="Times New Roman" w:eastAsia="仿宋" w:cs="Times New Roman"/>
                <w:color w:val="auto"/>
                <w:kern w:val="0"/>
                <w:sz w:val="22"/>
                <w:lang w:val="en-US" w:eastAsia="zh-CN" w:bidi="ar"/>
              </w:rPr>
              <w:t>15960</w:t>
            </w:r>
          </w:p>
        </w:tc>
        <w:tc>
          <w:tcPr>
            <w:tcW w:w="2770" w:type="dxa"/>
            <w:vAlign w:val="center"/>
          </w:tcPr>
          <w:p w14:paraId="1FBA808B">
            <w:pPr>
              <w:widowControl/>
              <w:snapToGrid w:val="0"/>
              <w:spacing w:line="240" w:lineRule="auto"/>
              <w:jc w:val="center"/>
              <w:textAlignment w:val="center"/>
              <w:rPr>
                <w:rFonts w:ascii="Times New Roman" w:hAnsi="Times New Roman" w:eastAsia="仿宋" w:cs="Times New Roman"/>
                <w:color w:val="auto"/>
                <w:kern w:val="0"/>
                <w:sz w:val="22"/>
                <w:lang w:bidi="ar"/>
              </w:rPr>
            </w:pPr>
            <w:r>
              <w:rPr>
                <w:rFonts w:hint="default" w:ascii="Times New Roman" w:hAnsi="Times New Roman" w:eastAsia="仿宋" w:cs="Times New Roman"/>
                <w:color w:val="auto"/>
                <w:kern w:val="0"/>
                <w:sz w:val="22"/>
                <w:lang w:val="en-US" w:eastAsia="zh-CN" w:bidi="ar"/>
              </w:rPr>
              <w:t>4.87%</w:t>
            </w:r>
          </w:p>
        </w:tc>
      </w:tr>
      <w:tr w14:paraId="10CDCC6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trPr>
        <w:tc>
          <w:tcPr>
            <w:tcW w:w="441" w:type="pct"/>
            <w:vAlign w:val="center"/>
          </w:tcPr>
          <w:p w14:paraId="7351A254">
            <w:pPr>
              <w:widowControl/>
              <w:snapToGrid w:val="0"/>
              <w:spacing w:line="240" w:lineRule="auto"/>
              <w:jc w:val="center"/>
              <w:textAlignment w:val="center"/>
              <w:rPr>
                <w:rFonts w:ascii="Times New Roman" w:hAnsi="Times New Roman" w:eastAsia="仿宋" w:cs="Times New Roman"/>
                <w:color w:val="auto"/>
                <w:kern w:val="0"/>
                <w:sz w:val="22"/>
                <w:lang w:bidi="ar"/>
              </w:rPr>
            </w:pPr>
            <w:r>
              <w:rPr>
                <w:rFonts w:ascii="Times New Roman" w:hAnsi="Times New Roman" w:eastAsia="仿宋" w:cs="Times New Roman"/>
                <w:color w:val="auto"/>
                <w:kern w:val="0"/>
                <w:sz w:val="22"/>
                <w:lang w:bidi="ar"/>
              </w:rPr>
              <w:t>4</w:t>
            </w:r>
          </w:p>
        </w:tc>
        <w:tc>
          <w:tcPr>
            <w:tcW w:w="1092" w:type="pct"/>
            <w:vAlign w:val="center"/>
          </w:tcPr>
          <w:p w14:paraId="6D1112AE">
            <w:pPr>
              <w:widowControl/>
              <w:snapToGrid w:val="0"/>
              <w:spacing w:line="240" w:lineRule="auto"/>
              <w:jc w:val="center"/>
              <w:textAlignment w:val="center"/>
              <w:rPr>
                <w:rFonts w:ascii="Times New Roman" w:hAnsi="Times New Roman" w:eastAsia="仿宋" w:cs="Times New Roman"/>
                <w:color w:val="auto"/>
                <w:kern w:val="0"/>
                <w:sz w:val="22"/>
                <w:lang w:bidi="ar"/>
              </w:rPr>
            </w:pPr>
            <w:r>
              <w:rPr>
                <w:rFonts w:ascii="Times New Roman" w:hAnsi="Times New Roman" w:eastAsia="仿宋" w:cs="Times New Roman"/>
                <w:color w:val="auto"/>
                <w:kern w:val="0"/>
                <w:sz w:val="22"/>
                <w:lang w:bidi="ar"/>
              </w:rPr>
              <w:t>生态经济</w:t>
            </w:r>
          </w:p>
        </w:tc>
        <w:tc>
          <w:tcPr>
            <w:tcW w:w="1423" w:type="dxa"/>
            <w:vAlign w:val="center"/>
          </w:tcPr>
          <w:p w14:paraId="06893388">
            <w:pPr>
              <w:widowControl/>
              <w:snapToGrid w:val="0"/>
              <w:spacing w:line="240" w:lineRule="auto"/>
              <w:jc w:val="center"/>
              <w:textAlignment w:val="center"/>
              <w:rPr>
                <w:rFonts w:ascii="Times New Roman" w:hAnsi="Times New Roman" w:eastAsia="仿宋" w:cs="Times New Roman"/>
                <w:color w:val="auto"/>
                <w:kern w:val="0"/>
                <w:sz w:val="22"/>
                <w:lang w:bidi="ar"/>
              </w:rPr>
            </w:pPr>
            <w:r>
              <w:rPr>
                <w:rFonts w:hint="default" w:ascii="Times New Roman" w:hAnsi="Times New Roman" w:eastAsia="仿宋" w:cs="Times New Roman"/>
                <w:color w:val="auto"/>
                <w:kern w:val="0"/>
                <w:sz w:val="22"/>
                <w:lang w:val="en-US" w:eastAsia="zh-CN" w:bidi="ar"/>
              </w:rPr>
              <w:t>14</w:t>
            </w:r>
          </w:p>
        </w:tc>
        <w:tc>
          <w:tcPr>
            <w:tcW w:w="2212" w:type="dxa"/>
            <w:vAlign w:val="center"/>
          </w:tcPr>
          <w:p w14:paraId="321AEC3E">
            <w:pPr>
              <w:widowControl/>
              <w:snapToGrid w:val="0"/>
              <w:spacing w:line="240" w:lineRule="auto"/>
              <w:jc w:val="center"/>
              <w:textAlignment w:val="center"/>
              <w:rPr>
                <w:rFonts w:ascii="Times New Roman" w:hAnsi="Times New Roman" w:eastAsia="仿宋" w:cs="Times New Roman"/>
                <w:color w:val="auto"/>
                <w:kern w:val="0"/>
                <w:sz w:val="22"/>
                <w:lang w:bidi="ar"/>
              </w:rPr>
            </w:pPr>
            <w:r>
              <w:rPr>
                <w:rFonts w:hint="default" w:ascii="Times New Roman" w:hAnsi="Times New Roman" w:eastAsia="仿宋" w:cs="Times New Roman"/>
                <w:color w:val="auto"/>
                <w:kern w:val="0"/>
                <w:sz w:val="22"/>
                <w:lang w:val="en-US" w:eastAsia="zh-CN" w:bidi="ar"/>
              </w:rPr>
              <w:t>758594</w:t>
            </w:r>
          </w:p>
        </w:tc>
        <w:tc>
          <w:tcPr>
            <w:tcW w:w="2770" w:type="dxa"/>
            <w:vAlign w:val="center"/>
          </w:tcPr>
          <w:p w14:paraId="7F257A9D">
            <w:pPr>
              <w:widowControl/>
              <w:snapToGrid w:val="0"/>
              <w:spacing w:line="240" w:lineRule="auto"/>
              <w:jc w:val="center"/>
              <w:textAlignment w:val="center"/>
              <w:rPr>
                <w:rFonts w:ascii="Times New Roman" w:hAnsi="Times New Roman" w:eastAsia="仿宋" w:cs="Times New Roman"/>
                <w:color w:val="auto"/>
                <w:kern w:val="0"/>
                <w:sz w:val="22"/>
                <w:lang w:bidi="ar"/>
              </w:rPr>
            </w:pPr>
            <w:r>
              <w:rPr>
                <w:rFonts w:hint="default" w:ascii="Times New Roman" w:hAnsi="Times New Roman" w:eastAsia="仿宋" w:cs="Times New Roman"/>
                <w:color w:val="auto"/>
                <w:kern w:val="0"/>
                <w:sz w:val="22"/>
                <w:lang w:val="en-US" w:eastAsia="zh-CN" w:bidi="ar"/>
              </w:rPr>
              <w:t>231.67%</w:t>
            </w:r>
          </w:p>
        </w:tc>
      </w:tr>
      <w:tr w14:paraId="59B31A1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0" w:hRule="atLeast"/>
        </w:trPr>
        <w:tc>
          <w:tcPr>
            <w:tcW w:w="441" w:type="pct"/>
            <w:vAlign w:val="center"/>
          </w:tcPr>
          <w:p w14:paraId="0383A786">
            <w:pPr>
              <w:widowControl/>
              <w:snapToGrid w:val="0"/>
              <w:spacing w:line="240" w:lineRule="auto"/>
              <w:jc w:val="center"/>
              <w:textAlignment w:val="center"/>
              <w:rPr>
                <w:rFonts w:ascii="Times New Roman" w:hAnsi="Times New Roman" w:eastAsia="仿宋" w:cs="Times New Roman"/>
                <w:color w:val="auto"/>
                <w:kern w:val="0"/>
                <w:sz w:val="22"/>
                <w:lang w:bidi="ar"/>
              </w:rPr>
            </w:pPr>
            <w:r>
              <w:rPr>
                <w:rFonts w:ascii="Times New Roman" w:hAnsi="Times New Roman" w:eastAsia="仿宋" w:cs="Times New Roman"/>
                <w:color w:val="auto"/>
                <w:kern w:val="0"/>
                <w:sz w:val="22"/>
                <w:lang w:bidi="ar"/>
              </w:rPr>
              <w:t>5</w:t>
            </w:r>
          </w:p>
        </w:tc>
        <w:tc>
          <w:tcPr>
            <w:tcW w:w="1092" w:type="pct"/>
            <w:vAlign w:val="center"/>
          </w:tcPr>
          <w:p w14:paraId="6AD8D3EC">
            <w:pPr>
              <w:widowControl/>
              <w:snapToGrid w:val="0"/>
              <w:spacing w:line="240" w:lineRule="auto"/>
              <w:jc w:val="center"/>
              <w:textAlignment w:val="center"/>
              <w:rPr>
                <w:rFonts w:ascii="Times New Roman" w:hAnsi="Times New Roman" w:eastAsia="仿宋" w:cs="Times New Roman"/>
                <w:color w:val="auto"/>
                <w:kern w:val="0"/>
                <w:sz w:val="22"/>
                <w:lang w:bidi="ar"/>
              </w:rPr>
            </w:pPr>
            <w:r>
              <w:rPr>
                <w:rFonts w:ascii="Times New Roman" w:hAnsi="Times New Roman" w:eastAsia="仿宋" w:cs="Times New Roman"/>
                <w:color w:val="auto"/>
                <w:kern w:val="0"/>
                <w:sz w:val="22"/>
                <w:lang w:bidi="ar"/>
              </w:rPr>
              <w:t>生态生活</w:t>
            </w:r>
          </w:p>
        </w:tc>
        <w:tc>
          <w:tcPr>
            <w:tcW w:w="1423" w:type="dxa"/>
            <w:vAlign w:val="center"/>
          </w:tcPr>
          <w:p w14:paraId="56C9996A">
            <w:pPr>
              <w:widowControl/>
              <w:snapToGrid w:val="0"/>
              <w:spacing w:line="240" w:lineRule="auto"/>
              <w:jc w:val="center"/>
              <w:textAlignment w:val="center"/>
              <w:rPr>
                <w:rFonts w:ascii="Times New Roman" w:hAnsi="Times New Roman" w:eastAsia="仿宋" w:cs="Times New Roman"/>
                <w:color w:val="auto"/>
                <w:kern w:val="0"/>
                <w:sz w:val="22"/>
                <w:lang w:bidi="ar"/>
              </w:rPr>
            </w:pPr>
            <w:r>
              <w:rPr>
                <w:rFonts w:hint="default" w:ascii="Times New Roman" w:hAnsi="Times New Roman" w:eastAsia="仿宋" w:cs="Times New Roman"/>
                <w:color w:val="auto"/>
                <w:kern w:val="0"/>
                <w:sz w:val="22"/>
                <w:lang w:val="en-US" w:eastAsia="zh-CN" w:bidi="ar"/>
              </w:rPr>
              <w:t>11</w:t>
            </w:r>
          </w:p>
        </w:tc>
        <w:tc>
          <w:tcPr>
            <w:tcW w:w="2212" w:type="dxa"/>
            <w:vAlign w:val="center"/>
          </w:tcPr>
          <w:p w14:paraId="42A9B554">
            <w:pPr>
              <w:widowControl/>
              <w:snapToGrid w:val="0"/>
              <w:spacing w:line="240" w:lineRule="auto"/>
              <w:jc w:val="center"/>
              <w:textAlignment w:val="center"/>
              <w:rPr>
                <w:rFonts w:ascii="Times New Roman" w:hAnsi="Times New Roman" w:eastAsia="仿宋" w:cs="Times New Roman"/>
                <w:color w:val="auto"/>
                <w:kern w:val="0"/>
                <w:sz w:val="22"/>
                <w:lang w:bidi="ar"/>
              </w:rPr>
            </w:pPr>
            <w:r>
              <w:rPr>
                <w:rFonts w:hint="default" w:ascii="Times New Roman" w:hAnsi="Times New Roman" w:eastAsia="仿宋" w:cs="Times New Roman"/>
                <w:color w:val="auto"/>
                <w:kern w:val="0"/>
                <w:sz w:val="22"/>
                <w:lang w:val="en-US" w:eastAsia="zh-CN" w:bidi="ar"/>
              </w:rPr>
              <w:t>296107</w:t>
            </w:r>
          </w:p>
        </w:tc>
        <w:tc>
          <w:tcPr>
            <w:tcW w:w="2770" w:type="dxa"/>
            <w:vAlign w:val="center"/>
          </w:tcPr>
          <w:p w14:paraId="799877C8">
            <w:pPr>
              <w:widowControl/>
              <w:snapToGrid w:val="0"/>
              <w:spacing w:line="240" w:lineRule="auto"/>
              <w:jc w:val="center"/>
              <w:textAlignment w:val="center"/>
              <w:rPr>
                <w:rFonts w:ascii="Times New Roman" w:hAnsi="Times New Roman" w:eastAsia="仿宋" w:cs="Times New Roman"/>
                <w:color w:val="auto"/>
                <w:kern w:val="0"/>
                <w:sz w:val="22"/>
                <w:lang w:bidi="ar"/>
              </w:rPr>
            </w:pPr>
            <w:r>
              <w:rPr>
                <w:rFonts w:hint="default" w:ascii="Times New Roman" w:hAnsi="Times New Roman" w:eastAsia="仿宋" w:cs="Times New Roman"/>
                <w:color w:val="auto"/>
                <w:kern w:val="0"/>
                <w:sz w:val="22"/>
                <w:lang w:val="en-US" w:eastAsia="zh-CN" w:bidi="ar"/>
              </w:rPr>
              <w:t>90.43%</w:t>
            </w:r>
          </w:p>
        </w:tc>
      </w:tr>
      <w:tr w14:paraId="6CA545E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8" w:hRule="atLeast"/>
        </w:trPr>
        <w:tc>
          <w:tcPr>
            <w:tcW w:w="441" w:type="pct"/>
            <w:vAlign w:val="center"/>
          </w:tcPr>
          <w:p w14:paraId="072AAE75">
            <w:pPr>
              <w:widowControl/>
              <w:snapToGrid w:val="0"/>
              <w:spacing w:line="240" w:lineRule="auto"/>
              <w:jc w:val="center"/>
              <w:textAlignment w:val="center"/>
              <w:rPr>
                <w:rFonts w:ascii="Times New Roman" w:hAnsi="Times New Roman" w:eastAsia="仿宋" w:cs="Times New Roman"/>
                <w:color w:val="auto"/>
                <w:kern w:val="0"/>
                <w:sz w:val="22"/>
                <w:lang w:bidi="ar"/>
              </w:rPr>
            </w:pPr>
            <w:r>
              <w:rPr>
                <w:rFonts w:ascii="Times New Roman" w:hAnsi="Times New Roman" w:eastAsia="仿宋" w:cs="Times New Roman"/>
                <w:color w:val="auto"/>
                <w:kern w:val="0"/>
                <w:sz w:val="22"/>
                <w:lang w:bidi="ar"/>
              </w:rPr>
              <w:t>6</w:t>
            </w:r>
          </w:p>
        </w:tc>
        <w:tc>
          <w:tcPr>
            <w:tcW w:w="1092" w:type="pct"/>
            <w:vAlign w:val="center"/>
          </w:tcPr>
          <w:p w14:paraId="376B0885">
            <w:pPr>
              <w:widowControl/>
              <w:snapToGrid w:val="0"/>
              <w:spacing w:line="240" w:lineRule="auto"/>
              <w:jc w:val="center"/>
              <w:textAlignment w:val="center"/>
              <w:rPr>
                <w:rFonts w:ascii="Times New Roman" w:hAnsi="Times New Roman" w:eastAsia="仿宋" w:cs="Times New Roman"/>
                <w:color w:val="auto"/>
                <w:kern w:val="0"/>
                <w:sz w:val="22"/>
                <w:lang w:bidi="ar"/>
              </w:rPr>
            </w:pPr>
            <w:r>
              <w:rPr>
                <w:rFonts w:ascii="Times New Roman" w:hAnsi="Times New Roman" w:eastAsia="仿宋" w:cs="Times New Roman"/>
                <w:color w:val="auto"/>
                <w:kern w:val="0"/>
                <w:sz w:val="22"/>
                <w:lang w:bidi="ar"/>
              </w:rPr>
              <w:t>生态文化</w:t>
            </w:r>
          </w:p>
        </w:tc>
        <w:tc>
          <w:tcPr>
            <w:tcW w:w="1423" w:type="dxa"/>
            <w:vAlign w:val="center"/>
          </w:tcPr>
          <w:p w14:paraId="4C2CD0A3">
            <w:pPr>
              <w:widowControl/>
              <w:snapToGrid w:val="0"/>
              <w:spacing w:line="240" w:lineRule="auto"/>
              <w:jc w:val="center"/>
              <w:textAlignment w:val="center"/>
              <w:rPr>
                <w:rFonts w:ascii="Times New Roman" w:hAnsi="Times New Roman" w:eastAsia="仿宋" w:cs="Times New Roman"/>
                <w:color w:val="auto"/>
                <w:kern w:val="0"/>
                <w:sz w:val="22"/>
                <w:lang w:bidi="ar"/>
              </w:rPr>
            </w:pPr>
            <w:r>
              <w:rPr>
                <w:rFonts w:hint="default" w:ascii="Times New Roman" w:hAnsi="Times New Roman" w:eastAsia="仿宋" w:cs="Times New Roman"/>
                <w:color w:val="auto"/>
                <w:kern w:val="0"/>
                <w:sz w:val="22"/>
                <w:lang w:val="en-US" w:eastAsia="zh-CN" w:bidi="ar"/>
              </w:rPr>
              <w:t>4</w:t>
            </w:r>
          </w:p>
        </w:tc>
        <w:tc>
          <w:tcPr>
            <w:tcW w:w="2212" w:type="dxa"/>
            <w:vAlign w:val="center"/>
          </w:tcPr>
          <w:p w14:paraId="686FADF6">
            <w:pPr>
              <w:widowControl/>
              <w:snapToGrid w:val="0"/>
              <w:spacing w:line="240" w:lineRule="auto"/>
              <w:jc w:val="center"/>
              <w:textAlignment w:val="center"/>
              <w:rPr>
                <w:rFonts w:ascii="Times New Roman" w:hAnsi="Times New Roman" w:eastAsia="仿宋" w:cs="Times New Roman"/>
                <w:color w:val="auto"/>
                <w:kern w:val="0"/>
                <w:sz w:val="22"/>
                <w:lang w:bidi="ar"/>
              </w:rPr>
            </w:pPr>
            <w:r>
              <w:rPr>
                <w:rFonts w:hint="default" w:ascii="Times New Roman" w:hAnsi="Times New Roman" w:eastAsia="仿宋" w:cs="Times New Roman"/>
                <w:color w:val="auto"/>
                <w:kern w:val="0"/>
                <w:sz w:val="22"/>
                <w:lang w:val="en-US" w:eastAsia="zh-CN" w:bidi="ar"/>
              </w:rPr>
              <w:t>1120</w:t>
            </w:r>
          </w:p>
        </w:tc>
        <w:tc>
          <w:tcPr>
            <w:tcW w:w="2770" w:type="dxa"/>
            <w:vAlign w:val="center"/>
          </w:tcPr>
          <w:p w14:paraId="5050DA36">
            <w:pPr>
              <w:widowControl/>
              <w:snapToGrid w:val="0"/>
              <w:spacing w:line="240" w:lineRule="auto"/>
              <w:jc w:val="center"/>
              <w:textAlignment w:val="center"/>
              <w:rPr>
                <w:rFonts w:ascii="Times New Roman" w:hAnsi="Times New Roman" w:eastAsia="仿宋" w:cs="Times New Roman"/>
                <w:color w:val="auto"/>
                <w:kern w:val="0"/>
                <w:sz w:val="22"/>
                <w:lang w:bidi="ar"/>
              </w:rPr>
            </w:pPr>
            <w:r>
              <w:rPr>
                <w:rFonts w:hint="default" w:ascii="Times New Roman" w:hAnsi="Times New Roman" w:eastAsia="仿宋" w:cs="Times New Roman"/>
                <w:color w:val="auto"/>
                <w:kern w:val="0"/>
                <w:sz w:val="22"/>
                <w:lang w:val="en-US" w:eastAsia="zh-CN" w:bidi="ar"/>
              </w:rPr>
              <w:t>0.34%</w:t>
            </w:r>
          </w:p>
        </w:tc>
      </w:tr>
      <w:tr w14:paraId="6B941BA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0" w:hRule="atLeast"/>
        </w:trPr>
        <w:tc>
          <w:tcPr>
            <w:tcW w:w="441" w:type="pct"/>
            <w:vAlign w:val="center"/>
          </w:tcPr>
          <w:p w14:paraId="0E0FA0AD">
            <w:pPr>
              <w:widowControl/>
              <w:snapToGrid w:val="0"/>
              <w:spacing w:line="240" w:lineRule="auto"/>
              <w:jc w:val="center"/>
              <w:textAlignment w:val="center"/>
              <w:rPr>
                <w:rFonts w:ascii="Times New Roman" w:hAnsi="Times New Roman" w:eastAsia="仿宋" w:cs="Times New Roman"/>
                <w:color w:val="auto"/>
                <w:kern w:val="0"/>
                <w:sz w:val="22"/>
                <w:lang w:bidi="ar"/>
              </w:rPr>
            </w:pPr>
            <w:r>
              <w:rPr>
                <w:rFonts w:ascii="Times New Roman" w:hAnsi="Times New Roman" w:eastAsia="仿宋" w:cs="Times New Roman"/>
                <w:color w:val="auto"/>
                <w:kern w:val="0"/>
                <w:sz w:val="22"/>
                <w:lang w:bidi="ar"/>
              </w:rPr>
              <w:t>合计</w:t>
            </w:r>
          </w:p>
        </w:tc>
        <w:tc>
          <w:tcPr>
            <w:tcW w:w="1092" w:type="pct"/>
            <w:vAlign w:val="center"/>
          </w:tcPr>
          <w:p w14:paraId="54010A34">
            <w:pPr>
              <w:widowControl/>
              <w:snapToGrid w:val="0"/>
              <w:spacing w:line="240" w:lineRule="auto"/>
              <w:jc w:val="center"/>
              <w:textAlignment w:val="center"/>
              <w:rPr>
                <w:rFonts w:ascii="Times New Roman" w:hAnsi="Times New Roman" w:eastAsia="仿宋" w:cs="Times New Roman"/>
                <w:color w:val="auto"/>
                <w:kern w:val="0"/>
                <w:sz w:val="22"/>
                <w:lang w:bidi="ar"/>
              </w:rPr>
            </w:pPr>
            <w:r>
              <w:rPr>
                <w:rFonts w:ascii="Times New Roman" w:hAnsi="Times New Roman" w:eastAsia="仿宋" w:cs="Times New Roman"/>
                <w:color w:val="auto"/>
                <w:kern w:val="0"/>
                <w:sz w:val="22"/>
                <w:lang w:bidi="ar"/>
              </w:rPr>
              <w:t>——</w:t>
            </w:r>
          </w:p>
        </w:tc>
        <w:tc>
          <w:tcPr>
            <w:tcW w:w="1423" w:type="dxa"/>
            <w:vAlign w:val="center"/>
          </w:tcPr>
          <w:p w14:paraId="06BDEB86">
            <w:pPr>
              <w:widowControl/>
              <w:snapToGrid w:val="0"/>
              <w:spacing w:line="240" w:lineRule="auto"/>
              <w:jc w:val="center"/>
              <w:textAlignment w:val="center"/>
              <w:rPr>
                <w:rFonts w:ascii="Times New Roman" w:hAnsi="Times New Roman" w:eastAsia="仿宋" w:cs="Times New Roman"/>
                <w:color w:val="auto"/>
                <w:kern w:val="0"/>
                <w:sz w:val="22"/>
                <w:lang w:bidi="ar"/>
              </w:rPr>
            </w:pPr>
            <w:r>
              <w:rPr>
                <w:rFonts w:hint="default" w:ascii="Times New Roman" w:hAnsi="Times New Roman" w:eastAsia="仿宋" w:cs="Times New Roman"/>
                <w:color w:val="auto"/>
                <w:kern w:val="0"/>
                <w:sz w:val="22"/>
                <w:lang w:val="en-US" w:eastAsia="zh-CN" w:bidi="ar"/>
              </w:rPr>
              <w:t>43</w:t>
            </w:r>
          </w:p>
        </w:tc>
        <w:tc>
          <w:tcPr>
            <w:tcW w:w="2212" w:type="dxa"/>
            <w:vAlign w:val="center"/>
          </w:tcPr>
          <w:p w14:paraId="05043FF7">
            <w:pPr>
              <w:widowControl/>
              <w:snapToGrid w:val="0"/>
              <w:spacing w:line="240" w:lineRule="auto"/>
              <w:jc w:val="center"/>
              <w:textAlignment w:val="center"/>
              <w:rPr>
                <w:rFonts w:ascii="Times New Roman" w:hAnsi="Times New Roman" w:eastAsia="仿宋" w:cs="Times New Roman"/>
                <w:color w:val="auto"/>
                <w:kern w:val="0"/>
                <w:sz w:val="22"/>
                <w:lang w:bidi="ar"/>
              </w:rPr>
            </w:pPr>
            <w:r>
              <w:rPr>
                <w:rFonts w:hint="default" w:ascii="Times New Roman" w:hAnsi="Times New Roman" w:eastAsia="仿宋" w:cs="Times New Roman"/>
                <w:color w:val="auto"/>
                <w:kern w:val="0"/>
                <w:sz w:val="22"/>
                <w:lang w:val="en-US" w:eastAsia="zh-CN" w:bidi="ar"/>
              </w:rPr>
              <w:t>1119993</w:t>
            </w:r>
          </w:p>
        </w:tc>
        <w:tc>
          <w:tcPr>
            <w:tcW w:w="2770" w:type="dxa"/>
            <w:vAlign w:val="center"/>
          </w:tcPr>
          <w:p w14:paraId="206277FE">
            <w:pPr>
              <w:widowControl/>
              <w:snapToGrid w:val="0"/>
              <w:spacing w:line="240" w:lineRule="auto"/>
              <w:jc w:val="center"/>
              <w:textAlignment w:val="center"/>
              <w:rPr>
                <w:rFonts w:ascii="Times New Roman" w:hAnsi="Times New Roman" w:eastAsia="仿宋" w:cs="Times New Roman"/>
                <w:color w:val="auto"/>
                <w:kern w:val="0"/>
                <w:sz w:val="22"/>
                <w:lang w:bidi="ar"/>
              </w:rPr>
            </w:pPr>
            <w:r>
              <w:rPr>
                <w:rFonts w:hint="default" w:ascii="Times New Roman" w:hAnsi="Times New Roman" w:eastAsia="仿宋" w:cs="Times New Roman"/>
                <w:color w:val="auto"/>
                <w:kern w:val="0"/>
                <w:sz w:val="22"/>
                <w:lang w:val="en-US" w:eastAsia="zh-CN" w:bidi="ar"/>
              </w:rPr>
              <w:t>100.00%</w:t>
            </w:r>
          </w:p>
        </w:tc>
      </w:tr>
    </w:tbl>
    <w:p w14:paraId="13E1F67A">
      <w:pPr>
        <w:widowControl/>
        <w:adjustRightInd w:val="0"/>
        <w:snapToGrid w:val="0"/>
        <w:ind w:firstLine="488" w:firstLineChars="200"/>
        <w:rPr>
          <w:rFonts w:ascii="Times New Roman" w:hAnsi="Times New Roman" w:eastAsia="仿宋" w:cs="Times New Roman"/>
          <w:color w:val="auto"/>
          <w:sz w:val="24"/>
        </w:rPr>
      </w:pPr>
    </w:p>
    <w:p w14:paraId="354CF85C">
      <w:pPr>
        <w:keepNext w:val="0"/>
        <w:keepLines w:val="0"/>
        <w:pageBreakBefore w:val="0"/>
        <w:widowControl/>
        <w:kinsoku/>
        <w:wordWrap/>
        <w:overflowPunct/>
        <w:topLinePunct w:val="0"/>
        <w:autoSpaceDE/>
        <w:autoSpaceDN/>
        <w:bidi w:val="0"/>
        <w:adjustRightInd/>
        <w:snapToGrid/>
        <w:spacing w:line="500" w:lineRule="exact"/>
        <w:ind w:firstLine="568" w:firstLineChars="200"/>
        <w:textAlignment w:val="auto"/>
        <w:rPr>
          <w:rFonts w:hint="eastAsia" w:ascii="Times New Roman" w:hAnsi="Times New Roman" w:eastAsia="方正仿宋_GBK" w:cs="方正仿宋_GBK"/>
          <w:b w:val="0"/>
          <w:bCs w:val="0"/>
          <w:color w:val="auto"/>
          <w:kern w:val="2"/>
          <w:sz w:val="28"/>
          <w:szCs w:val="28"/>
          <w:lang w:val="en-US" w:eastAsia="zh-CN" w:bidi="ar-SA"/>
        </w:rPr>
        <w:sectPr>
          <w:headerReference r:id="rId13" w:type="default"/>
          <w:footerReference r:id="rId14" w:type="default"/>
          <w:pgSz w:w="11906" w:h="16838"/>
          <w:pgMar w:top="1797" w:right="1440" w:bottom="1797" w:left="1440" w:header="851" w:footer="992" w:gutter="0"/>
          <w:pgBorders>
            <w:top w:val="none" w:sz="0" w:space="0"/>
            <w:left w:val="none" w:sz="0" w:space="0"/>
            <w:bottom w:val="none" w:sz="0" w:space="0"/>
            <w:right w:val="none" w:sz="0" w:space="0"/>
          </w:pgBorders>
          <w:pgNumType w:fmt="decimal"/>
          <w:cols w:space="720" w:num="1"/>
          <w:docGrid w:type="linesAndChars" w:linePitch="322" w:charSpace="1004"/>
        </w:sectPr>
      </w:pPr>
      <w:r>
        <w:rPr>
          <w:rFonts w:hint="eastAsia" w:ascii="Times New Roman" w:hAnsi="Times New Roman" w:eastAsia="方正仿宋_GBK" w:cs="方正仿宋_GBK"/>
          <w:b w:val="0"/>
          <w:bCs w:val="0"/>
          <w:color w:val="auto"/>
          <w:kern w:val="2"/>
          <w:sz w:val="28"/>
          <w:szCs w:val="28"/>
          <w:lang w:val="en-US" w:eastAsia="zh-CN" w:bidi="ar-SA"/>
        </w:rPr>
        <w:t>项目建设必须按照“不断筹备、不断启动、不断建设、不断更新”的原则逐步实施，政府应重点支持生态文明公共环境基础设施、生态示范与推广、能力建设等类别的建设项目，重点鼓励有利于资源综合利用、节能降耗、提高资源利用效益的项目，重点引导采用高新技术和有利于产业结构调整的项目。</w:t>
      </w:r>
    </w:p>
    <w:p w14:paraId="036D8735">
      <w:pPr>
        <w:widowControl/>
        <w:jc w:val="center"/>
        <w:rPr>
          <w:rFonts w:ascii="Times New Roman" w:hAnsi="Times New Roman" w:eastAsia="方正仿宋_GBK"/>
          <w:color w:val="FF0000"/>
        </w:rPr>
      </w:pPr>
      <w:r>
        <w:rPr>
          <w:rFonts w:ascii="Times New Roman" w:hAnsi="Times New Roman" w:eastAsia="仿宋" w:cs="Times New Roman"/>
          <w:b/>
          <w:bCs/>
          <w:color w:val="auto"/>
          <w:sz w:val="24"/>
        </w:rPr>
        <w:t>表11.1-2新平县生态文明建设示范区建设重点项目及投资估算</w:t>
      </w:r>
    </w:p>
    <w:tbl>
      <w:tblPr>
        <w:tblStyle w:val="25"/>
        <w:tblW w:w="508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1"/>
        <w:gridCol w:w="738"/>
        <w:gridCol w:w="1821"/>
        <w:gridCol w:w="5240"/>
        <w:gridCol w:w="1177"/>
        <w:gridCol w:w="1194"/>
        <w:gridCol w:w="1194"/>
        <w:gridCol w:w="923"/>
        <w:gridCol w:w="1643"/>
      </w:tblGrid>
      <w:tr w14:paraId="5E265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35" w:hRule="atLeast"/>
          <w:tblHeader/>
          <w:jc w:val="center"/>
        </w:trPr>
        <w:tc>
          <w:tcPr>
            <w:tcW w:w="170" w:type="pct"/>
            <w:shd w:val="clear" w:color="auto" w:fill="BEBEBE"/>
            <w:vAlign w:val="center"/>
          </w:tcPr>
          <w:p w14:paraId="4417F4E6">
            <w:pPr>
              <w:widowControl/>
              <w:spacing w:line="240" w:lineRule="auto"/>
              <w:jc w:val="center"/>
              <w:textAlignment w:val="center"/>
              <w:rPr>
                <w:rFonts w:ascii="Times New Roman" w:hAnsi="Times New Roman" w:eastAsia="仿宋" w:cs="Times New Roman"/>
                <w:b/>
                <w:bCs/>
                <w:color w:val="auto"/>
                <w:sz w:val="21"/>
                <w:szCs w:val="21"/>
              </w:rPr>
            </w:pPr>
            <w:r>
              <w:rPr>
                <w:rFonts w:ascii="Times New Roman" w:hAnsi="Times New Roman" w:eastAsia="仿宋" w:cs="Times New Roman"/>
                <w:b/>
                <w:bCs/>
                <w:color w:val="auto"/>
                <w:kern w:val="0"/>
                <w:sz w:val="21"/>
                <w:szCs w:val="21"/>
                <w:lang w:bidi="ar"/>
              </w:rPr>
              <w:t>体系</w:t>
            </w:r>
          </w:p>
        </w:tc>
        <w:tc>
          <w:tcPr>
            <w:tcW w:w="255" w:type="pct"/>
            <w:shd w:val="clear" w:color="auto" w:fill="BEBEBE"/>
            <w:vAlign w:val="center"/>
          </w:tcPr>
          <w:p w14:paraId="1B78AAD4">
            <w:pPr>
              <w:widowControl/>
              <w:spacing w:line="240" w:lineRule="auto"/>
              <w:jc w:val="center"/>
              <w:textAlignment w:val="center"/>
              <w:rPr>
                <w:rFonts w:ascii="Times New Roman" w:hAnsi="Times New Roman" w:eastAsia="仿宋" w:cs="Times New Roman"/>
                <w:b/>
                <w:bCs/>
                <w:color w:val="auto"/>
                <w:sz w:val="21"/>
                <w:szCs w:val="21"/>
              </w:rPr>
            </w:pPr>
            <w:r>
              <w:rPr>
                <w:rFonts w:ascii="Times New Roman" w:hAnsi="Times New Roman" w:eastAsia="仿宋" w:cs="Times New Roman"/>
                <w:b/>
                <w:bCs/>
                <w:color w:val="auto"/>
                <w:kern w:val="0"/>
                <w:sz w:val="21"/>
                <w:szCs w:val="21"/>
                <w:lang w:bidi="ar"/>
              </w:rPr>
              <w:t>序号</w:t>
            </w:r>
          </w:p>
        </w:tc>
        <w:tc>
          <w:tcPr>
            <w:tcW w:w="631" w:type="pct"/>
            <w:shd w:val="clear" w:color="auto" w:fill="BEBEBE"/>
            <w:vAlign w:val="center"/>
          </w:tcPr>
          <w:p w14:paraId="5CE2771E">
            <w:pPr>
              <w:widowControl/>
              <w:spacing w:line="240" w:lineRule="auto"/>
              <w:jc w:val="center"/>
              <w:textAlignment w:val="center"/>
              <w:rPr>
                <w:rFonts w:ascii="Times New Roman" w:hAnsi="Times New Roman" w:eastAsia="仿宋" w:cs="Times New Roman"/>
                <w:b/>
                <w:bCs/>
                <w:color w:val="auto"/>
                <w:sz w:val="21"/>
                <w:szCs w:val="21"/>
              </w:rPr>
            </w:pPr>
            <w:r>
              <w:rPr>
                <w:rFonts w:ascii="Times New Roman" w:hAnsi="Times New Roman" w:eastAsia="仿宋" w:cs="Times New Roman"/>
                <w:b/>
                <w:bCs/>
                <w:color w:val="auto"/>
                <w:kern w:val="0"/>
                <w:sz w:val="21"/>
                <w:szCs w:val="21"/>
                <w:lang w:bidi="ar"/>
              </w:rPr>
              <w:t>项目名称</w:t>
            </w:r>
          </w:p>
        </w:tc>
        <w:tc>
          <w:tcPr>
            <w:tcW w:w="1816" w:type="pct"/>
            <w:shd w:val="clear" w:color="auto" w:fill="BEBEBE"/>
            <w:vAlign w:val="center"/>
          </w:tcPr>
          <w:p w14:paraId="0D908EA4">
            <w:pPr>
              <w:widowControl/>
              <w:spacing w:line="240" w:lineRule="auto"/>
              <w:jc w:val="left"/>
              <w:textAlignment w:val="center"/>
              <w:rPr>
                <w:rFonts w:ascii="Times New Roman" w:hAnsi="Times New Roman" w:eastAsia="仿宋" w:cs="Times New Roman"/>
                <w:b/>
                <w:bCs/>
                <w:color w:val="auto"/>
                <w:sz w:val="21"/>
                <w:szCs w:val="21"/>
              </w:rPr>
            </w:pPr>
            <w:r>
              <w:rPr>
                <w:rFonts w:ascii="Times New Roman" w:hAnsi="Times New Roman" w:eastAsia="仿宋" w:cs="Times New Roman"/>
                <w:b/>
                <w:bCs/>
                <w:color w:val="auto"/>
                <w:kern w:val="0"/>
                <w:sz w:val="21"/>
                <w:szCs w:val="21"/>
                <w:lang w:bidi="ar"/>
              </w:rPr>
              <w:t>主要内容</w:t>
            </w:r>
          </w:p>
        </w:tc>
        <w:tc>
          <w:tcPr>
            <w:tcW w:w="408" w:type="pct"/>
            <w:shd w:val="clear" w:color="auto" w:fill="BEBEBE"/>
            <w:vAlign w:val="center"/>
          </w:tcPr>
          <w:p w14:paraId="123D2493">
            <w:pPr>
              <w:widowControl/>
              <w:spacing w:line="240" w:lineRule="auto"/>
              <w:jc w:val="center"/>
              <w:textAlignment w:val="center"/>
              <w:rPr>
                <w:rFonts w:ascii="Times New Roman" w:hAnsi="Times New Roman" w:eastAsia="仿宋" w:cs="Times New Roman"/>
                <w:b/>
                <w:bCs/>
                <w:color w:val="auto"/>
                <w:sz w:val="21"/>
                <w:szCs w:val="21"/>
              </w:rPr>
            </w:pPr>
            <w:r>
              <w:rPr>
                <w:rFonts w:ascii="Times New Roman" w:hAnsi="Times New Roman" w:eastAsia="仿宋" w:cs="Times New Roman"/>
                <w:b/>
                <w:bCs/>
                <w:color w:val="auto"/>
                <w:kern w:val="0"/>
                <w:sz w:val="21"/>
                <w:szCs w:val="21"/>
                <w:lang w:bidi="ar"/>
              </w:rPr>
              <w:t>实施时限（年）</w:t>
            </w:r>
          </w:p>
        </w:tc>
        <w:tc>
          <w:tcPr>
            <w:tcW w:w="413" w:type="pct"/>
            <w:shd w:val="clear" w:color="auto" w:fill="BEBEBE"/>
            <w:vAlign w:val="center"/>
          </w:tcPr>
          <w:p w14:paraId="5CBA93CA">
            <w:pPr>
              <w:widowControl/>
              <w:spacing w:line="240" w:lineRule="auto"/>
              <w:jc w:val="center"/>
              <w:textAlignment w:val="center"/>
              <w:rPr>
                <w:rFonts w:ascii="Times New Roman" w:hAnsi="Times New Roman" w:eastAsia="仿宋" w:cs="Times New Roman"/>
                <w:b/>
                <w:bCs/>
                <w:color w:val="auto"/>
                <w:sz w:val="21"/>
                <w:szCs w:val="21"/>
              </w:rPr>
            </w:pPr>
            <w:r>
              <w:rPr>
                <w:rFonts w:ascii="Times New Roman" w:hAnsi="Times New Roman" w:eastAsia="仿宋" w:cs="Times New Roman"/>
                <w:b/>
                <w:bCs/>
                <w:color w:val="auto"/>
                <w:kern w:val="0"/>
                <w:sz w:val="21"/>
                <w:szCs w:val="21"/>
                <w:lang w:bidi="ar"/>
              </w:rPr>
              <w:t>资金概算（万元）</w:t>
            </w:r>
          </w:p>
        </w:tc>
        <w:tc>
          <w:tcPr>
            <w:tcW w:w="413" w:type="pct"/>
            <w:shd w:val="clear" w:color="auto" w:fill="BEBEBE"/>
            <w:vAlign w:val="center"/>
          </w:tcPr>
          <w:p w14:paraId="2C6BBFE9">
            <w:pPr>
              <w:widowControl/>
              <w:spacing w:line="240" w:lineRule="auto"/>
              <w:jc w:val="center"/>
              <w:textAlignment w:val="center"/>
              <w:rPr>
                <w:rFonts w:ascii="Times New Roman" w:hAnsi="Times New Roman" w:eastAsia="仿宋" w:cs="Times New Roman"/>
                <w:b/>
                <w:bCs/>
                <w:color w:val="auto"/>
                <w:sz w:val="21"/>
                <w:szCs w:val="21"/>
              </w:rPr>
            </w:pPr>
            <w:r>
              <w:rPr>
                <w:rFonts w:ascii="Times New Roman" w:hAnsi="Times New Roman" w:eastAsia="仿宋" w:cs="Times New Roman"/>
                <w:b/>
                <w:bCs/>
                <w:color w:val="auto"/>
                <w:kern w:val="0"/>
                <w:sz w:val="21"/>
                <w:szCs w:val="21"/>
                <w:lang w:bidi="ar"/>
              </w:rPr>
              <w:t>牵头实施单位</w:t>
            </w:r>
          </w:p>
        </w:tc>
        <w:tc>
          <w:tcPr>
            <w:tcW w:w="320" w:type="pct"/>
            <w:shd w:val="clear" w:color="auto" w:fill="BEBEBE"/>
            <w:vAlign w:val="center"/>
          </w:tcPr>
          <w:p w14:paraId="1BE94DAF">
            <w:pPr>
              <w:widowControl/>
              <w:spacing w:line="240" w:lineRule="auto"/>
              <w:jc w:val="center"/>
              <w:textAlignment w:val="center"/>
              <w:rPr>
                <w:rFonts w:ascii="Times New Roman" w:hAnsi="Times New Roman" w:eastAsia="仿宋" w:cs="Times New Roman"/>
                <w:b/>
                <w:bCs/>
                <w:color w:val="auto"/>
                <w:sz w:val="21"/>
                <w:szCs w:val="21"/>
              </w:rPr>
            </w:pPr>
            <w:r>
              <w:rPr>
                <w:rFonts w:ascii="Times New Roman" w:hAnsi="Times New Roman" w:eastAsia="仿宋" w:cs="Times New Roman"/>
                <w:b/>
                <w:bCs/>
                <w:color w:val="auto"/>
                <w:kern w:val="0"/>
                <w:sz w:val="21"/>
                <w:szCs w:val="21"/>
                <w:lang w:bidi="ar"/>
              </w:rPr>
              <w:t>经费来源</w:t>
            </w:r>
          </w:p>
        </w:tc>
        <w:tc>
          <w:tcPr>
            <w:tcW w:w="569" w:type="pct"/>
            <w:shd w:val="clear" w:color="auto" w:fill="BEBEBE"/>
            <w:vAlign w:val="center"/>
          </w:tcPr>
          <w:p w14:paraId="14ADA8A3">
            <w:pPr>
              <w:widowControl/>
              <w:spacing w:line="240" w:lineRule="auto"/>
              <w:jc w:val="center"/>
              <w:textAlignment w:val="center"/>
              <w:rPr>
                <w:rFonts w:ascii="Times New Roman" w:hAnsi="Times New Roman" w:eastAsia="仿宋" w:cs="Times New Roman"/>
                <w:b/>
                <w:bCs/>
                <w:color w:val="auto"/>
                <w:sz w:val="21"/>
                <w:szCs w:val="21"/>
              </w:rPr>
            </w:pPr>
            <w:r>
              <w:rPr>
                <w:rFonts w:ascii="Times New Roman" w:hAnsi="Times New Roman" w:eastAsia="仿宋" w:cs="Times New Roman"/>
                <w:b/>
                <w:bCs/>
                <w:color w:val="auto"/>
                <w:kern w:val="0"/>
                <w:sz w:val="21"/>
                <w:szCs w:val="21"/>
                <w:lang w:bidi="ar"/>
              </w:rPr>
              <w:t>主要支撑指标</w:t>
            </w:r>
          </w:p>
        </w:tc>
      </w:tr>
      <w:tr w14:paraId="6FFE0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jc w:val="center"/>
        </w:trPr>
        <w:tc>
          <w:tcPr>
            <w:tcW w:w="170" w:type="pct"/>
            <w:vMerge w:val="restart"/>
            <w:vAlign w:val="center"/>
          </w:tcPr>
          <w:p w14:paraId="3C6D8DD7">
            <w:pPr>
              <w:widowControl/>
              <w:spacing w:line="240" w:lineRule="auto"/>
              <w:jc w:val="center"/>
              <w:textAlignment w:val="center"/>
              <w:rPr>
                <w:rFonts w:ascii="Times New Roman" w:hAnsi="Times New Roman" w:eastAsia="仿宋" w:cs="Times New Roman"/>
                <w:color w:val="auto"/>
                <w:sz w:val="21"/>
                <w:szCs w:val="21"/>
              </w:rPr>
            </w:pPr>
            <w:r>
              <w:rPr>
                <w:rFonts w:ascii="Times New Roman" w:hAnsi="Times New Roman" w:eastAsia="仿宋" w:cs="Times New Roman"/>
                <w:color w:val="auto"/>
                <w:kern w:val="0"/>
                <w:sz w:val="21"/>
                <w:szCs w:val="21"/>
                <w:lang w:bidi="ar"/>
              </w:rPr>
              <w:t>生态制度</w:t>
            </w:r>
          </w:p>
        </w:tc>
        <w:tc>
          <w:tcPr>
            <w:tcW w:w="255" w:type="pct"/>
            <w:vAlign w:val="center"/>
          </w:tcPr>
          <w:p w14:paraId="145C894C">
            <w:pPr>
              <w:widowControl/>
              <w:spacing w:line="240" w:lineRule="auto"/>
              <w:jc w:val="center"/>
              <w:textAlignment w:val="center"/>
              <w:rPr>
                <w:rFonts w:ascii="Times New Roman" w:hAnsi="Times New Roman" w:eastAsia="仿宋" w:cs="Times New Roman"/>
                <w:color w:val="auto"/>
                <w:kern w:val="0"/>
                <w:sz w:val="21"/>
                <w:szCs w:val="21"/>
                <w:lang w:bidi="ar"/>
              </w:rPr>
            </w:pPr>
            <w:r>
              <w:rPr>
                <w:rFonts w:hint="eastAsia" w:ascii="Times New Roman" w:hAnsi="Times New Roman" w:eastAsia="仿宋" w:cs="Times New Roman"/>
                <w:color w:val="auto"/>
                <w:kern w:val="0"/>
                <w:sz w:val="21"/>
                <w:szCs w:val="21"/>
                <w:lang w:val="en-US" w:eastAsia="zh-CN" w:bidi="ar"/>
              </w:rPr>
              <w:t>1</w:t>
            </w:r>
          </w:p>
        </w:tc>
        <w:tc>
          <w:tcPr>
            <w:tcW w:w="631" w:type="pct"/>
            <w:vAlign w:val="center"/>
          </w:tcPr>
          <w:p w14:paraId="6BD2140D">
            <w:pPr>
              <w:widowControl/>
              <w:spacing w:line="240" w:lineRule="auto"/>
              <w:jc w:val="center"/>
              <w:textAlignment w:val="center"/>
              <w:rPr>
                <w:rFonts w:ascii="Times New Roman" w:hAnsi="Times New Roman" w:eastAsia="仿宋" w:cs="Times New Roman"/>
                <w:color w:val="auto"/>
                <w:kern w:val="0"/>
                <w:sz w:val="21"/>
                <w:szCs w:val="21"/>
                <w:lang w:bidi="ar"/>
              </w:rPr>
            </w:pPr>
            <w:r>
              <w:rPr>
                <w:rFonts w:hint="eastAsia" w:ascii="Times New Roman" w:hAnsi="Times New Roman" w:eastAsia="仿宋" w:cs="Times New Roman"/>
                <w:color w:val="auto"/>
                <w:kern w:val="0"/>
                <w:sz w:val="21"/>
                <w:szCs w:val="21"/>
                <w:lang w:val="en-US" w:eastAsia="zh-CN" w:bidi="ar"/>
              </w:rPr>
              <w:t>生态文化传承与保护制度</w:t>
            </w:r>
          </w:p>
        </w:tc>
        <w:tc>
          <w:tcPr>
            <w:tcW w:w="1816" w:type="pct"/>
            <w:vAlign w:val="center"/>
          </w:tcPr>
          <w:p w14:paraId="6C1DB1DE">
            <w:pPr>
              <w:widowControl/>
              <w:spacing w:line="240" w:lineRule="auto"/>
              <w:jc w:val="left"/>
              <w:textAlignment w:val="center"/>
              <w:rPr>
                <w:rFonts w:ascii="Times New Roman" w:hAnsi="Times New Roman" w:eastAsia="仿宋" w:cs="Times New Roman"/>
                <w:color w:val="auto"/>
                <w:kern w:val="0"/>
                <w:sz w:val="21"/>
                <w:szCs w:val="21"/>
                <w:lang w:bidi="ar"/>
              </w:rPr>
            </w:pPr>
            <w:r>
              <w:rPr>
                <w:rFonts w:hint="eastAsia" w:ascii="Times New Roman" w:hAnsi="Times New Roman" w:eastAsia="仿宋" w:cs="Times New Roman"/>
                <w:color w:val="auto"/>
                <w:kern w:val="0"/>
                <w:sz w:val="21"/>
                <w:szCs w:val="21"/>
                <w:lang w:val="en-US" w:eastAsia="zh-CN" w:bidi="ar"/>
              </w:rPr>
              <w:t>探索新平县民族生态文化保护制度，加强对民族生态文化的保护，继承和弘扬优秀文化遗产。</w:t>
            </w:r>
          </w:p>
        </w:tc>
        <w:tc>
          <w:tcPr>
            <w:tcW w:w="408" w:type="pct"/>
            <w:vAlign w:val="center"/>
          </w:tcPr>
          <w:p w14:paraId="26530D44">
            <w:pPr>
              <w:widowControl/>
              <w:spacing w:line="240" w:lineRule="auto"/>
              <w:jc w:val="center"/>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2022-2035</w:t>
            </w:r>
          </w:p>
        </w:tc>
        <w:tc>
          <w:tcPr>
            <w:tcW w:w="413" w:type="pct"/>
            <w:noWrap/>
            <w:vAlign w:val="center"/>
          </w:tcPr>
          <w:p w14:paraId="7BCD34DB">
            <w:pPr>
              <w:widowControl/>
              <w:spacing w:line="240" w:lineRule="auto"/>
              <w:jc w:val="center"/>
              <w:textAlignment w:val="center"/>
              <w:rPr>
                <w:rFonts w:hint="default"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100</w:t>
            </w:r>
          </w:p>
        </w:tc>
        <w:tc>
          <w:tcPr>
            <w:tcW w:w="413" w:type="pct"/>
            <w:vAlign w:val="center"/>
          </w:tcPr>
          <w:p w14:paraId="45B493C7">
            <w:pPr>
              <w:widowControl/>
              <w:spacing w:line="240" w:lineRule="auto"/>
              <w:jc w:val="center"/>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县人民政府</w:t>
            </w:r>
          </w:p>
        </w:tc>
        <w:tc>
          <w:tcPr>
            <w:tcW w:w="320" w:type="pct"/>
            <w:vAlign w:val="center"/>
          </w:tcPr>
          <w:p w14:paraId="11FC5245">
            <w:pPr>
              <w:widowControl/>
              <w:spacing w:line="240" w:lineRule="auto"/>
              <w:jc w:val="center"/>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政府投入</w:t>
            </w:r>
          </w:p>
        </w:tc>
        <w:tc>
          <w:tcPr>
            <w:tcW w:w="569" w:type="pct"/>
            <w:vAlign w:val="center"/>
          </w:tcPr>
          <w:p w14:paraId="04068CC0">
            <w:pPr>
              <w:widowControl/>
              <w:spacing w:line="240" w:lineRule="auto"/>
              <w:jc w:val="center"/>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党委政府对生态文明建设重大目标任务部署情况</w:t>
            </w:r>
          </w:p>
        </w:tc>
      </w:tr>
      <w:tr w14:paraId="0A828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70" w:type="pct"/>
            <w:vMerge w:val="continue"/>
            <w:vAlign w:val="center"/>
          </w:tcPr>
          <w:p w14:paraId="7E8F80ED">
            <w:pPr>
              <w:spacing w:line="240" w:lineRule="auto"/>
              <w:jc w:val="center"/>
              <w:rPr>
                <w:rFonts w:ascii="Times New Roman" w:hAnsi="Times New Roman" w:eastAsia="仿宋" w:cs="Times New Roman"/>
                <w:color w:val="auto"/>
                <w:sz w:val="21"/>
                <w:szCs w:val="21"/>
              </w:rPr>
            </w:pPr>
          </w:p>
        </w:tc>
        <w:tc>
          <w:tcPr>
            <w:tcW w:w="255" w:type="pct"/>
            <w:vAlign w:val="center"/>
          </w:tcPr>
          <w:p w14:paraId="3DE5D186">
            <w:pPr>
              <w:widowControl/>
              <w:spacing w:line="240" w:lineRule="auto"/>
              <w:jc w:val="center"/>
              <w:textAlignment w:val="center"/>
              <w:rPr>
                <w:rFonts w:ascii="Times New Roman" w:hAnsi="Times New Roman" w:eastAsia="仿宋" w:cs="Times New Roman"/>
                <w:color w:val="auto"/>
                <w:kern w:val="0"/>
                <w:sz w:val="21"/>
                <w:szCs w:val="21"/>
                <w:lang w:bidi="ar"/>
              </w:rPr>
            </w:pPr>
            <w:r>
              <w:rPr>
                <w:rFonts w:hint="eastAsia" w:ascii="Times New Roman" w:hAnsi="Times New Roman" w:eastAsia="仿宋" w:cs="Times New Roman"/>
                <w:color w:val="auto"/>
                <w:kern w:val="0"/>
                <w:sz w:val="21"/>
                <w:szCs w:val="21"/>
                <w:lang w:val="en-US" w:eastAsia="zh-CN" w:bidi="ar"/>
              </w:rPr>
              <w:t>2</w:t>
            </w:r>
          </w:p>
        </w:tc>
        <w:tc>
          <w:tcPr>
            <w:tcW w:w="631" w:type="pct"/>
            <w:vAlign w:val="center"/>
          </w:tcPr>
          <w:p w14:paraId="713475F5">
            <w:pPr>
              <w:widowControl/>
              <w:spacing w:line="240" w:lineRule="auto"/>
              <w:jc w:val="center"/>
              <w:textAlignment w:val="center"/>
              <w:rPr>
                <w:rFonts w:ascii="Times New Roman" w:hAnsi="Times New Roman" w:eastAsia="仿宋" w:cs="Times New Roman"/>
                <w:color w:val="auto"/>
                <w:kern w:val="0"/>
                <w:sz w:val="21"/>
                <w:szCs w:val="21"/>
                <w:lang w:bidi="ar"/>
              </w:rPr>
            </w:pPr>
            <w:r>
              <w:rPr>
                <w:rFonts w:hint="eastAsia" w:ascii="Times New Roman" w:hAnsi="Times New Roman" w:eastAsia="仿宋" w:cs="Times New Roman"/>
                <w:color w:val="auto"/>
                <w:kern w:val="0"/>
                <w:sz w:val="21"/>
                <w:szCs w:val="21"/>
                <w:lang w:val="en-US" w:eastAsia="zh-CN" w:bidi="ar"/>
              </w:rPr>
              <w:t>完善生态补偿机制</w:t>
            </w:r>
          </w:p>
        </w:tc>
        <w:tc>
          <w:tcPr>
            <w:tcW w:w="1816" w:type="pct"/>
            <w:vAlign w:val="center"/>
          </w:tcPr>
          <w:p w14:paraId="538C3B9A">
            <w:pPr>
              <w:widowControl/>
              <w:spacing w:line="240" w:lineRule="auto"/>
              <w:jc w:val="left"/>
              <w:textAlignment w:val="center"/>
              <w:rPr>
                <w:rFonts w:ascii="Times New Roman" w:hAnsi="Times New Roman" w:eastAsia="仿宋" w:cs="Times New Roman"/>
                <w:color w:val="auto"/>
                <w:kern w:val="0"/>
                <w:sz w:val="21"/>
                <w:szCs w:val="21"/>
                <w:lang w:bidi="ar"/>
              </w:rPr>
            </w:pPr>
            <w:r>
              <w:rPr>
                <w:rFonts w:hint="eastAsia" w:ascii="Times New Roman" w:hAnsi="Times New Roman" w:eastAsia="仿宋" w:cs="Times New Roman"/>
                <w:color w:val="auto"/>
                <w:kern w:val="0"/>
                <w:sz w:val="21"/>
                <w:szCs w:val="21"/>
                <w:lang w:val="en-US" w:eastAsia="zh-CN" w:bidi="ar"/>
              </w:rPr>
              <w:t>结合环境政策研究生态补偿制度，包括跨境、非跨境流域、森林碳汇、生物多样性、旅游资源开发等，探索建立多元生态补偿运行机制。</w:t>
            </w:r>
          </w:p>
        </w:tc>
        <w:tc>
          <w:tcPr>
            <w:tcW w:w="408" w:type="pct"/>
            <w:vAlign w:val="center"/>
          </w:tcPr>
          <w:p w14:paraId="626F2C28">
            <w:pPr>
              <w:widowControl/>
              <w:spacing w:line="240" w:lineRule="auto"/>
              <w:jc w:val="center"/>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2022-2035</w:t>
            </w:r>
          </w:p>
        </w:tc>
        <w:tc>
          <w:tcPr>
            <w:tcW w:w="413" w:type="pct"/>
            <w:vAlign w:val="center"/>
          </w:tcPr>
          <w:p w14:paraId="2F8A255D">
            <w:pPr>
              <w:widowControl/>
              <w:spacing w:line="240" w:lineRule="auto"/>
              <w:jc w:val="center"/>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30</w:t>
            </w:r>
          </w:p>
        </w:tc>
        <w:tc>
          <w:tcPr>
            <w:tcW w:w="413" w:type="pct"/>
            <w:vAlign w:val="center"/>
          </w:tcPr>
          <w:p w14:paraId="2BE45914">
            <w:pPr>
              <w:widowControl/>
              <w:spacing w:line="240" w:lineRule="auto"/>
              <w:jc w:val="center"/>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县人民政府</w:t>
            </w:r>
          </w:p>
        </w:tc>
        <w:tc>
          <w:tcPr>
            <w:tcW w:w="320" w:type="pct"/>
            <w:vAlign w:val="center"/>
          </w:tcPr>
          <w:p w14:paraId="3D577825">
            <w:pPr>
              <w:widowControl/>
              <w:spacing w:line="240" w:lineRule="auto"/>
              <w:jc w:val="center"/>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政府投入</w:t>
            </w:r>
          </w:p>
        </w:tc>
        <w:tc>
          <w:tcPr>
            <w:tcW w:w="569" w:type="pct"/>
            <w:vAlign w:val="center"/>
          </w:tcPr>
          <w:p w14:paraId="7CF6A5F3">
            <w:pPr>
              <w:widowControl/>
              <w:spacing w:line="240" w:lineRule="auto"/>
              <w:jc w:val="center"/>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党委政府对生态文明建设重大目标任务部署情况</w:t>
            </w:r>
          </w:p>
        </w:tc>
      </w:tr>
      <w:tr w14:paraId="44240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170" w:type="pct"/>
            <w:vMerge w:val="continue"/>
            <w:vAlign w:val="center"/>
          </w:tcPr>
          <w:p w14:paraId="7EB23B04">
            <w:pPr>
              <w:spacing w:line="240" w:lineRule="auto"/>
              <w:jc w:val="center"/>
              <w:rPr>
                <w:rFonts w:ascii="Times New Roman" w:hAnsi="Times New Roman" w:eastAsia="仿宋" w:cs="Times New Roman"/>
                <w:color w:val="auto"/>
                <w:sz w:val="21"/>
                <w:szCs w:val="21"/>
              </w:rPr>
            </w:pPr>
          </w:p>
        </w:tc>
        <w:tc>
          <w:tcPr>
            <w:tcW w:w="255" w:type="pct"/>
            <w:vAlign w:val="center"/>
          </w:tcPr>
          <w:p w14:paraId="2294E4F0">
            <w:pPr>
              <w:widowControl/>
              <w:spacing w:line="240" w:lineRule="auto"/>
              <w:jc w:val="center"/>
              <w:textAlignment w:val="center"/>
              <w:rPr>
                <w:rFonts w:ascii="Times New Roman" w:hAnsi="Times New Roman" w:eastAsia="仿宋" w:cs="Times New Roman"/>
                <w:color w:val="auto"/>
                <w:sz w:val="21"/>
                <w:szCs w:val="21"/>
              </w:rPr>
            </w:pPr>
            <w:r>
              <w:rPr>
                <w:rFonts w:ascii="Times New Roman" w:hAnsi="Times New Roman" w:eastAsia="仿宋" w:cs="Times New Roman"/>
                <w:color w:val="auto"/>
                <w:kern w:val="0"/>
                <w:sz w:val="21"/>
                <w:szCs w:val="21"/>
                <w:lang w:bidi="ar"/>
              </w:rPr>
              <w:t>小计</w:t>
            </w:r>
          </w:p>
        </w:tc>
        <w:tc>
          <w:tcPr>
            <w:tcW w:w="2856" w:type="pct"/>
            <w:gridSpan w:val="3"/>
            <w:vAlign w:val="center"/>
          </w:tcPr>
          <w:p w14:paraId="081D3B93">
            <w:pPr>
              <w:widowControl/>
              <w:spacing w:line="240" w:lineRule="auto"/>
              <w:jc w:val="left"/>
              <w:textAlignment w:val="center"/>
              <w:rPr>
                <w:rFonts w:ascii="Times New Roman" w:hAnsi="Times New Roman" w:eastAsia="仿宋" w:cs="Times New Roman"/>
                <w:color w:val="auto"/>
                <w:sz w:val="21"/>
                <w:szCs w:val="21"/>
              </w:rPr>
            </w:pPr>
            <w:r>
              <w:rPr>
                <w:rFonts w:ascii="Times New Roman" w:hAnsi="Times New Roman" w:eastAsia="仿宋" w:cs="Times New Roman"/>
                <w:color w:val="auto"/>
                <w:kern w:val="0"/>
                <w:sz w:val="21"/>
                <w:szCs w:val="21"/>
                <w:lang w:bidi="ar"/>
              </w:rPr>
              <w:t>/</w:t>
            </w:r>
          </w:p>
        </w:tc>
        <w:tc>
          <w:tcPr>
            <w:tcW w:w="413" w:type="pct"/>
            <w:vAlign w:val="center"/>
          </w:tcPr>
          <w:p w14:paraId="210ECE3C">
            <w:pPr>
              <w:widowControl/>
              <w:spacing w:line="240" w:lineRule="auto"/>
              <w:jc w:val="center"/>
              <w:textAlignment w:val="center"/>
              <w:rPr>
                <w:rFonts w:hint="default" w:ascii="Times New Roman" w:hAnsi="Times New Roman" w:eastAsia="仿宋" w:cs="Times New Roman"/>
                <w:color w:val="auto"/>
                <w:sz w:val="21"/>
                <w:szCs w:val="21"/>
                <w:lang w:val="en-US" w:eastAsia="zh-CN"/>
              </w:rPr>
            </w:pPr>
            <w:r>
              <w:rPr>
                <w:rFonts w:hint="eastAsia" w:ascii="Times New Roman" w:hAnsi="Times New Roman" w:eastAsia="仿宋" w:cs="Times New Roman"/>
                <w:b/>
                <w:bCs/>
                <w:color w:val="auto"/>
                <w:sz w:val="21"/>
                <w:szCs w:val="21"/>
                <w:lang w:val="en-US" w:eastAsia="zh-CN"/>
              </w:rPr>
              <w:t>130</w:t>
            </w:r>
          </w:p>
        </w:tc>
        <w:tc>
          <w:tcPr>
            <w:tcW w:w="413" w:type="pct"/>
            <w:vAlign w:val="center"/>
          </w:tcPr>
          <w:p w14:paraId="58C66430">
            <w:pPr>
              <w:spacing w:line="240" w:lineRule="auto"/>
              <w:jc w:val="center"/>
              <w:rPr>
                <w:rFonts w:ascii="Times New Roman" w:hAnsi="Times New Roman" w:eastAsia="仿宋" w:cs="Times New Roman"/>
                <w:color w:val="auto"/>
                <w:sz w:val="21"/>
                <w:szCs w:val="21"/>
              </w:rPr>
            </w:pPr>
          </w:p>
        </w:tc>
        <w:tc>
          <w:tcPr>
            <w:tcW w:w="320" w:type="pct"/>
            <w:vAlign w:val="center"/>
          </w:tcPr>
          <w:p w14:paraId="2663396E">
            <w:pPr>
              <w:spacing w:line="240" w:lineRule="auto"/>
              <w:jc w:val="center"/>
              <w:rPr>
                <w:rFonts w:ascii="Times New Roman" w:hAnsi="Times New Roman" w:eastAsia="仿宋" w:cs="Times New Roman"/>
                <w:color w:val="auto"/>
                <w:sz w:val="21"/>
                <w:szCs w:val="21"/>
              </w:rPr>
            </w:pPr>
          </w:p>
        </w:tc>
        <w:tc>
          <w:tcPr>
            <w:tcW w:w="569" w:type="pct"/>
            <w:vAlign w:val="center"/>
          </w:tcPr>
          <w:p w14:paraId="3D6FE03E">
            <w:pPr>
              <w:spacing w:line="240" w:lineRule="auto"/>
              <w:jc w:val="center"/>
              <w:rPr>
                <w:rFonts w:ascii="Times New Roman" w:hAnsi="Times New Roman" w:eastAsia="仿宋" w:cs="Times New Roman"/>
                <w:color w:val="auto"/>
                <w:sz w:val="21"/>
                <w:szCs w:val="21"/>
              </w:rPr>
            </w:pPr>
          </w:p>
        </w:tc>
      </w:tr>
      <w:tr w14:paraId="68A30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170" w:type="pct"/>
            <w:vMerge w:val="restart"/>
            <w:vAlign w:val="center"/>
          </w:tcPr>
          <w:p w14:paraId="443EC3B2">
            <w:pPr>
              <w:widowControl/>
              <w:spacing w:line="240" w:lineRule="auto"/>
              <w:jc w:val="center"/>
              <w:textAlignment w:val="center"/>
              <w:rPr>
                <w:rFonts w:ascii="Times New Roman" w:hAnsi="Times New Roman" w:eastAsia="仿宋" w:cs="Times New Roman"/>
                <w:color w:val="auto"/>
                <w:sz w:val="21"/>
                <w:szCs w:val="21"/>
              </w:rPr>
            </w:pPr>
            <w:r>
              <w:rPr>
                <w:rFonts w:ascii="Times New Roman" w:hAnsi="Times New Roman" w:eastAsia="仿宋" w:cs="Times New Roman"/>
                <w:color w:val="auto"/>
                <w:kern w:val="0"/>
                <w:sz w:val="21"/>
                <w:szCs w:val="21"/>
                <w:lang w:bidi="ar"/>
              </w:rPr>
              <w:t>生态安全</w:t>
            </w:r>
          </w:p>
        </w:tc>
        <w:tc>
          <w:tcPr>
            <w:tcW w:w="255" w:type="pct"/>
            <w:vAlign w:val="center"/>
          </w:tcPr>
          <w:p w14:paraId="58552336">
            <w:pPr>
              <w:widowControl/>
              <w:spacing w:line="240" w:lineRule="auto"/>
              <w:jc w:val="center"/>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1</w:t>
            </w:r>
          </w:p>
        </w:tc>
        <w:tc>
          <w:tcPr>
            <w:tcW w:w="631" w:type="pct"/>
            <w:vAlign w:val="center"/>
          </w:tcPr>
          <w:p w14:paraId="02211D85">
            <w:pPr>
              <w:widowControl/>
              <w:spacing w:line="240" w:lineRule="auto"/>
              <w:jc w:val="left"/>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新平县国控断面水污染防治项目</w:t>
            </w:r>
          </w:p>
        </w:tc>
        <w:tc>
          <w:tcPr>
            <w:tcW w:w="1816" w:type="pct"/>
            <w:vAlign w:val="center"/>
          </w:tcPr>
          <w:p w14:paraId="07708D65">
            <w:pPr>
              <w:widowControl/>
              <w:spacing w:line="240" w:lineRule="auto"/>
              <w:jc w:val="left"/>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项目范围包括：平甸河22.35km（团山脚村至岔河村）、小河底河21.34km（岔河村至化念水库国控断面位置）间的涉河道治理、沿岸村庄污水治理和沿岸农田面源污染治理三个方面，共涉及3个乡镇（街道）5个居（村）委会24个自然村和大开门开发区，共3485户14992人。</w:t>
            </w:r>
          </w:p>
          <w:p w14:paraId="0F68BFFA">
            <w:pPr>
              <w:widowControl/>
              <w:spacing w:line="240" w:lineRule="auto"/>
              <w:jc w:val="left"/>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（1）河道综合治理工程：建设平甸河水库库尾湿地10000m²。</w:t>
            </w:r>
          </w:p>
          <w:p w14:paraId="54E7B985">
            <w:pPr>
              <w:widowControl/>
              <w:spacing w:line="240" w:lineRule="auto"/>
              <w:jc w:val="left"/>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（2）农业面源污染治理工程：河道生态拦截带（农田侧）建设6510m，现有农灌沟改造为生态沟1500m。</w:t>
            </w:r>
          </w:p>
          <w:p w14:paraId="1B879D07">
            <w:pPr>
              <w:widowControl/>
              <w:spacing w:line="240" w:lineRule="auto"/>
              <w:jc w:val="left"/>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（3）村庄污水治理工程</w:t>
            </w:r>
          </w:p>
          <w:p w14:paraId="22CEDA07">
            <w:pPr>
              <w:widowControl/>
              <w:spacing w:line="240" w:lineRule="auto"/>
              <w:jc w:val="left"/>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生活污水收集系统：DN110UPVC管铺设13365m，DN200HDPE管铺设19320m。DN300HDPE管铺设8150m，DN400HDPE管铺设4855m，φ500塑料检查井651个，φ700塑料检查井154个，户用清扫井1824个；</w:t>
            </w:r>
          </w:p>
          <w:p w14:paraId="68303A56">
            <w:pPr>
              <w:widowControl/>
              <w:spacing w:line="240" w:lineRule="auto"/>
              <w:jc w:val="left"/>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污水治理系统：建设“厌氧池+表流湿地”污水治理系统11座，建设“调节沉淀池+MBR一体化设备”污水处理系统3座。</w:t>
            </w:r>
          </w:p>
        </w:tc>
        <w:tc>
          <w:tcPr>
            <w:tcW w:w="408" w:type="pct"/>
            <w:vAlign w:val="center"/>
          </w:tcPr>
          <w:p w14:paraId="35BEC777">
            <w:pPr>
              <w:widowControl/>
              <w:spacing w:line="240" w:lineRule="auto"/>
              <w:jc w:val="left"/>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2022</w:t>
            </w:r>
          </w:p>
        </w:tc>
        <w:tc>
          <w:tcPr>
            <w:tcW w:w="413" w:type="pct"/>
            <w:vAlign w:val="center"/>
          </w:tcPr>
          <w:p w14:paraId="01D248A1">
            <w:pPr>
              <w:widowControl/>
              <w:spacing w:line="240" w:lineRule="auto"/>
              <w:jc w:val="center"/>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2920</w:t>
            </w:r>
          </w:p>
        </w:tc>
        <w:tc>
          <w:tcPr>
            <w:tcW w:w="413" w:type="pct"/>
            <w:vAlign w:val="center"/>
          </w:tcPr>
          <w:p w14:paraId="2095FED6">
            <w:pPr>
              <w:spacing w:line="240" w:lineRule="auto"/>
              <w:jc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市生态环境局新平分局</w:t>
            </w:r>
          </w:p>
        </w:tc>
        <w:tc>
          <w:tcPr>
            <w:tcW w:w="320" w:type="pct"/>
            <w:vAlign w:val="center"/>
          </w:tcPr>
          <w:p w14:paraId="34E1D045">
            <w:pPr>
              <w:spacing w:line="240" w:lineRule="auto"/>
              <w:jc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政府投入</w:t>
            </w:r>
          </w:p>
        </w:tc>
        <w:tc>
          <w:tcPr>
            <w:tcW w:w="569" w:type="pct"/>
            <w:vAlign w:val="center"/>
          </w:tcPr>
          <w:p w14:paraId="3E0E7A89">
            <w:pPr>
              <w:spacing w:line="240" w:lineRule="auto"/>
              <w:jc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水环境质量</w:t>
            </w:r>
          </w:p>
        </w:tc>
      </w:tr>
      <w:tr w14:paraId="5F318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170" w:type="pct"/>
            <w:vMerge w:val="continue"/>
            <w:vAlign w:val="center"/>
          </w:tcPr>
          <w:p w14:paraId="6775551A">
            <w:pPr>
              <w:widowControl/>
              <w:spacing w:line="240" w:lineRule="auto"/>
              <w:jc w:val="center"/>
              <w:textAlignment w:val="center"/>
              <w:rPr>
                <w:rFonts w:ascii="Times New Roman" w:hAnsi="Times New Roman" w:eastAsia="仿宋" w:cs="Times New Roman"/>
                <w:color w:val="auto"/>
                <w:kern w:val="0"/>
                <w:sz w:val="21"/>
                <w:szCs w:val="21"/>
                <w:lang w:bidi="ar"/>
              </w:rPr>
            </w:pPr>
          </w:p>
        </w:tc>
        <w:tc>
          <w:tcPr>
            <w:tcW w:w="255" w:type="pct"/>
            <w:vAlign w:val="center"/>
          </w:tcPr>
          <w:p w14:paraId="334A269F">
            <w:pPr>
              <w:widowControl/>
              <w:spacing w:line="240" w:lineRule="auto"/>
              <w:jc w:val="center"/>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2</w:t>
            </w:r>
          </w:p>
        </w:tc>
        <w:tc>
          <w:tcPr>
            <w:tcW w:w="631" w:type="pct"/>
            <w:vAlign w:val="center"/>
          </w:tcPr>
          <w:p w14:paraId="242375EF">
            <w:pPr>
              <w:widowControl/>
              <w:spacing w:line="240" w:lineRule="auto"/>
              <w:jc w:val="left"/>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新平县平甸河流域生态综合治理项目</w:t>
            </w:r>
          </w:p>
        </w:tc>
        <w:tc>
          <w:tcPr>
            <w:tcW w:w="1816" w:type="pct"/>
            <w:vAlign w:val="center"/>
          </w:tcPr>
          <w:p w14:paraId="77700B14">
            <w:pPr>
              <w:widowControl/>
              <w:spacing w:line="240" w:lineRule="auto"/>
              <w:jc w:val="left"/>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平甸河流域部分水库、河道生态综合整治等。</w:t>
            </w:r>
          </w:p>
        </w:tc>
        <w:tc>
          <w:tcPr>
            <w:tcW w:w="408" w:type="pct"/>
            <w:vAlign w:val="center"/>
          </w:tcPr>
          <w:p w14:paraId="4169DE29">
            <w:pPr>
              <w:widowControl/>
              <w:spacing w:line="240" w:lineRule="auto"/>
              <w:jc w:val="left"/>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2022-2030</w:t>
            </w:r>
          </w:p>
        </w:tc>
        <w:tc>
          <w:tcPr>
            <w:tcW w:w="413" w:type="pct"/>
            <w:vAlign w:val="center"/>
          </w:tcPr>
          <w:p w14:paraId="33521C26">
            <w:pPr>
              <w:widowControl/>
              <w:spacing w:line="240" w:lineRule="auto"/>
              <w:jc w:val="center"/>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37962</w:t>
            </w:r>
          </w:p>
        </w:tc>
        <w:tc>
          <w:tcPr>
            <w:tcW w:w="413" w:type="pct"/>
            <w:vAlign w:val="center"/>
          </w:tcPr>
          <w:p w14:paraId="3B70E852">
            <w:pPr>
              <w:spacing w:line="240" w:lineRule="auto"/>
              <w:jc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县水利局</w:t>
            </w:r>
          </w:p>
        </w:tc>
        <w:tc>
          <w:tcPr>
            <w:tcW w:w="320" w:type="pct"/>
            <w:vAlign w:val="center"/>
          </w:tcPr>
          <w:p w14:paraId="50C2A188">
            <w:pPr>
              <w:spacing w:line="240" w:lineRule="auto"/>
              <w:jc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政府投入</w:t>
            </w:r>
          </w:p>
        </w:tc>
        <w:tc>
          <w:tcPr>
            <w:tcW w:w="569" w:type="pct"/>
            <w:vAlign w:val="center"/>
          </w:tcPr>
          <w:p w14:paraId="7FDB6CF4">
            <w:pPr>
              <w:spacing w:line="240" w:lineRule="auto"/>
              <w:jc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水环境质量</w:t>
            </w:r>
          </w:p>
        </w:tc>
      </w:tr>
      <w:tr w14:paraId="056FA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170" w:type="pct"/>
            <w:vMerge w:val="continue"/>
            <w:vAlign w:val="center"/>
          </w:tcPr>
          <w:p w14:paraId="12F1BBE0">
            <w:pPr>
              <w:widowControl/>
              <w:spacing w:line="240" w:lineRule="auto"/>
              <w:jc w:val="center"/>
              <w:textAlignment w:val="center"/>
              <w:rPr>
                <w:rFonts w:ascii="Times New Roman" w:hAnsi="Times New Roman" w:eastAsia="仿宋" w:cs="Times New Roman"/>
                <w:color w:val="auto"/>
                <w:kern w:val="0"/>
                <w:sz w:val="21"/>
                <w:szCs w:val="21"/>
                <w:lang w:bidi="ar"/>
              </w:rPr>
            </w:pPr>
          </w:p>
        </w:tc>
        <w:tc>
          <w:tcPr>
            <w:tcW w:w="255" w:type="pct"/>
            <w:vAlign w:val="center"/>
          </w:tcPr>
          <w:p w14:paraId="78A02202">
            <w:pPr>
              <w:widowControl/>
              <w:spacing w:line="240" w:lineRule="auto"/>
              <w:jc w:val="center"/>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3</w:t>
            </w:r>
          </w:p>
        </w:tc>
        <w:tc>
          <w:tcPr>
            <w:tcW w:w="631" w:type="pct"/>
            <w:vAlign w:val="center"/>
          </w:tcPr>
          <w:p w14:paraId="27B02759">
            <w:pPr>
              <w:widowControl/>
              <w:spacing w:line="240" w:lineRule="auto"/>
              <w:jc w:val="left"/>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新平县中小河流智慧水利建设项目</w:t>
            </w:r>
          </w:p>
        </w:tc>
        <w:tc>
          <w:tcPr>
            <w:tcW w:w="1816" w:type="pct"/>
            <w:vAlign w:val="center"/>
          </w:tcPr>
          <w:p w14:paraId="03F5C125">
            <w:pPr>
              <w:widowControl/>
              <w:spacing w:line="240" w:lineRule="auto"/>
              <w:jc w:val="left"/>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对4条1000平方公里以上河流、34条50至1000平方公里和7条50平方公里以下河流进行视频、水位、雨量和水质实时监控。分别建设52个视频、水位、雨量和水质自动监测站，其中每条1000平方公里以上的河流分别设置3个监控点，其余河河分别设置1个监控点。</w:t>
            </w:r>
          </w:p>
        </w:tc>
        <w:tc>
          <w:tcPr>
            <w:tcW w:w="408" w:type="pct"/>
            <w:vAlign w:val="center"/>
          </w:tcPr>
          <w:p w14:paraId="1D9D4422">
            <w:pPr>
              <w:widowControl/>
              <w:spacing w:line="240" w:lineRule="auto"/>
              <w:jc w:val="left"/>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2022-2023</w:t>
            </w:r>
          </w:p>
        </w:tc>
        <w:tc>
          <w:tcPr>
            <w:tcW w:w="413" w:type="pct"/>
            <w:vAlign w:val="center"/>
          </w:tcPr>
          <w:p w14:paraId="643C6F7D">
            <w:pPr>
              <w:widowControl/>
              <w:spacing w:line="240" w:lineRule="auto"/>
              <w:jc w:val="center"/>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2000</w:t>
            </w:r>
          </w:p>
        </w:tc>
        <w:tc>
          <w:tcPr>
            <w:tcW w:w="413" w:type="pct"/>
            <w:vAlign w:val="center"/>
          </w:tcPr>
          <w:p w14:paraId="6EDB2032">
            <w:pPr>
              <w:spacing w:line="240" w:lineRule="auto"/>
              <w:jc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县水利局</w:t>
            </w:r>
          </w:p>
        </w:tc>
        <w:tc>
          <w:tcPr>
            <w:tcW w:w="320" w:type="pct"/>
            <w:vAlign w:val="center"/>
          </w:tcPr>
          <w:p w14:paraId="29B4B1FB">
            <w:pPr>
              <w:spacing w:line="240" w:lineRule="auto"/>
              <w:jc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政府投入</w:t>
            </w:r>
          </w:p>
        </w:tc>
        <w:tc>
          <w:tcPr>
            <w:tcW w:w="569" w:type="pct"/>
            <w:vAlign w:val="center"/>
          </w:tcPr>
          <w:p w14:paraId="4A919A51">
            <w:pPr>
              <w:spacing w:line="240" w:lineRule="auto"/>
              <w:jc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水环境质量</w:t>
            </w:r>
          </w:p>
        </w:tc>
      </w:tr>
      <w:tr w14:paraId="16B3C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170" w:type="pct"/>
            <w:vMerge w:val="continue"/>
            <w:vAlign w:val="center"/>
          </w:tcPr>
          <w:p w14:paraId="76AA17B5">
            <w:pPr>
              <w:widowControl/>
              <w:spacing w:line="240" w:lineRule="auto"/>
              <w:jc w:val="center"/>
              <w:textAlignment w:val="center"/>
              <w:rPr>
                <w:rFonts w:ascii="Times New Roman" w:hAnsi="Times New Roman" w:eastAsia="仿宋" w:cs="Times New Roman"/>
                <w:color w:val="auto"/>
                <w:kern w:val="0"/>
                <w:sz w:val="21"/>
                <w:szCs w:val="21"/>
                <w:lang w:bidi="ar"/>
              </w:rPr>
            </w:pPr>
          </w:p>
        </w:tc>
        <w:tc>
          <w:tcPr>
            <w:tcW w:w="255" w:type="pct"/>
            <w:vAlign w:val="center"/>
          </w:tcPr>
          <w:p w14:paraId="726A7AE2">
            <w:pPr>
              <w:widowControl/>
              <w:spacing w:line="240" w:lineRule="auto"/>
              <w:jc w:val="center"/>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4</w:t>
            </w:r>
          </w:p>
        </w:tc>
        <w:tc>
          <w:tcPr>
            <w:tcW w:w="631" w:type="pct"/>
            <w:vAlign w:val="center"/>
          </w:tcPr>
          <w:p w14:paraId="6E379E28">
            <w:pPr>
              <w:widowControl/>
              <w:spacing w:line="240" w:lineRule="auto"/>
              <w:jc w:val="left"/>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新平县扬武镇龙潭湿地森林公园建设项目</w:t>
            </w:r>
          </w:p>
        </w:tc>
        <w:tc>
          <w:tcPr>
            <w:tcW w:w="1816" w:type="pct"/>
            <w:vAlign w:val="center"/>
          </w:tcPr>
          <w:p w14:paraId="20FD8FDE">
            <w:pPr>
              <w:widowControl/>
              <w:spacing w:line="240" w:lineRule="auto"/>
              <w:jc w:val="left"/>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12065" cy="920750"/>
                  <wp:effectExtent l="0" t="0" r="0" b="0"/>
                  <wp:wrapNone/>
                  <wp:docPr id="547" name="Text_Box_715"/>
                  <wp:cNvGraphicFramePr/>
                  <a:graphic xmlns:a="http://schemas.openxmlformats.org/drawingml/2006/main">
                    <a:graphicData uri="http://schemas.openxmlformats.org/drawingml/2006/picture">
                      <pic:pic xmlns:pic="http://schemas.openxmlformats.org/drawingml/2006/picture">
                        <pic:nvPicPr>
                          <pic:cNvPr id="547" name="Text_Box_715"/>
                          <pic:cNvPicPr/>
                        </pic:nvPicPr>
                        <pic:blipFill>
                          <a:blip r:embed="rId25"/>
                          <a:stretch>
                            <a:fillRect/>
                          </a:stretch>
                        </pic:blipFill>
                        <pic:spPr>
                          <a:xfrm>
                            <a:off x="0" y="0"/>
                            <a:ext cx="12065" cy="92075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12065" cy="1022350"/>
                  <wp:effectExtent l="0" t="0" r="0" b="0"/>
                  <wp:wrapNone/>
                  <wp:docPr id="548" name="Text_Box_715_SpCnt_1"/>
                  <wp:cNvGraphicFramePr/>
                  <a:graphic xmlns:a="http://schemas.openxmlformats.org/drawingml/2006/main">
                    <a:graphicData uri="http://schemas.openxmlformats.org/drawingml/2006/picture">
                      <pic:pic xmlns:pic="http://schemas.openxmlformats.org/drawingml/2006/picture">
                        <pic:nvPicPr>
                          <pic:cNvPr id="548" name="Text_Box_715_SpCnt_1"/>
                          <pic:cNvPicPr/>
                        </pic:nvPicPr>
                        <pic:blipFill>
                          <a:blip r:embed="rId26"/>
                          <a:stretch>
                            <a:fillRect/>
                          </a:stretch>
                        </pic:blipFill>
                        <pic:spPr>
                          <a:xfrm>
                            <a:off x="0" y="0"/>
                            <a:ext cx="12065" cy="102235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12065" cy="1022350"/>
                  <wp:effectExtent l="0" t="0" r="0" b="0"/>
                  <wp:wrapNone/>
                  <wp:docPr id="549" name="Text_Box_715_SpCnt_2"/>
                  <wp:cNvGraphicFramePr/>
                  <a:graphic xmlns:a="http://schemas.openxmlformats.org/drawingml/2006/main">
                    <a:graphicData uri="http://schemas.openxmlformats.org/drawingml/2006/picture">
                      <pic:pic xmlns:pic="http://schemas.openxmlformats.org/drawingml/2006/picture">
                        <pic:nvPicPr>
                          <pic:cNvPr id="549" name="Text_Box_715_SpCnt_2"/>
                          <pic:cNvPicPr/>
                        </pic:nvPicPr>
                        <pic:blipFill>
                          <a:blip r:embed="rId26"/>
                          <a:stretch>
                            <a:fillRect/>
                          </a:stretch>
                        </pic:blipFill>
                        <pic:spPr>
                          <a:xfrm>
                            <a:off x="0" y="0"/>
                            <a:ext cx="12065" cy="102235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12065" cy="883920"/>
                  <wp:effectExtent l="0" t="0" r="0" b="0"/>
                  <wp:wrapNone/>
                  <wp:docPr id="550" name="Text_Box_715_SpCnt_3"/>
                  <wp:cNvGraphicFramePr/>
                  <a:graphic xmlns:a="http://schemas.openxmlformats.org/drawingml/2006/main">
                    <a:graphicData uri="http://schemas.openxmlformats.org/drawingml/2006/picture">
                      <pic:pic xmlns:pic="http://schemas.openxmlformats.org/drawingml/2006/picture">
                        <pic:nvPicPr>
                          <pic:cNvPr id="550" name="Text_Box_715_SpCnt_3"/>
                          <pic:cNvPicPr/>
                        </pic:nvPicPr>
                        <pic:blipFill>
                          <a:blip r:embed="rId27"/>
                          <a:stretch>
                            <a:fillRect/>
                          </a:stretch>
                        </pic:blipFill>
                        <pic:spPr>
                          <a:xfrm>
                            <a:off x="0" y="0"/>
                            <a:ext cx="12065" cy="88392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12065" cy="883920"/>
                  <wp:effectExtent l="0" t="0" r="0" b="0"/>
                  <wp:wrapNone/>
                  <wp:docPr id="551" name="Text_Box_715_SpCnt_4"/>
                  <wp:cNvGraphicFramePr/>
                  <a:graphic xmlns:a="http://schemas.openxmlformats.org/drawingml/2006/main">
                    <a:graphicData uri="http://schemas.openxmlformats.org/drawingml/2006/picture">
                      <pic:pic xmlns:pic="http://schemas.openxmlformats.org/drawingml/2006/picture">
                        <pic:nvPicPr>
                          <pic:cNvPr id="551" name="Text_Box_715_SpCnt_4"/>
                          <pic:cNvPicPr/>
                        </pic:nvPicPr>
                        <pic:blipFill>
                          <a:blip r:embed="rId27"/>
                          <a:stretch>
                            <a:fillRect/>
                          </a:stretch>
                        </pic:blipFill>
                        <pic:spPr>
                          <a:xfrm>
                            <a:off x="0" y="0"/>
                            <a:ext cx="12065" cy="88392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12065" cy="883920"/>
                  <wp:effectExtent l="0" t="0" r="0" b="0"/>
                  <wp:wrapNone/>
                  <wp:docPr id="552" name="Text_Box_715_SpCnt_5"/>
                  <wp:cNvGraphicFramePr/>
                  <a:graphic xmlns:a="http://schemas.openxmlformats.org/drawingml/2006/main">
                    <a:graphicData uri="http://schemas.openxmlformats.org/drawingml/2006/picture">
                      <pic:pic xmlns:pic="http://schemas.openxmlformats.org/drawingml/2006/picture">
                        <pic:nvPicPr>
                          <pic:cNvPr id="552" name="Text_Box_715_SpCnt_5"/>
                          <pic:cNvPicPr/>
                        </pic:nvPicPr>
                        <pic:blipFill>
                          <a:blip r:embed="rId27"/>
                          <a:stretch>
                            <a:fillRect/>
                          </a:stretch>
                        </pic:blipFill>
                        <pic:spPr>
                          <a:xfrm>
                            <a:off x="0" y="0"/>
                            <a:ext cx="12065" cy="88392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12065" cy="997585"/>
                  <wp:effectExtent l="0" t="0" r="0" b="0"/>
                  <wp:wrapNone/>
                  <wp:docPr id="553" name="Text_Box_716"/>
                  <wp:cNvGraphicFramePr/>
                  <a:graphic xmlns:a="http://schemas.openxmlformats.org/drawingml/2006/main">
                    <a:graphicData uri="http://schemas.openxmlformats.org/drawingml/2006/picture">
                      <pic:pic xmlns:pic="http://schemas.openxmlformats.org/drawingml/2006/picture">
                        <pic:nvPicPr>
                          <pic:cNvPr id="553" name="Text_Box_716"/>
                          <pic:cNvPicPr/>
                        </pic:nvPicPr>
                        <pic:blipFill>
                          <a:blip r:embed="rId28"/>
                          <a:stretch>
                            <a:fillRect/>
                          </a:stretch>
                        </pic:blipFill>
                        <pic:spPr>
                          <a:xfrm>
                            <a:off x="0" y="0"/>
                            <a:ext cx="12065" cy="99758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12065" cy="997585"/>
                  <wp:effectExtent l="0" t="0" r="0" b="0"/>
                  <wp:wrapNone/>
                  <wp:docPr id="554" name="Text_Box_716_SpCnt_1"/>
                  <wp:cNvGraphicFramePr/>
                  <a:graphic xmlns:a="http://schemas.openxmlformats.org/drawingml/2006/main">
                    <a:graphicData uri="http://schemas.openxmlformats.org/drawingml/2006/picture">
                      <pic:pic xmlns:pic="http://schemas.openxmlformats.org/drawingml/2006/picture">
                        <pic:nvPicPr>
                          <pic:cNvPr id="554" name="Text_Box_716_SpCnt_1"/>
                          <pic:cNvPicPr/>
                        </pic:nvPicPr>
                        <pic:blipFill>
                          <a:blip r:embed="rId28"/>
                          <a:stretch>
                            <a:fillRect/>
                          </a:stretch>
                        </pic:blipFill>
                        <pic:spPr>
                          <a:xfrm>
                            <a:off x="0" y="0"/>
                            <a:ext cx="12065" cy="99758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12065" cy="997585"/>
                  <wp:effectExtent l="0" t="0" r="0" b="0"/>
                  <wp:wrapNone/>
                  <wp:docPr id="555" name="Text_Box_715_SpCnt_6"/>
                  <wp:cNvGraphicFramePr/>
                  <a:graphic xmlns:a="http://schemas.openxmlformats.org/drawingml/2006/main">
                    <a:graphicData uri="http://schemas.openxmlformats.org/drawingml/2006/picture">
                      <pic:pic xmlns:pic="http://schemas.openxmlformats.org/drawingml/2006/picture">
                        <pic:nvPicPr>
                          <pic:cNvPr id="555" name="Text_Box_715_SpCnt_6"/>
                          <pic:cNvPicPr/>
                        </pic:nvPicPr>
                        <pic:blipFill>
                          <a:blip r:embed="rId28"/>
                          <a:stretch>
                            <a:fillRect/>
                          </a:stretch>
                        </pic:blipFill>
                        <pic:spPr>
                          <a:xfrm>
                            <a:off x="0" y="0"/>
                            <a:ext cx="12065" cy="99758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12065" cy="880745"/>
                  <wp:effectExtent l="0" t="0" r="0" b="0"/>
                  <wp:wrapNone/>
                  <wp:docPr id="556" name="Text_Box_716_SpCnt_2"/>
                  <wp:cNvGraphicFramePr/>
                  <a:graphic xmlns:a="http://schemas.openxmlformats.org/drawingml/2006/main">
                    <a:graphicData uri="http://schemas.openxmlformats.org/drawingml/2006/picture">
                      <pic:pic xmlns:pic="http://schemas.openxmlformats.org/drawingml/2006/picture">
                        <pic:nvPicPr>
                          <pic:cNvPr id="556" name="Text_Box_716_SpCnt_2"/>
                          <pic:cNvPicPr/>
                        </pic:nvPicPr>
                        <pic:blipFill>
                          <a:blip r:embed="rId29"/>
                          <a:stretch>
                            <a:fillRect/>
                          </a:stretch>
                        </pic:blipFill>
                        <pic:spPr>
                          <a:xfrm>
                            <a:off x="0" y="0"/>
                            <a:ext cx="12065" cy="88074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12065" cy="883920"/>
                  <wp:effectExtent l="0" t="0" r="0" b="0"/>
                  <wp:wrapNone/>
                  <wp:docPr id="557" name="Text_Box_716_SpCnt_3"/>
                  <wp:cNvGraphicFramePr/>
                  <a:graphic xmlns:a="http://schemas.openxmlformats.org/drawingml/2006/main">
                    <a:graphicData uri="http://schemas.openxmlformats.org/drawingml/2006/picture">
                      <pic:pic xmlns:pic="http://schemas.openxmlformats.org/drawingml/2006/picture">
                        <pic:nvPicPr>
                          <pic:cNvPr id="557" name="Text_Box_716_SpCnt_3"/>
                          <pic:cNvPicPr/>
                        </pic:nvPicPr>
                        <pic:blipFill>
                          <a:blip r:embed="rId27"/>
                          <a:stretch>
                            <a:fillRect/>
                          </a:stretch>
                        </pic:blipFill>
                        <pic:spPr>
                          <a:xfrm>
                            <a:off x="0" y="0"/>
                            <a:ext cx="12065" cy="88392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12065" cy="997585"/>
                  <wp:effectExtent l="0" t="0" r="0" b="0"/>
                  <wp:wrapNone/>
                  <wp:docPr id="558" name="Text_Box_716_SpCnt_4"/>
                  <wp:cNvGraphicFramePr/>
                  <a:graphic xmlns:a="http://schemas.openxmlformats.org/drawingml/2006/main">
                    <a:graphicData uri="http://schemas.openxmlformats.org/drawingml/2006/picture">
                      <pic:pic xmlns:pic="http://schemas.openxmlformats.org/drawingml/2006/picture">
                        <pic:nvPicPr>
                          <pic:cNvPr id="558" name="Text_Box_716_SpCnt_4"/>
                          <pic:cNvPicPr/>
                        </pic:nvPicPr>
                        <pic:blipFill>
                          <a:blip r:embed="rId28"/>
                          <a:stretch>
                            <a:fillRect/>
                          </a:stretch>
                        </pic:blipFill>
                        <pic:spPr>
                          <a:xfrm>
                            <a:off x="0" y="0"/>
                            <a:ext cx="12065" cy="99758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12065" cy="997585"/>
                  <wp:effectExtent l="0" t="0" r="0" b="0"/>
                  <wp:wrapNone/>
                  <wp:docPr id="559" name="Text_Box_715_SpCnt_7"/>
                  <wp:cNvGraphicFramePr/>
                  <a:graphic xmlns:a="http://schemas.openxmlformats.org/drawingml/2006/main">
                    <a:graphicData uri="http://schemas.openxmlformats.org/drawingml/2006/picture">
                      <pic:pic xmlns:pic="http://schemas.openxmlformats.org/drawingml/2006/picture">
                        <pic:nvPicPr>
                          <pic:cNvPr id="559" name="Text_Box_715_SpCnt_7"/>
                          <pic:cNvPicPr/>
                        </pic:nvPicPr>
                        <pic:blipFill>
                          <a:blip r:embed="rId28"/>
                          <a:stretch>
                            <a:fillRect/>
                          </a:stretch>
                        </pic:blipFill>
                        <pic:spPr>
                          <a:xfrm>
                            <a:off x="0" y="0"/>
                            <a:ext cx="12065" cy="99758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12065" cy="880745"/>
                  <wp:effectExtent l="0" t="0" r="0" b="0"/>
                  <wp:wrapNone/>
                  <wp:docPr id="560" name="Text_Box_715_SpCnt_8"/>
                  <wp:cNvGraphicFramePr/>
                  <a:graphic xmlns:a="http://schemas.openxmlformats.org/drawingml/2006/main">
                    <a:graphicData uri="http://schemas.openxmlformats.org/drawingml/2006/picture">
                      <pic:pic xmlns:pic="http://schemas.openxmlformats.org/drawingml/2006/picture">
                        <pic:nvPicPr>
                          <pic:cNvPr id="560" name="Text_Box_715_SpCnt_8"/>
                          <pic:cNvPicPr/>
                        </pic:nvPicPr>
                        <pic:blipFill>
                          <a:blip r:embed="rId29"/>
                          <a:stretch>
                            <a:fillRect/>
                          </a:stretch>
                        </pic:blipFill>
                        <pic:spPr>
                          <a:xfrm>
                            <a:off x="0" y="0"/>
                            <a:ext cx="12065" cy="88074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12065" cy="1022350"/>
                  <wp:effectExtent l="0" t="0" r="0" b="0"/>
                  <wp:wrapNone/>
                  <wp:docPr id="561" name="Text_Box_716_SpCnt_5"/>
                  <wp:cNvGraphicFramePr/>
                  <a:graphic xmlns:a="http://schemas.openxmlformats.org/drawingml/2006/main">
                    <a:graphicData uri="http://schemas.openxmlformats.org/drawingml/2006/picture">
                      <pic:pic xmlns:pic="http://schemas.openxmlformats.org/drawingml/2006/picture">
                        <pic:nvPicPr>
                          <pic:cNvPr id="561" name="Text_Box_716_SpCnt_5"/>
                          <pic:cNvPicPr/>
                        </pic:nvPicPr>
                        <pic:blipFill>
                          <a:blip r:embed="rId26"/>
                          <a:stretch>
                            <a:fillRect/>
                          </a:stretch>
                        </pic:blipFill>
                        <pic:spPr>
                          <a:xfrm>
                            <a:off x="0" y="0"/>
                            <a:ext cx="12065" cy="102235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12065" cy="880745"/>
                  <wp:effectExtent l="0" t="0" r="0" b="0"/>
                  <wp:wrapNone/>
                  <wp:docPr id="562" name="Text_Box_716_SpCnt_6"/>
                  <wp:cNvGraphicFramePr/>
                  <a:graphic xmlns:a="http://schemas.openxmlformats.org/drawingml/2006/main">
                    <a:graphicData uri="http://schemas.openxmlformats.org/drawingml/2006/picture">
                      <pic:pic xmlns:pic="http://schemas.openxmlformats.org/drawingml/2006/picture">
                        <pic:nvPicPr>
                          <pic:cNvPr id="562" name="Text_Box_716_SpCnt_6"/>
                          <pic:cNvPicPr/>
                        </pic:nvPicPr>
                        <pic:blipFill>
                          <a:blip r:embed="rId29"/>
                          <a:stretch>
                            <a:fillRect/>
                          </a:stretch>
                        </pic:blipFill>
                        <pic:spPr>
                          <a:xfrm>
                            <a:off x="0" y="0"/>
                            <a:ext cx="12065" cy="88074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12065" cy="1022350"/>
                  <wp:effectExtent l="0" t="0" r="0" b="0"/>
                  <wp:wrapNone/>
                  <wp:docPr id="563" name="Text_Box_715_SpCnt_9"/>
                  <wp:cNvGraphicFramePr/>
                  <a:graphic xmlns:a="http://schemas.openxmlformats.org/drawingml/2006/main">
                    <a:graphicData uri="http://schemas.openxmlformats.org/drawingml/2006/picture">
                      <pic:pic xmlns:pic="http://schemas.openxmlformats.org/drawingml/2006/picture">
                        <pic:nvPicPr>
                          <pic:cNvPr id="563" name="Text_Box_715_SpCnt_9"/>
                          <pic:cNvPicPr/>
                        </pic:nvPicPr>
                        <pic:blipFill>
                          <a:blip r:embed="rId26"/>
                          <a:stretch>
                            <a:fillRect/>
                          </a:stretch>
                        </pic:blipFill>
                        <pic:spPr>
                          <a:xfrm>
                            <a:off x="0" y="0"/>
                            <a:ext cx="12065" cy="102235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12065" cy="1022350"/>
                  <wp:effectExtent l="0" t="0" r="0" b="0"/>
                  <wp:wrapNone/>
                  <wp:docPr id="564" name="Text_Box_716_SpCnt_7"/>
                  <wp:cNvGraphicFramePr/>
                  <a:graphic xmlns:a="http://schemas.openxmlformats.org/drawingml/2006/main">
                    <a:graphicData uri="http://schemas.openxmlformats.org/drawingml/2006/picture">
                      <pic:pic xmlns:pic="http://schemas.openxmlformats.org/drawingml/2006/picture">
                        <pic:nvPicPr>
                          <pic:cNvPr id="564" name="Text_Box_716_SpCnt_7"/>
                          <pic:cNvPicPr/>
                        </pic:nvPicPr>
                        <pic:blipFill>
                          <a:blip r:embed="rId26"/>
                          <a:stretch>
                            <a:fillRect/>
                          </a:stretch>
                        </pic:blipFill>
                        <pic:spPr>
                          <a:xfrm>
                            <a:off x="0" y="0"/>
                            <a:ext cx="12065" cy="102235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12065" cy="1022350"/>
                  <wp:effectExtent l="0" t="0" r="0" b="0"/>
                  <wp:wrapNone/>
                  <wp:docPr id="565" name="Text_Box_715_SpCnt_10"/>
                  <wp:cNvGraphicFramePr/>
                  <a:graphic xmlns:a="http://schemas.openxmlformats.org/drawingml/2006/main">
                    <a:graphicData uri="http://schemas.openxmlformats.org/drawingml/2006/picture">
                      <pic:pic xmlns:pic="http://schemas.openxmlformats.org/drawingml/2006/picture">
                        <pic:nvPicPr>
                          <pic:cNvPr id="565" name="Text_Box_715_SpCnt_10"/>
                          <pic:cNvPicPr/>
                        </pic:nvPicPr>
                        <pic:blipFill>
                          <a:blip r:embed="rId26"/>
                          <a:stretch>
                            <a:fillRect/>
                          </a:stretch>
                        </pic:blipFill>
                        <pic:spPr>
                          <a:xfrm>
                            <a:off x="0" y="0"/>
                            <a:ext cx="12065" cy="102235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7620" cy="1012825"/>
                  <wp:effectExtent l="0" t="0" r="0" b="0"/>
                  <wp:wrapNone/>
                  <wp:docPr id="566" name="Text_Box_716_SpCnt_8"/>
                  <wp:cNvGraphicFramePr/>
                  <a:graphic xmlns:a="http://schemas.openxmlformats.org/drawingml/2006/main">
                    <a:graphicData uri="http://schemas.openxmlformats.org/drawingml/2006/picture">
                      <pic:pic xmlns:pic="http://schemas.openxmlformats.org/drawingml/2006/picture">
                        <pic:nvPicPr>
                          <pic:cNvPr id="566" name="Text_Box_716_SpCnt_8"/>
                          <pic:cNvPicPr/>
                        </pic:nvPicPr>
                        <pic:blipFill>
                          <a:blip r:embed="rId30"/>
                          <a:stretch>
                            <a:fillRect/>
                          </a:stretch>
                        </pic:blipFill>
                        <pic:spPr>
                          <a:xfrm>
                            <a:off x="0" y="0"/>
                            <a:ext cx="7620" cy="101282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7620" cy="1012825"/>
                  <wp:effectExtent l="0" t="0" r="0" b="0"/>
                  <wp:wrapNone/>
                  <wp:docPr id="567" name="Text_Box_715_SpCnt_11"/>
                  <wp:cNvGraphicFramePr/>
                  <a:graphic xmlns:a="http://schemas.openxmlformats.org/drawingml/2006/main">
                    <a:graphicData uri="http://schemas.openxmlformats.org/drawingml/2006/picture">
                      <pic:pic xmlns:pic="http://schemas.openxmlformats.org/drawingml/2006/picture">
                        <pic:nvPicPr>
                          <pic:cNvPr id="567" name="Text_Box_715_SpCnt_11"/>
                          <pic:cNvPicPr/>
                        </pic:nvPicPr>
                        <pic:blipFill>
                          <a:blip r:embed="rId30"/>
                          <a:stretch>
                            <a:fillRect/>
                          </a:stretch>
                        </pic:blipFill>
                        <pic:spPr>
                          <a:xfrm>
                            <a:off x="0" y="0"/>
                            <a:ext cx="7620" cy="101282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12065" cy="1022350"/>
                  <wp:effectExtent l="0" t="0" r="0" b="0"/>
                  <wp:wrapNone/>
                  <wp:docPr id="568" name="Text_Box_716_SpCnt_9"/>
                  <wp:cNvGraphicFramePr/>
                  <a:graphic xmlns:a="http://schemas.openxmlformats.org/drawingml/2006/main">
                    <a:graphicData uri="http://schemas.openxmlformats.org/drawingml/2006/picture">
                      <pic:pic xmlns:pic="http://schemas.openxmlformats.org/drawingml/2006/picture">
                        <pic:nvPicPr>
                          <pic:cNvPr id="568" name="Text_Box_716_SpCnt_9"/>
                          <pic:cNvPicPr/>
                        </pic:nvPicPr>
                        <pic:blipFill>
                          <a:blip r:embed="rId26"/>
                          <a:stretch>
                            <a:fillRect/>
                          </a:stretch>
                        </pic:blipFill>
                        <pic:spPr>
                          <a:xfrm>
                            <a:off x="0" y="0"/>
                            <a:ext cx="12065" cy="102235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12065" cy="1022350"/>
                  <wp:effectExtent l="0" t="0" r="0" b="0"/>
                  <wp:wrapNone/>
                  <wp:docPr id="569" name="Text_Box_715_SpCnt_12"/>
                  <wp:cNvGraphicFramePr/>
                  <a:graphic xmlns:a="http://schemas.openxmlformats.org/drawingml/2006/main">
                    <a:graphicData uri="http://schemas.openxmlformats.org/drawingml/2006/picture">
                      <pic:pic xmlns:pic="http://schemas.openxmlformats.org/drawingml/2006/picture">
                        <pic:nvPicPr>
                          <pic:cNvPr id="569" name="Text_Box_715_SpCnt_12"/>
                          <pic:cNvPicPr/>
                        </pic:nvPicPr>
                        <pic:blipFill>
                          <a:blip r:embed="rId26"/>
                          <a:stretch>
                            <a:fillRect/>
                          </a:stretch>
                        </pic:blipFill>
                        <pic:spPr>
                          <a:xfrm>
                            <a:off x="0" y="0"/>
                            <a:ext cx="12065" cy="102235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12065" cy="920750"/>
                  <wp:effectExtent l="0" t="0" r="0" b="0"/>
                  <wp:wrapNone/>
                  <wp:docPr id="570" name="Text_Box_716_SpCnt_10"/>
                  <wp:cNvGraphicFramePr/>
                  <a:graphic xmlns:a="http://schemas.openxmlformats.org/drawingml/2006/main">
                    <a:graphicData uri="http://schemas.openxmlformats.org/drawingml/2006/picture">
                      <pic:pic xmlns:pic="http://schemas.openxmlformats.org/drawingml/2006/picture">
                        <pic:nvPicPr>
                          <pic:cNvPr id="570" name="Text_Box_716_SpCnt_10"/>
                          <pic:cNvPicPr/>
                        </pic:nvPicPr>
                        <pic:blipFill>
                          <a:blip r:embed="rId25"/>
                          <a:stretch>
                            <a:fillRect/>
                          </a:stretch>
                        </pic:blipFill>
                        <pic:spPr>
                          <a:xfrm>
                            <a:off x="0" y="0"/>
                            <a:ext cx="12065" cy="92075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12065" cy="920750"/>
                  <wp:effectExtent l="0" t="0" r="0" b="0"/>
                  <wp:wrapNone/>
                  <wp:docPr id="571" name="Text_Box_715_SpCnt_13"/>
                  <wp:cNvGraphicFramePr/>
                  <a:graphic xmlns:a="http://schemas.openxmlformats.org/drawingml/2006/main">
                    <a:graphicData uri="http://schemas.openxmlformats.org/drawingml/2006/picture">
                      <pic:pic xmlns:pic="http://schemas.openxmlformats.org/drawingml/2006/picture">
                        <pic:nvPicPr>
                          <pic:cNvPr id="571" name="Text_Box_715_SpCnt_13"/>
                          <pic:cNvPicPr/>
                        </pic:nvPicPr>
                        <pic:blipFill>
                          <a:blip r:embed="rId25"/>
                          <a:stretch>
                            <a:fillRect/>
                          </a:stretch>
                        </pic:blipFill>
                        <pic:spPr>
                          <a:xfrm>
                            <a:off x="0" y="0"/>
                            <a:ext cx="12065" cy="92075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12065" cy="883920"/>
                  <wp:effectExtent l="0" t="0" r="0" b="0"/>
                  <wp:wrapNone/>
                  <wp:docPr id="572" name="Text_Box_716_SpCnt_11"/>
                  <wp:cNvGraphicFramePr/>
                  <a:graphic xmlns:a="http://schemas.openxmlformats.org/drawingml/2006/main">
                    <a:graphicData uri="http://schemas.openxmlformats.org/drawingml/2006/picture">
                      <pic:pic xmlns:pic="http://schemas.openxmlformats.org/drawingml/2006/picture">
                        <pic:nvPicPr>
                          <pic:cNvPr id="572" name="Text_Box_716_SpCnt_11"/>
                          <pic:cNvPicPr/>
                        </pic:nvPicPr>
                        <pic:blipFill>
                          <a:blip r:embed="rId27"/>
                          <a:stretch>
                            <a:fillRect/>
                          </a:stretch>
                        </pic:blipFill>
                        <pic:spPr>
                          <a:xfrm>
                            <a:off x="0" y="0"/>
                            <a:ext cx="12065" cy="88392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12065" cy="883920"/>
                  <wp:effectExtent l="0" t="0" r="0" b="0"/>
                  <wp:wrapNone/>
                  <wp:docPr id="573" name="Text_Box_715_SpCnt_14"/>
                  <wp:cNvGraphicFramePr/>
                  <a:graphic xmlns:a="http://schemas.openxmlformats.org/drawingml/2006/main">
                    <a:graphicData uri="http://schemas.openxmlformats.org/drawingml/2006/picture">
                      <pic:pic xmlns:pic="http://schemas.openxmlformats.org/drawingml/2006/picture">
                        <pic:nvPicPr>
                          <pic:cNvPr id="573" name="Text_Box_715_SpCnt_14"/>
                          <pic:cNvPicPr/>
                        </pic:nvPicPr>
                        <pic:blipFill>
                          <a:blip r:embed="rId27"/>
                          <a:stretch>
                            <a:fillRect/>
                          </a:stretch>
                        </pic:blipFill>
                        <pic:spPr>
                          <a:xfrm>
                            <a:off x="0" y="0"/>
                            <a:ext cx="12065" cy="88392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12065" cy="997585"/>
                  <wp:effectExtent l="0" t="0" r="0" b="0"/>
                  <wp:wrapNone/>
                  <wp:docPr id="574" name="Text_Box_716_SpCnt_12"/>
                  <wp:cNvGraphicFramePr/>
                  <a:graphic xmlns:a="http://schemas.openxmlformats.org/drawingml/2006/main">
                    <a:graphicData uri="http://schemas.openxmlformats.org/drawingml/2006/picture">
                      <pic:pic xmlns:pic="http://schemas.openxmlformats.org/drawingml/2006/picture">
                        <pic:nvPicPr>
                          <pic:cNvPr id="574" name="Text_Box_716_SpCnt_12"/>
                          <pic:cNvPicPr/>
                        </pic:nvPicPr>
                        <pic:blipFill>
                          <a:blip r:embed="rId28"/>
                          <a:stretch>
                            <a:fillRect/>
                          </a:stretch>
                        </pic:blipFill>
                        <pic:spPr>
                          <a:xfrm>
                            <a:off x="0" y="0"/>
                            <a:ext cx="12065" cy="99758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12065" cy="997585"/>
                  <wp:effectExtent l="0" t="0" r="0" b="0"/>
                  <wp:wrapNone/>
                  <wp:docPr id="575" name="Text_Box_715_SpCnt_15"/>
                  <wp:cNvGraphicFramePr/>
                  <a:graphic xmlns:a="http://schemas.openxmlformats.org/drawingml/2006/main">
                    <a:graphicData uri="http://schemas.openxmlformats.org/drawingml/2006/picture">
                      <pic:pic xmlns:pic="http://schemas.openxmlformats.org/drawingml/2006/picture">
                        <pic:nvPicPr>
                          <pic:cNvPr id="575" name="Text_Box_715_SpCnt_15"/>
                          <pic:cNvPicPr/>
                        </pic:nvPicPr>
                        <pic:blipFill>
                          <a:blip r:embed="rId28"/>
                          <a:stretch>
                            <a:fillRect/>
                          </a:stretch>
                        </pic:blipFill>
                        <pic:spPr>
                          <a:xfrm>
                            <a:off x="0" y="0"/>
                            <a:ext cx="12065" cy="99758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12065" cy="880745"/>
                  <wp:effectExtent l="0" t="0" r="0" b="0"/>
                  <wp:wrapNone/>
                  <wp:docPr id="576" name="Text_Box_716_SpCnt_13"/>
                  <wp:cNvGraphicFramePr/>
                  <a:graphic xmlns:a="http://schemas.openxmlformats.org/drawingml/2006/main">
                    <a:graphicData uri="http://schemas.openxmlformats.org/drawingml/2006/picture">
                      <pic:pic xmlns:pic="http://schemas.openxmlformats.org/drawingml/2006/picture">
                        <pic:nvPicPr>
                          <pic:cNvPr id="576" name="Text_Box_716_SpCnt_13"/>
                          <pic:cNvPicPr/>
                        </pic:nvPicPr>
                        <pic:blipFill>
                          <a:blip r:embed="rId29"/>
                          <a:stretch>
                            <a:fillRect/>
                          </a:stretch>
                        </pic:blipFill>
                        <pic:spPr>
                          <a:xfrm>
                            <a:off x="0" y="0"/>
                            <a:ext cx="12065" cy="88074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12065" cy="880745"/>
                  <wp:effectExtent l="0" t="0" r="0" b="0"/>
                  <wp:wrapNone/>
                  <wp:docPr id="577" name="Text_Box_715_SpCnt_16"/>
                  <wp:cNvGraphicFramePr/>
                  <a:graphic xmlns:a="http://schemas.openxmlformats.org/drawingml/2006/main">
                    <a:graphicData uri="http://schemas.openxmlformats.org/drawingml/2006/picture">
                      <pic:pic xmlns:pic="http://schemas.openxmlformats.org/drawingml/2006/picture">
                        <pic:nvPicPr>
                          <pic:cNvPr id="577" name="Text_Box_715_SpCnt_16"/>
                          <pic:cNvPicPr/>
                        </pic:nvPicPr>
                        <pic:blipFill>
                          <a:blip r:embed="rId29"/>
                          <a:stretch>
                            <a:fillRect/>
                          </a:stretch>
                        </pic:blipFill>
                        <pic:spPr>
                          <a:xfrm>
                            <a:off x="0" y="0"/>
                            <a:ext cx="12065" cy="88074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12065" cy="1022350"/>
                  <wp:effectExtent l="0" t="0" r="0" b="0"/>
                  <wp:wrapNone/>
                  <wp:docPr id="578" name="Text_Box_716_SpCnt_14"/>
                  <wp:cNvGraphicFramePr/>
                  <a:graphic xmlns:a="http://schemas.openxmlformats.org/drawingml/2006/main">
                    <a:graphicData uri="http://schemas.openxmlformats.org/drawingml/2006/picture">
                      <pic:pic xmlns:pic="http://schemas.openxmlformats.org/drawingml/2006/picture">
                        <pic:nvPicPr>
                          <pic:cNvPr id="578" name="Text_Box_716_SpCnt_14"/>
                          <pic:cNvPicPr/>
                        </pic:nvPicPr>
                        <pic:blipFill>
                          <a:blip r:embed="rId26"/>
                          <a:stretch>
                            <a:fillRect/>
                          </a:stretch>
                        </pic:blipFill>
                        <pic:spPr>
                          <a:xfrm>
                            <a:off x="0" y="0"/>
                            <a:ext cx="12065" cy="102235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12065" cy="1022350"/>
                  <wp:effectExtent l="0" t="0" r="0" b="0"/>
                  <wp:wrapNone/>
                  <wp:docPr id="579" name="Text_Box_715_SpCnt_17"/>
                  <wp:cNvGraphicFramePr/>
                  <a:graphic xmlns:a="http://schemas.openxmlformats.org/drawingml/2006/main">
                    <a:graphicData uri="http://schemas.openxmlformats.org/drawingml/2006/picture">
                      <pic:pic xmlns:pic="http://schemas.openxmlformats.org/drawingml/2006/picture">
                        <pic:nvPicPr>
                          <pic:cNvPr id="579" name="Text_Box_715_SpCnt_17"/>
                          <pic:cNvPicPr/>
                        </pic:nvPicPr>
                        <pic:blipFill>
                          <a:blip r:embed="rId26"/>
                          <a:stretch>
                            <a:fillRect/>
                          </a:stretch>
                        </pic:blipFill>
                        <pic:spPr>
                          <a:xfrm>
                            <a:off x="0" y="0"/>
                            <a:ext cx="12065" cy="102235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12065" cy="1022350"/>
                  <wp:effectExtent l="0" t="0" r="0" b="0"/>
                  <wp:wrapNone/>
                  <wp:docPr id="580" name="Text_Box_716_SpCnt_15"/>
                  <wp:cNvGraphicFramePr/>
                  <a:graphic xmlns:a="http://schemas.openxmlformats.org/drawingml/2006/main">
                    <a:graphicData uri="http://schemas.openxmlformats.org/drawingml/2006/picture">
                      <pic:pic xmlns:pic="http://schemas.openxmlformats.org/drawingml/2006/picture">
                        <pic:nvPicPr>
                          <pic:cNvPr id="580" name="Text_Box_716_SpCnt_15"/>
                          <pic:cNvPicPr/>
                        </pic:nvPicPr>
                        <pic:blipFill>
                          <a:blip r:embed="rId26"/>
                          <a:stretch>
                            <a:fillRect/>
                          </a:stretch>
                        </pic:blipFill>
                        <pic:spPr>
                          <a:xfrm>
                            <a:off x="0" y="0"/>
                            <a:ext cx="12065" cy="102235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12065" cy="1022350"/>
                  <wp:effectExtent l="0" t="0" r="0" b="0"/>
                  <wp:wrapNone/>
                  <wp:docPr id="581" name="Text_Box_715_SpCnt_18"/>
                  <wp:cNvGraphicFramePr/>
                  <a:graphic xmlns:a="http://schemas.openxmlformats.org/drawingml/2006/main">
                    <a:graphicData uri="http://schemas.openxmlformats.org/drawingml/2006/picture">
                      <pic:pic xmlns:pic="http://schemas.openxmlformats.org/drawingml/2006/picture">
                        <pic:nvPicPr>
                          <pic:cNvPr id="581" name="Text_Box_715_SpCnt_18"/>
                          <pic:cNvPicPr/>
                        </pic:nvPicPr>
                        <pic:blipFill>
                          <a:blip r:embed="rId26"/>
                          <a:stretch>
                            <a:fillRect/>
                          </a:stretch>
                        </pic:blipFill>
                        <pic:spPr>
                          <a:xfrm>
                            <a:off x="0" y="0"/>
                            <a:ext cx="12065" cy="102235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7620" cy="1012825"/>
                  <wp:effectExtent l="0" t="0" r="0" b="0"/>
                  <wp:wrapNone/>
                  <wp:docPr id="582" name="Text_Box_716_SpCnt_16"/>
                  <wp:cNvGraphicFramePr/>
                  <a:graphic xmlns:a="http://schemas.openxmlformats.org/drawingml/2006/main">
                    <a:graphicData uri="http://schemas.openxmlformats.org/drawingml/2006/picture">
                      <pic:pic xmlns:pic="http://schemas.openxmlformats.org/drawingml/2006/picture">
                        <pic:nvPicPr>
                          <pic:cNvPr id="582" name="Text_Box_716_SpCnt_16"/>
                          <pic:cNvPicPr/>
                        </pic:nvPicPr>
                        <pic:blipFill>
                          <a:blip r:embed="rId30"/>
                          <a:stretch>
                            <a:fillRect/>
                          </a:stretch>
                        </pic:blipFill>
                        <pic:spPr>
                          <a:xfrm>
                            <a:off x="0" y="0"/>
                            <a:ext cx="7620" cy="101282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7620" cy="1012825"/>
                  <wp:effectExtent l="0" t="0" r="0" b="0"/>
                  <wp:wrapNone/>
                  <wp:docPr id="583" name="Text_Box_715_SpCnt_19"/>
                  <wp:cNvGraphicFramePr/>
                  <a:graphic xmlns:a="http://schemas.openxmlformats.org/drawingml/2006/main">
                    <a:graphicData uri="http://schemas.openxmlformats.org/drawingml/2006/picture">
                      <pic:pic xmlns:pic="http://schemas.openxmlformats.org/drawingml/2006/picture">
                        <pic:nvPicPr>
                          <pic:cNvPr id="583" name="Text_Box_715_SpCnt_19"/>
                          <pic:cNvPicPr/>
                        </pic:nvPicPr>
                        <pic:blipFill>
                          <a:blip r:embed="rId30"/>
                          <a:stretch>
                            <a:fillRect/>
                          </a:stretch>
                        </pic:blipFill>
                        <pic:spPr>
                          <a:xfrm>
                            <a:off x="0" y="0"/>
                            <a:ext cx="7620" cy="101282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12065" cy="1022350"/>
                  <wp:effectExtent l="0" t="0" r="0" b="0"/>
                  <wp:wrapNone/>
                  <wp:docPr id="584" name="Text_Box_716_SpCnt_17"/>
                  <wp:cNvGraphicFramePr/>
                  <a:graphic xmlns:a="http://schemas.openxmlformats.org/drawingml/2006/main">
                    <a:graphicData uri="http://schemas.openxmlformats.org/drawingml/2006/picture">
                      <pic:pic xmlns:pic="http://schemas.openxmlformats.org/drawingml/2006/picture">
                        <pic:nvPicPr>
                          <pic:cNvPr id="584" name="Text_Box_716_SpCnt_17"/>
                          <pic:cNvPicPr/>
                        </pic:nvPicPr>
                        <pic:blipFill>
                          <a:blip r:embed="rId26"/>
                          <a:stretch>
                            <a:fillRect/>
                          </a:stretch>
                        </pic:blipFill>
                        <pic:spPr>
                          <a:xfrm>
                            <a:off x="0" y="0"/>
                            <a:ext cx="12065" cy="102235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12065" cy="1022350"/>
                  <wp:effectExtent l="0" t="0" r="0" b="0"/>
                  <wp:wrapNone/>
                  <wp:docPr id="585" name="Text_Box_715_SpCnt_20"/>
                  <wp:cNvGraphicFramePr/>
                  <a:graphic xmlns:a="http://schemas.openxmlformats.org/drawingml/2006/main">
                    <a:graphicData uri="http://schemas.openxmlformats.org/drawingml/2006/picture">
                      <pic:pic xmlns:pic="http://schemas.openxmlformats.org/drawingml/2006/picture">
                        <pic:nvPicPr>
                          <pic:cNvPr id="585" name="Text_Box_715_SpCnt_20"/>
                          <pic:cNvPicPr/>
                        </pic:nvPicPr>
                        <pic:blipFill>
                          <a:blip r:embed="rId26"/>
                          <a:stretch>
                            <a:fillRect/>
                          </a:stretch>
                        </pic:blipFill>
                        <pic:spPr>
                          <a:xfrm>
                            <a:off x="0" y="0"/>
                            <a:ext cx="12065" cy="102235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12065" cy="920750"/>
                  <wp:effectExtent l="0" t="0" r="0" b="0"/>
                  <wp:wrapNone/>
                  <wp:docPr id="586" name="Text_Box_716_SpCnt_18"/>
                  <wp:cNvGraphicFramePr/>
                  <a:graphic xmlns:a="http://schemas.openxmlformats.org/drawingml/2006/main">
                    <a:graphicData uri="http://schemas.openxmlformats.org/drawingml/2006/picture">
                      <pic:pic xmlns:pic="http://schemas.openxmlformats.org/drawingml/2006/picture">
                        <pic:nvPicPr>
                          <pic:cNvPr id="586" name="Text_Box_716_SpCnt_18"/>
                          <pic:cNvPicPr/>
                        </pic:nvPicPr>
                        <pic:blipFill>
                          <a:blip r:embed="rId25"/>
                          <a:stretch>
                            <a:fillRect/>
                          </a:stretch>
                        </pic:blipFill>
                        <pic:spPr>
                          <a:xfrm>
                            <a:off x="0" y="0"/>
                            <a:ext cx="12065" cy="92075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12065" cy="920750"/>
                  <wp:effectExtent l="0" t="0" r="0" b="0"/>
                  <wp:wrapNone/>
                  <wp:docPr id="587" name="Text_Box_715_SpCnt_21"/>
                  <wp:cNvGraphicFramePr/>
                  <a:graphic xmlns:a="http://schemas.openxmlformats.org/drawingml/2006/main">
                    <a:graphicData uri="http://schemas.openxmlformats.org/drawingml/2006/picture">
                      <pic:pic xmlns:pic="http://schemas.openxmlformats.org/drawingml/2006/picture">
                        <pic:nvPicPr>
                          <pic:cNvPr id="587" name="Text_Box_715_SpCnt_21"/>
                          <pic:cNvPicPr/>
                        </pic:nvPicPr>
                        <pic:blipFill>
                          <a:blip r:embed="rId25"/>
                          <a:stretch>
                            <a:fillRect/>
                          </a:stretch>
                        </pic:blipFill>
                        <pic:spPr>
                          <a:xfrm>
                            <a:off x="0" y="0"/>
                            <a:ext cx="12065" cy="92075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12065" cy="883920"/>
                  <wp:effectExtent l="0" t="0" r="0" b="0"/>
                  <wp:wrapNone/>
                  <wp:docPr id="588" name="Text_Box_716_SpCnt_19"/>
                  <wp:cNvGraphicFramePr/>
                  <a:graphic xmlns:a="http://schemas.openxmlformats.org/drawingml/2006/main">
                    <a:graphicData uri="http://schemas.openxmlformats.org/drawingml/2006/picture">
                      <pic:pic xmlns:pic="http://schemas.openxmlformats.org/drawingml/2006/picture">
                        <pic:nvPicPr>
                          <pic:cNvPr id="588" name="Text_Box_716_SpCnt_19"/>
                          <pic:cNvPicPr/>
                        </pic:nvPicPr>
                        <pic:blipFill>
                          <a:blip r:embed="rId27"/>
                          <a:stretch>
                            <a:fillRect/>
                          </a:stretch>
                        </pic:blipFill>
                        <pic:spPr>
                          <a:xfrm>
                            <a:off x="0" y="0"/>
                            <a:ext cx="12065" cy="88392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7620" cy="1012825"/>
                  <wp:effectExtent l="0" t="0" r="0" b="0"/>
                  <wp:wrapNone/>
                  <wp:docPr id="589" name="Text_Box_716_SpCnt_20"/>
                  <wp:cNvGraphicFramePr/>
                  <a:graphic xmlns:a="http://schemas.openxmlformats.org/drawingml/2006/main">
                    <a:graphicData uri="http://schemas.openxmlformats.org/drawingml/2006/picture">
                      <pic:pic xmlns:pic="http://schemas.openxmlformats.org/drawingml/2006/picture">
                        <pic:nvPicPr>
                          <pic:cNvPr id="589" name="Text_Box_716_SpCnt_20"/>
                          <pic:cNvPicPr/>
                        </pic:nvPicPr>
                        <pic:blipFill>
                          <a:blip r:embed="rId30"/>
                          <a:stretch>
                            <a:fillRect/>
                          </a:stretch>
                        </pic:blipFill>
                        <pic:spPr>
                          <a:xfrm>
                            <a:off x="0" y="0"/>
                            <a:ext cx="7620" cy="101282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12065" cy="997585"/>
                  <wp:effectExtent l="0" t="0" r="0" b="0"/>
                  <wp:wrapNone/>
                  <wp:docPr id="590" name="Text_Box_715_SpCnt_22"/>
                  <wp:cNvGraphicFramePr/>
                  <a:graphic xmlns:a="http://schemas.openxmlformats.org/drawingml/2006/main">
                    <a:graphicData uri="http://schemas.openxmlformats.org/drawingml/2006/picture">
                      <pic:pic xmlns:pic="http://schemas.openxmlformats.org/drawingml/2006/picture">
                        <pic:nvPicPr>
                          <pic:cNvPr id="590" name="Text_Box_715_SpCnt_22"/>
                          <pic:cNvPicPr/>
                        </pic:nvPicPr>
                        <pic:blipFill>
                          <a:blip r:embed="rId28"/>
                          <a:stretch>
                            <a:fillRect/>
                          </a:stretch>
                        </pic:blipFill>
                        <pic:spPr>
                          <a:xfrm>
                            <a:off x="0" y="0"/>
                            <a:ext cx="12065" cy="99758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12065" cy="880745"/>
                  <wp:effectExtent l="0" t="0" r="0" b="0"/>
                  <wp:wrapNone/>
                  <wp:docPr id="591" name="Text_Box_715_SpCnt_23"/>
                  <wp:cNvGraphicFramePr/>
                  <a:graphic xmlns:a="http://schemas.openxmlformats.org/drawingml/2006/main">
                    <a:graphicData uri="http://schemas.openxmlformats.org/drawingml/2006/picture">
                      <pic:pic xmlns:pic="http://schemas.openxmlformats.org/drawingml/2006/picture">
                        <pic:nvPicPr>
                          <pic:cNvPr id="591" name="Text_Box_715_SpCnt_23"/>
                          <pic:cNvPicPr/>
                        </pic:nvPicPr>
                        <pic:blipFill>
                          <a:blip r:embed="rId29"/>
                          <a:stretch>
                            <a:fillRect/>
                          </a:stretch>
                        </pic:blipFill>
                        <pic:spPr>
                          <a:xfrm>
                            <a:off x="0" y="0"/>
                            <a:ext cx="12065" cy="88074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12065" cy="1022350"/>
                  <wp:effectExtent l="0" t="0" r="0" b="0"/>
                  <wp:wrapNone/>
                  <wp:docPr id="592" name="Text_Box_716_SpCnt_21"/>
                  <wp:cNvGraphicFramePr/>
                  <a:graphic xmlns:a="http://schemas.openxmlformats.org/drawingml/2006/main">
                    <a:graphicData uri="http://schemas.openxmlformats.org/drawingml/2006/picture">
                      <pic:pic xmlns:pic="http://schemas.openxmlformats.org/drawingml/2006/picture">
                        <pic:nvPicPr>
                          <pic:cNvPr id="592" name="Text_Box_716_SpCnt_21"/>
                          <pic:cNvPicPr/>
                        </pic:nvPicPr>
                        <pic:blipFill>
                          <a:blip r:embed="rId26"/>
                          <a:stretch>
                            <a:fillRect/>
                          </a:stretch>
                        </pic:blipFill>
                        <pic:spPr>
                          <a:xfrm>
                            <a:off x="0" y="0"/>
                            <a:ext cx="12065" cy="102235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12065" cy="880745"/>
                  <wp:effectExtent l="0" t="0" r="0" b="0"/>
                  <wp:wrapNone/>
                  <wp:docPr id="593" name="Text_Box_716_SpCnt_22"/>
                  <wp:cNvGraphicFramePr/>
                  <a:graphic xmlns:a="http://schemas.openxmlformats.org/drawingml/2006/main">
                    <a:graphicData uri="http://schemas.openxmlformats.org/drawingml/2006/picture">
                      <pic:pic xmlns:pic="http://schemas.openxmlformats.org/drawingml/2006/picture">
                        <pic:nvPicPr>
                          <pic:cNvPr id="593" name="Text_Box_716_SpCnt_22"/>
                          <pic:cNvPicPr/>
                        </pic:nvPicPr>
                        <pic:blipFill>
                          <a:blip r:embed="rId29"/>
                          <a:stretch>
                            <a:fillRect/>
                          </a:stretch>
                        </pic:blipFill>
                        <pic:spPr>
                          <a:xfrm>
                            <a:off x="0" y="0"/>
                            <a:ext cx="12065" cy="88074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12065" cy="1022350"/>
                  <wp:effectExtent l="0" t="0" r="0" b="0"/>
                  <wp:wrapNone/>
                  <wp:docPr id="594" name="Text_Box_715_SpCnt_24"/>
                  <wp:cNvGraphicFramePr/>
                  <a:graphic xmlns:a="http://schemas.openxmlformats.org/drawingml/2006/main">
                    <a:graphicData uri="http://schemas.openxmlformats.org/drawingml/2006/picture">
                      <pic:pic xmlns:pic="http://schemas.openxmlformats.org/drawingml/2006/picture">
                        <pic:nvPicPr>
                          <pic:cNvPr id="594" name="Text_Box_715_SpCnt_24"/>
                          <pic:cNvPicPr/>
                        </pic:nvPicPr>
                        <pic:blipFill>
                          <a:blip r:embed="rId26"/>
                          <a:stretch>
                            <a:fillRect/>
                          </a:stretch>
                        </pic:blipFill>
                        <pic:spPr>
                          <a:xfrm>
                            <a:off x="0" y="0"/>
                            <a:ext cx="12065" cy="102235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12065" cy="1022350"/>
                  <wp:effectExtent l="0" t="0" r="0" b="0"/>
                  <wp:wrapNone/>
                  <wp:docPr id="595" name="Text_Box_716_SpCnt_23"/>
                  <wp:cNvGraphicFramePr/>
                  <a:graphic xmlns:a="http://schemas.openxmlformats.org/drawingml/2006/main">
                    <a:graphicData uri="http://schemas.openxmlformats.org/drawingml/2006/picture">
                      <pic:pic xmlns:pic="http://schemas.openxmlformats.org/drawingml/2006/picture">
                        <pic:nvPicPr>
                          <pic:cNvPr id="595" name="Text_Box_716_SpCnt_23"/>
                          <pic:cNvPicPr/>
                        </pic:nvPicPr>
                        <pic:blipFill>
                          <a:blip r:embed="rId26"/>
                          <a:stretch>
                            <a:fillRect/>
                          </a:stretch>
                        </pic:blipFill>
                        <pic:spPr>
                          <a:xfrm>
                            <a:off x="0" y="0"/>
                            <a:ext cx="12065" cy="102235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12065" cy="1022350"/>
                  <wp:effectExtent l="0" t="0" r="0" b="0"/>
                  <wp:wrapNone/>
                  <wp:docPr id="596" name="Text_Box_715_SpCnt_25"/>
                  <wp:cNvGraphicFramePr/>
                  <a:graphic xmlns:a="http://schemas.openxmlformats.org/drawingml/2006/main">
                    <a:graphicData uri="http://schemas.openxmlformats.org/drawingml/2006/picture">
                      <pic:pic xmlns:pic="http://schemas.openxmlformats.org/drawingml/2006/picture">
                        <pic:nvPicPr>
                          <pic:cNvPr id="596" name="Text_Box_715_SpCnt_25"/>
                          <pic:cNvPicPr/>
                        </pic:nvPicPr>
                        <pic:blipFill>
                          <a:blip r:embed="rId26"/>
                          <a:stretch>
                            <a:fillRect/>
                          </a:stretch>
                        </pic:blipFill>
                        <pic:spPr>
                          <a:xfrm>
                            <a:off x="0" y="0"/>
                            <a:ext cx="12065" cy="102235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7620" cy="1012825"/>
                  <wp:effectExtent l="0" t="0" r="0" b="0"/>
                  <wp:wrapNone/>
                  <wp:docPr id="597" name="Text_Box_716_SpCnt_24"/>
                  <wp:cNvGraphicFramePr/>
                  <a:graphic xmlns:a="http://schemas.openxmlformats.org/drawingml/2006/main">
                    <a:graphicData uri="http://schemas.openxmlformats.org/drawingml/2006/picture">
                      <pic:pic xmlns:pic="http://schemas.openxmlformats.org/drawingml/2006/picture">
                        <pic:nvPicPr>
                          <pic:cNvPr id="597" name="Text_Box_716_SpCnt_24"/>
                          <pic:cNvPicPr/>
                        </pic:nvPicPr>
                        <pic:blipFill>
                          <a:blip r:embed="rId30"/>
                          <a:stretch>
                            <a:fillRect/>
                          </a:stretch>
                        </pic:blipFill>
                        <pic:spPr>
                          <a:xfrm>
                            <a:off x="0" y="0"/>
                            <a:ext cx="7620" cy="101282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7620" cy="1012825"/>
                  <wp:effectExtent l="0" t="0" r="0" b="0"/>
                  <wp:wrapNone/>
                  <wp:docPr id="598" name="Text_Box_715_SpCnt_26"/>
                  <wp:cNvGraphicFramePr/>
                  <a:graphic xmlns:a="http://schemas.openxmlformats.org/drawingml/2006/main">
                    <a:graphicData uri="http://schemas.openxmlformats.org/drawingml/2006/picture">
                      <pic:pic xmlns:pic="http://schemas.openxmlformats.org/drawingml/2006/picture">
                        <pic:nvPicPr>
                          <pic:cNvPr id="598" name="Text_Box_715_SpCnt_26"/>
                          <pic:cNvPicPr/>
                        </pic:nvPicPr>
                        <pic:blipFill>
                          <a:blip r:embed="rId30"/>
                          <a:stretch>
                            <a:fillRect/>
                          </a:stretch>
                        </pic:blipFill>
                        <pic:spPr>
                          <a:xfrm>
                            <a:off x="0" y="0"/>
                            <a:ext cx="7620" cy="101282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12065" cy="1022350"/>
                  <wp:effectExtent l="0" t="0" r="0" b="0"/>
                  <wp:wrapNone/>
                  <wp:docPr id="599" name="Text_Box_716_SpCnt_25"/>
                  <wp:cNvGraphicFramePr/>
                  <a:graphic xmlns:a="http://schemas.openxmlformats.org/drawingml/2006/main">
                    <a:graphicData uri="http://schemas.openxmlformats.org/drawingml/2006/picture">
                      <pic:pic xmlns:pic="http://schemas.openxmlformats.org/drawingml/2006/picture">
                        <pic:nvPicPr>
                          <pic:cNvPr id="599" name="Text_Box_716_SpCnt_25"/>
                          <pic:cNvPicPr/>
                        </pic:nvPicPr>
                        <pic:blipFill>
                          <a:blip r:embed="rId26"/>
                          <a:stretch>
                            <a:fillRect/>
                          </a:stretch>
                        </pic:blipFill>
                        <pic:spPr>
                          <a:xfrm>
                            <a:off x="0" y="0"/>
                            <a:ext cx="12065" cy="102235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12065" cy="1022350"/>
                  <wp:effectExtent l="0" t="0" r="0" b="0"/>
                  <wp:wrapNone/>
                  <wp:docPr id="600" name="Text_Box_715_SpCnt_27"/>
                  <wp:cNvGraphicFramePr/>
                  <a:graphic xmlns:a="http://schemas.openxmlformats.org/drawingml/2006/main">
                    <a:graphicData uri="http://schemas.openxmlformats.org/drawingml/2006/picture">
                      <pic:pic xmlns:pic="http://schemas.openxmlformats.org/drawingml/2006/picture">
                        <pic:nvPicPr>
                          <pic:cNvPr id="600" name="Text_Box_715_SpCnt_27"/>
                          <pic:cNvPicPr/>
                        </pic:nvPicPr>
                        <pic:blipFill>
                          <a:blip r:embed="rId26"/>
                          <a:stretch>
                            <a:fillRect/>
                          </a:stretch>
                        </pic:blipFill>
                        <pic:spPr>
                          <a:xfrm>
                            <a:off x="0" y="0"/>
                            <a:ext cx="12065" cy="102235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12065" cy="920750"/>
                  <wp:effectExtent l="0" t="0" r="0" b="0"/>
                  <wp:wrapNone/>
                  <wp:docPr id="601" name="Text_Box_716_SpCnt_26"/>
                  <wp:cNvGraphicFramePr/>
                  <a:graphic xmlns:a="http://schemas.openxmlformats.org/drawingml/2006/main">
                    <a:graphicData uri="http://schemas.openxmlformats.org/drawingml/2006/picture">
                      <pic:pic xmlns:pic="http://schemas.openxmlformats.org/drawingml/2006/picture">
                        <pic:nvPicPr>
                          <pic:cNvPr id="601" name="Text_Box_716_SpCnt_26"/>
                          <pic:cNvPicPr/>
                        </pic:nvPicPr>
                        <pic:blipFill>
                          <a:blip r:embed="rId25"/>
                          <a:stretch>
                            <a:fillRect/>
                          </a:stretch>
                        </pic:blipFill>
                        <pic:spPr>
                          <a:xfrm>
                            <a:off x="0" y="0"/>
                            <a:ext cx="12065" cy="92075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12065" cy="920750"/>
                  <wp:effectExtent l="0" t="0" r="0" b="0"/>
                  <wp:wrapNone/>
                  <wp:docPr id="602" name="Text_Box_715_SpCnt_28"/>
                  <wp:cNvGraphicFramePr/>
                  <a:graphic xmlns:a="http://schemas.openxmlformats.org/drawingml/2006/main">
                    <a:graphicData uri="http://schemas.openxmlformats.org/drawingml/2006/picture">
                      <pic:pic xmlns:pic="http://schemas.openxmlformats.org/drawingml/2006/picture">
                        <pic:nvPicPr>
                          <pic:cNvPr id="602" name="Text_Box_715_SpCnt_28"/>
                          <pic:cNvPicPr/>
                        </pic:nvPicPr>
                        <pic:blipFill>
                          <a:blip r:embed="rId25"/>
                          <a:stretch>
                            <a:fillRect/>
                          </a:stretch>
                        </pic:blipFill>
                        <pic:spPr>
                          <a:xfrm>
                            <a:off x="0" y="0"/>
                            <a:ext cx="12065" cy="92075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12065" cy="883920"/>
                  <wp:effectExtent l="0" t="0" r="0" b="0"/>
                  <wp:wrapNone/>
                  <wp:docPr id="603" name="Text_Box_716_SpCnt_27"/>
                  <wp:cNvGraphicFramePr/>
                  <a:graphic xmlns:a="http://schemas.openxmlformats.org/drawingml/2006/main">
                    <a:graphicData uri="http://schemas.openxmlformats.org/drawingml/2006/picture">
                      <pic:pic xmlns:pic="http://schemas.openxmlformats.org/drawingml/2006/picture">
                        <pic:nvPicPr>
                          <pic:cNvPr id="603" name="Text_Box_716_SpCnt_27"/>
                          <pic:cNvPicPr/>
                        </pic:nvPicPr>
                        <pic:blipFill>
                          <a:blip r:embed="rId27"/>
                          <a:stretch>
                            <a:fillRect/>
                          </a:stretch>
                        </pic:blipFill>
                        <pic:spPr>
                          <a:xfrm>
                            <a:off x="0" y="0"/>
                            <a:ext cx="12065" cy="88392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12065" cy="920750"/>
                  <wp:effectExtent l="0" t="0" r="0" b="0"/>
                  <wp:wrapNone/>
                  <wp:docPr id="604" name="Text_Box_716_SpCnt_28"/>
                  <wp:cNvGraphicFramePr/>
                  <a:graphic xmlns:a="http://schemas.openxmlformats.org/drawingml/2006/main">
                    <a:graphicData uri="http://schemas.openxmlformats.org/drawingml/2006/picture">
                      <pic:pic xmlns:pic="http://schemas.openxmlformats.org/drawingml/2006/picture">
                        <pic:nvPicPr>
                          <pic:cNvPr id="604" name="Text_Box_716_SpCnt_28"/>
                          <pic:cNvPicPr/>
                        </pic:nvPicPr>
                        <pic:blipFill>
                          <a:blip r:embed="rId25"/>
                          <a:stretch>
                            <a:fillRect/>
                          </a:stretch>
                        </pic:blipFill>
                        <pic:spPr>
                          <a:xfrm>
                            <a:off x="0" y="0"/>
                            <a:ext cx="12065" cy="92075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7620" cy="1012825"/>
                  <wp:effectExtent l="0" t="0" r="0" b="0"/>
                  <wp:wrapNone/>
                  <wp:docPr id="605" name="Text_Box_715_SpCnt_29"/>
                  <wp:cNvGraphicFramePr/>
                  <a:graphic xmlns:a="http://schemas.openxmlformats.org/drawingml/2006/main">
                    <a:graphicData uri="http://schemas.openxmlformats.org/drawingml/2006/picture">
                      <pic:pic xmlns:pic="http://schemas.openxmlformats.org/drawingml/2006/picture">
                        <pic:nvPicPr>
                          <pic:cNvPr id="605" name="Text_Box_715_SpCnt_29"/>
                          <pic:cNvPicPr/>
                        </pic:nvPicPr>
                        <pic:blipFill>
                          <a:blip r:embed="rId30"/>
                          <a:stretch>
                            <a:fillRect/>
                          </a:stretch>
                        </pic:blipFill>
                        <pic:spPr>
                          <a:xfrm>
                            <a:off x="0" y="0"/>
                            <a:ext cx="7620" cy="101282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12065" cy="880745"/>
                  <wp:effectExtent l="0" t="0" r="0" b="0"/>
                  <wp:wrapNone/>
                  <wp:docPr id="606" name="Text_Box_715_SpCnt_30"/>
                  <wp:cNvGraphicFramePr/>
                  <a:graphic xmlns:a="http://schemas.openxmlformats.org/drawingml/2006/main">
                    <a:graphicData uri="http://schemas.openxmlformats.org/drawingml/2006/picture">
                      <pic:pic xmlns:pic="http://schemas.openxmlformats.org/drawingml/2006/picture">
                        <pic:nvPicPr>
                          <pic:cNvPr id="606" name="Text_Box_715_SpCnt_30"/>
                          <pic:cNvPicPr/>
                        </pic:nvPicPr>
                        <pic:blipFill>
                          <a:blip r:embed="rId29"/>
                          <a:stretch>
                            <a:fillRect/>
                          </a:stretch>
                        </pic:blipFill>
                        <pic:spPr>
                          <a:xfrm>
                            <a:off x="0" y="0"/>
                            <a:ext cx="12065" cy="88074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12065" cy="1022350"/>
                  <wp:effectExtent l="0" t="0" r="0" b="0"/>
                  <wp:wrapNone/>
                  <wp:docPr id="607" name="Text_Box_716_SpCnt_29"/>
                  <wp:cNvGraphicFramePr/>
                  <a:graphic xmlns:a="http://schemas.openxmlformats.org/drawingml/2006/main">
                    <a:graphicData uri="http://schemas.openxmlformats.org/drawingml/2006/picture">
                      <pic:pic xmlns:pic="http://schemas.openxmlformats.org/drawingml/2006/picture">
                        <pic:nvPicPr>
                          <pic:cNvPr id="607" name="Text_Box_716_SpCnt_29"/>
                          <pic:cNvPicPr/>
                        </pic:nvPicPr>
                        <pic:blipFill>
                          <a:blip r:embed="rId26"/>
                          <a:stretch>
                            <a:fillRect/>
                          </a:stretch>
                        </pic:blipFill>
                        <pic:spPr>
                          <a:xfrm>
                            <a:off x="0" y="0"/>
                            <a:ext cx="12065" cy="102235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12065" cy="1022350"/>
                  <wp:effectExtent l="0" t="0" r="0" b="0"/>
                  <wp:wrapNone/>
                  <wp:docPr id="608" name="Text_Box_716_SpCnt_30"/>
                  <wp:cNvGraphicFramePr/>
                  <a:graphic xmlns:a="http://schemas.openxmlformats.org/drawingml/2006/main">
                    <a:graphicData uri="http://schemas.openxmlformats.org/drawingml/2006/picture">
                      <pic:pic xmlns:pic="http://schemas.openxmlformats.org/drawingml/2006/picture">
                        <pic:nvPicPr>
                          <pic:cNvPr id="608" name="Text_Box_716_SpCnt_30"/>
                          <pic:cNvPicPr/>
                        </pic:nvPicPr>
                        <pic:blipFill>
                          <a:blip r:embed="rId26"/>
                          <a:stretch>
                            <a:fillRect/>
                          </a:stretch>
                        </pic:blipFill>
                        <pic:spPr>
                          <a:xfrm>
                            <a:off x="0" y="0"/>
                            <a:ext cx="12065" cy="102235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12065" cy="1022350"/>
                  <wp:effectExtent l="0" t="0" r="0" b="0"/>
                  <wp:wrapNone/>
                  <wp:docPr id="609" name="Text_Box_715_SpCnt_31"/>
                  <wp:cNvGraphicFramePr/>
                  <a:graphic xmlns:a="http://schemas.openxmlformats.org/drawingml/2006/main">
                    <a:graphicData uri="http://schemas.openxmlformats.org/drawingml/2006/picture">
                      <pic:pic xmlns:pic="http://schemas.openxmlformats.org/drawingml/2006/picture">
                        <pic:nvPicPr>
                          <pic:cNvPr id="609" name="Text_Box_715_SpCnt_31"/>
                          <pic:cNvPicPr/>
                        </pic:nvPicPr>
                        <pic:blipFill>
                          <a:blip r:embed="rId26"/>
                          <a:stretch>
                            <a:fillRect/>
                          </a:stretch>
                        </pic:blipFill>
                        <pic:spPr>
                          <a:xfrm>
                            <a:off x="0" y="0"/>
                            <a:ext cx="12065" cy="102235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12065" cy="1022350"/>
                  <wp:effectExtent l="0" t="0" r="0" b="0"/>
                  <wp:wrapNone/>
                  <wp:docPr id="610" name="Text_Box_716_SpCnt_31"/>
                  <wp:cNvGraphicFramePr/>
                  <a:graphic xmlns:a="http://schemas.openxmlformats.org/drawingml/2006/main">
                    <a:graphicData uri="http://schemas.openxmlformats.org/drawingml/2006/picture">
                      <pic:pic xmlns:pic="http://schemas.openxmlformats.org/drawingml/2006/picture">
                        <pic:nvPicPr>
                          <pic:cNvPr id="610" name="Text_Box_716_SpCnt_31"/>
                          <pic:cNvPicPr/>
                        </pic:nvPicPr>
                        <pic:blipFill>
                          <a:blip r:embed="rId26"/>
                          <a:stretch>
                            <a:fillRect/>
                          </a:stretch>
                        </pic:blipFill>
                        <pic:spPr>
                          <a:xfrm>
                            <a:off x="0" y="0"/>
                            <a:ext cx="12065" cy="102235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59264" behindDoc="0" locked="0" layoutInCell="1" allowOverlap="1">
                  <wp:simplePos x="0" y="0"/>
                  <wp:positionH relativeFrom="column">
                    <wp:posOffset>1055370</wp:posOffset>
                  </wp:positionH>
                  <wp:positionV relativeFrom="paragraph">
                    <wp:posOffset>0</wp:posOffset>
                  </wp:positionV>
                  <wp:extent cx="7620" cy="837565"/>
                  <wp:effectExtent l="0" t="0" r="0" b="0"/>
                  <wp:wrapNone/>
                  <wp:docPr id="611" name="Text_Box_716_SpCnt_32"/>
                  <wp:cNvGraphicFramePr/>
                  <a:graphic xmlns:a="http://schemas.openxmlformats.org/drawingml/2006/main">
                    <a:graphicData uri="http://schemas.openxmlformats.org/drawingml/2006/picture">
                      <pic:pic xmlns:pic="http://schemas.openxmlformats.org/drawingml/2006/picture">
                        <pic:nvPicPr>
                          <pic:cNvPr id="611" name="Text_Box_716_SpCnt_32"/>
                          <pic:cNvPicPr/>
                        </pic:nvPicPr>
                        <pic:blipFill>
                          <a:blip r:embed="rId31"/>
                          <a:stretch>
                            <a:fillRect/>
                          </a:stretch>
                        </pic:blipFill>
                        <pic:spPr>
                          <a:xfrm>
                            <a:off x="0" y="0"/>
                            <a:ext cx="7620" cy="83756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59264" behindDoc="0" locked="0" layoutInCell="1" allowOverlap="1">
                  <wp:simplePos x="0" y="0"/>
                  <wp:positionH relativeFrom="column">
                    <wp:posOffset>1055370</wp:posOffset>
                  </wp:positionH>
                  <wp:positionV relativeFrom="paragraph">
                    <wp:posOffset>0</wp:posOffset>
                  </wp:positionV>
                  <wp:extent cx="7620" cy="837565"/>
                  <wp:effectExtent l="0" t="0" r="0" b="0"/>
                  <wp:wrapNone/>
                  <wp:docPr id="612" name="Text_Box_715_SpCnt_32"/>
                  <wp:cNvGraphicFramePr/>
                  <a:graphic xmlns:a="http://schemas.openxmlformats.org/drawingml/2006/main">
                    <a:graphicData uri="http://schemas.openxmlformats.org/drawingml/2006/picture">
                      <pic:pic xmlns:pic="http://schemas.openxmlformats.org/drawingml/2006/picture">
                        <pic:nvPicPr>
                          <pic:cNvPr id="612" name="Text_Box_715_SpCnt_32"/>
                          <pic:cNvPicPr/>
                        </pic:nvPicPr>
                        <pic:blipFill>
                          <a:blip r:embed="rId31"/>
                          <a:stretch>
                            <a:fillRect/>
                          </a:stretch>
                        </pic:blipFill>
                        <pic:spPr>
                          <a:xfrm>
                            <a:off x="0" y="0"/>
                            <a:ext cx="7620" cy="83756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59264" behindDoc="0" locked="0" layoutInCell="1" allowOverlap="1">
                  <wp:simplePos x="0" y="0"/>
                  <wp:positionH relativeFrom="column">
                    <wp:posOffset>1055370</wp:posOffset>
                  </wp:positionH>
                  <wp:positionV relativeFrom="paragraph">
                    <wp:posOffset>0</wp:posOffset>
                  </wp:positionV>
                  <wp:extent cx="7620" cy="988060"/>
                  <wp:effectExtent l="0" t="0" r="0" b="0"/>
                  <wp:wrapNone/>
                  <wp:docPr id="613" name="Text_Box_716_SpCnt_33"/>
                  <wp:cNvGraphicFramePr/>
                  <a:graphic xmlns:a="http://schemas.openxmlformats.org/drawingml/2006/main">
                    <a:graphicData uri="http://schemas.openxmlformats.org/drawingml/2006/picture">
                      <pic:pic xmlns:pic="http://schemas.openxmlformats.org/drawingml/2006/picture">
                        <pic:nvPicPr>
                          <pic:cNvPr id="613" name="Text_Box_716_SpCnt_33"/>
                          <pic:cNvPicPr/>
                        </pic:nvPicPr>
                        <pic:blipFill>
                          <a:blip r:embed="rId32"/>
                          <a:stretch>
                            <a:fillRect/>
                          </a:stretch>
                        </pic:blipFill>
                        <pic:spPr>
                          <a:xfrm>
                            <a:off x="0" y="0"/>
                            <a:ext cx="7620" cy="98806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59264" behindDoc="0" locked="0" layoutInCell="1" allowOverlap="1">
                  <wp:simplePos x="0" y="0"/>
                  <wp:positionH relativeFrom="column">
                    <wp:posOffset>1055370</wp:posOffset>
                  </wp:positionH>
                  <wp:positionV relativeFrom="paragraph">
                    <wp:posOffset>0</wp:posOffset>
                  </wp:positionV>
                  <wp:extent cx="7620" cy="1142365"/>
                  <wp:effectExtent l="0" t="0" r="0" b="0"/>
                  <wp:wrapNone/>
                  <wp:docPr id="614" name="Text_Box_716_SpCnt_34"/>
                  <wp:cNvGraphicFramePr/>
                  <a:graphic xmlns:a="http://schemas.openxmlformats.org/drawingml/2006/main">
                    <a:graphicData uri="http://schemas.openxmlformats.org/drawingml/2006/picture">
                      <pic:pic xmlns:pic="http://schemas.openxmlformats.org/drawingml/2006/picture">
                        <pic:nvPicPr>
                          <pic:cNvPr id="614" name="Text_Box_716_SpCnt_34"/>
                          <pic:cNvPicPr/>
                        </pic:nvPicPr>
                        <pic:blipFill>
                          <a:blip r:embed="rId33"/>
                          <a:stretch>
                            <a:fillRect/>
                          </a:stretch>
                        </pic:blipFill>
                        <pic:spPr>
                          <a:xfrm>
                            <a:off x="0" y="0"/>
                            <a:ext cx="7620" cy="114236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59264" behindDoc="0" locked="0" layoutInCell="1" allowOverlap="1">
                  <wp:simplePos x="0" y="0"/>
                  <wp:positionH relativeFrom="column">
                    <wp:posOffset>1055370</wp:posOffset>
                  </wp:positionH>
                  <wp:positionV relativeFrom="paragraph">
                    <wp:posOffset>0</wp:posOffset>
                  </wp:positionV>
                  <wp:extent cx="7620" cy="988060"/>
                  <wp:effectExtent l="0" t="0" r="0" b="0"/>
                  <wp:wrapNone/>
                  <wp:docPr id="615" name="Text_Box_715_SpCnt_33"/>
                  <wp:cNvGraphicFramePr/>
                  <a:graphic xmlns:a="http://schemas.openxmlformats.org/drawingml/2006/main">
                    <a:graphicData uri="http://schemas.openxmlformats.org/drawingml/2006/picture">
                      <pic:pic xmlns:pic="http://schemas.openxmlformats.org/drawingml/2006/picture">
                        <pic:nvPicPr>
                          <pic:cNvPr id="615" name="Text_Box_715_SpCnt_33"/>
                          <pic:cNvPicPr/>
                        </pic:nvPicPr>
                        <pic:blipFill>
                          <a:blip r:embed="rId32"/>
                          <a:stretch>
                            <a:fillRect/>
                          </a:stretch>
                        </pic:blipFill>
                        <pic:spPr>
                          <a:xfrm>
                            <a:off x="0" y="0"/>
                            <a:ext cx="7620" cy="98806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59264" behindDoc="0" locked="0" layoutInCell="1" allowOverlap="1">
                  <wp:simplePos x="0" y="0"/>
                  <wp:positionH relativeFrom="column">
                    <wp:posOffset>1055370</wp:posOffset>
                  </wp:positionH>
                  <wp:positionV relativeFrom="paragraph">
                    <wp:posOffset>0</wp:posOffset>
                  </wp:positionV>
                  <wp:extent cx="7620" cy="1142365"/>
                  <wp:effectExtent l="0" t="0" r="0" b="0"/>
                  <wp:wrapNone/>
                  <wp:docPr id="616" name="Text_Box_715_SpCnt_34"/>
                  <wp:cNvGraphicFramePr/>
                  <a:graphic xmlns:a="http://schemas.openxmlformats.org/drawingml/2006/main">
                    <a:graphicData uri="http://schemas.openxmlformats.org/drawingml/2006/picture">
                      <pic:pic xmlns:pic="http://schemas.openxmlformats.org/drawingml/2006/picture">
                        <pic:nvPicPr>
                          <pic:cNvPr id="616" name="Text_Box_715_SpCnt_34"/>
                          <pic:cNvPicPr/>
                        </pic:nvPicPr>
                        <pic:blipFill>
                          <a:blip r:embed="rId33"/>
                          <a:stretch>
                            <a:fillRect/>
                          </a:stretch>
                        </pic:blipFill>
                        <pic:spPr>
                          <a:xfrm>
                            <a:off x="0" y="0"/>
                            <a:ext cx="7620" cy="114236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t>建设为休闲湿地和森林康体登山公园，保护和发挥绿水青山资源，提升集镇品位，打造美丽宜居的健康生活目的地。公园总占地400亩，其中湿地40亩，森林占地360亩。</w:t>
            </w:r>
          </w:p>
        </w:tc>
        <w:tc>
          <w:tcPr>
            <w:tcW w:w="408" w:type="pct"/>
            <w:vAlign w:val="center"/>
          </w:tcPr>
          <w:p w14:paraId="6102420A">
            <w:pPr>
              <w:widowControl/>
              <w:spacing w:line="240" w:lineRule="auto"/>
              <w:jc w:val="left"/>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2022-2030</w:t>
            </w:r>
          </w:p>
        </w:tc>
        <w:tc>
          <w:tcPr>
            <w:tcW w:w="413" w:type="pct"/>
            <w:vAlign w:val="center"/>
          </w:tcPr>
          <w:p w14:paraId="27ADC148">
            <w:pPr>
              <w:widowControl/>
              <w:spacing w:line="240" w:lineRule="auto"/>
              <w:jc w:val="center"/>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1100</w:t>
            </w:r>
          </w:p>
        </w:tc>
        <w:tc>
          <w:tcPr>
            <w:tcW w:w="413" w:type="pct"/>
            <w:vAlign w:val="center"/>
          </w:tcPr>
          <w:p w14:paraId="523CA0D7">
            <w:pPr>
              <w:spacing w:line="240" w:lineRule="auto"/>
              <w:jc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县住建局</w:t>
            </w:r>
          </w:p>
        </w:tc>
        <w:tc>
          <w:tcPr>
            <w:tcW w:w="320" w:type="pct"/>
            <w:vAlign w:val="center"/>
          </w:tcPr>
          <w:p w14:paraId="29F7BFF3">
            <w:pPr>
              <w:spacing w:line="240" w:lineRule="auto"/>
              <w:jc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政府投入</w:t>
            </w:r>
          </w:p>
        </w:tc>
        <w:tc>
          <w:tcPr>
            <w:tcW w:w="569" w:type="pct"/>
            <w:vAlign w:val="center"/>
          </w:tcPr>
          <w:p w14:paraId="10F06BF7">
            <w:pPr>
              <w:spacing w:line="240" w:lineRule="auto"/>
              <w:jc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林草覆盖率</w:t>
            </w:r>
          </w:p>
        </w:tc>
      </w:tr>
      <w:tr w14:paraId="6DAD1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170" w:type="pct"/>
            <w:vMerge w:val="continue"/>
            <w:vAlign w:val="center"/>
          </w:tcPr>
          <w:p w14:paraId="2F33E875">
            <w:pPr>
              <w:widowControl/>
              <w:spacing w:line="240" w:lineRule="auto"/>
              <w:jc w:val="center"/>
              <w:textAlignment w:val="center"/>
              <w:rPr>
                <w:rFonts w:ascii="Times New Roman" w:hAnsi="Times New Roman" w:eastAsia="仿宋" w:cs="Times New Roman"/>
                <w:color w:val="auto"/>
                <w:kern w:val="0"/>
                <w:sz w:val="21"/>
                <w:szCs w:val="21"/>
                <w:lang w:bidi="ar"/>
              </w:rPr>
            </w:pPr>
          </w:p>
        </w:tc>
        <w:tc>
          <w:tcPr>
            <w:tcW w:w="255" w:type="pct"/>
            <w:vAlign w:val="center"/>
          </w:tcPr>
          <w:p w14:paraId="22F60F7F">
            <w:pPr>
              <w:widowControl/>
              <w:spacing w:line="240" w:lineRule="auto"/>
              <w:jc w:val="center"/>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5</w:t>
            </w:r>
          </w:p>
        </w:tc>
        <w:tc>
          <w:tcPr>
            <w:tcW w:w="631" w:type="pct"/>
            <w:vAlign w:val="center"/>
          </w:tcPr>
          <w:p w14:paraId="4A18B996">
            <w:pPr>
              <w:widowControl/>
              <w:spacing w:line="240" w:lineRule="auto"/>
              <w:jc w:val="left"/>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新平县哀牢山国家级保护区生态监测站建设</w:t>
            </w:r>
          </w:p>
        </w:tc>
        <w:tc>
          <w:tcPr>
            <w:tcW w:w="1816" w:type="pct"/>
            <w:vAlign w:val="center"/>
          </w:tcPr>
          <w:p w14:paraId="36CFE327">
            <w:pPr>
              <w:widowControl/>
              <w:spacing w:line="240" w:lineRule="auto"/>
              <w:jc w:val="left"/>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建设2个生态系统定位监测站1000平方米、气象监测站2个100平方米、鸟类监测环志站2个800平方米、野外生态教育点5个1000平方米、公众教育路线步道100公里、栈道50公里。</w:t>
            </w:r>
          </w:p>
        </w:tc>
        <w:tc>
          <w:tcPr>
            <w:tcW w:w="408" w:type="pct"/>
            <w:vAlign w:val="center"/>
          </w:tcPr>
          <w:p w14:paraId="06E8708C">
            <w:pPr>
              <w:widowControl/>
              <w:spacing w:line="240" w:lineRule="auto"/>
              <w:jc w:val="left"/>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2021-2025</w:t>
            </w:r>
          </w:p>
        </w:tc>
        <w:tc>
          <w:tcPr>
            <w:tcW w:w="413" w:type="pct"/>
            <w:vAlign w:val="center"/>
          </w:tcPr>
          <w:p w14:paraId="06C4639A">
            <w:pPr>
              <w:widowControl/>
              <w:spacing w:line="240" w:lineRule="auto"/>
              <w:jc w:val="center"/>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2000</w:t>
            </w:r>
          </w:p>
        </w:tc>
        <w:tc>
          <w:tcPr>
            <w:tcW w:w="413" w:type="pct"/>
            <w:vAlign w:val="center"/>
          </w:tcPr>
          <w:p w14:paraId="3AD6D0DC">
            <w:pPr>
              <w:spacing w:line="240" w:lineRule="auto"/>
              <w:jc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新县林业和草原局</w:t>
            </w:r>
          </w:p>
        </w:tc>
        <w:tc>
          <w:tcPr>
            <w:tcW w:w="320" w:type="pct"/>
            <w:vAlign w:val="center"/>
          </w:tcPr>
          <w:p w14:paraId="151CEA07">
            <w:pPr>
              <w:spacing w:line="240" w:lineRule="auto"/>
              <w:jc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政府投入</w:t>
            </w:r>
          </w:p>
        </w:tc>
        <w:tc>
          <w:tcPr>
            <w:tcW w:w="569" w:type="pct"/>
            <w:vAlign w:val="center"/>
          </w:tcPr>
          <w:p w14:paraId="69721FF0">
            <w:pPr>
              <w:spacing w:line="240" w:lineRule="auto"/>
              <w:jc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生物多样性保护</w:t>
            </w:r>
          </w:p>
        </w:tc>
      </w:tr>
      <w:tr w14:paraId="53639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170" w:type="pct"/>
            <w:vMerge w:val="continue"/>
            <w:vAlign w:val="center"/>
          </w:tcPr>
          <w:p w14:paraId="25FA674E">
            <w:pPr>
              <w:widowControl/>
              <w:spacing w:line="240" w:lineRule="auto"/>
              <w:jc w:val="center"/>
              <w:textAlignment w:val="center"/>
              <w:rPr>
                <w:rFonts w:ascii="Times New Roman" w:hAnsi="Times New Roman" w:eastAsia="仿宋" w:cs="Times New Roman"/>
                <w:color w:val="auto"/>
                <w:kern w:val="0"/>
                <w:sz w:val="21"/>
                <w:szCs w:val="21"/>
                <w:lang w:bidi="ar"/>
              </w:rPr>
            </w:pPr>
          </w:p>
        </w:tc>
        <w:tc>
          <w:tcPr>
            <w:tcW w:w="255" w:type="pct"/>
            <w:vAlign w:val="center"/>
          </w:tcPr>
          <w:p w14:paraId="00396EDF">
            <w:pPr>
              <w:widowControl/>
              <w:spacing w:line="240" w:lineRule="auto"/>
              <w:jc w:val="center"/>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6</w:t>
            </w:r>
          </w:p>
        </w:tc>
        <w:tc>
          <w:tcPr>
            <w:tcW w:w="631" w:type="pct"/>
            <w:vAlign w:val="center"/>
          </w:tcPr>
          <w:p w14:paraId="6167D708">
            <w:pPr>
              <w:widowControl/>
              <w:spacing w:line="240" w:lineRule="auto"/>
              <w:jc w:val="left"/>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新平县哀牢山国家级保护区科研宣教中心及配套建设</w:t>
            </w:r>
          </w:p>
        </w:tc>
        <w:tc>
          <w:tcPr>
            <w:tcW w:w="1816" w:type="pct"/>
            <w:vAlign w:val="center"/>
          </w:tcPr>
          <w:p w14:paraId="0FC79679">
            <w:pPr>
              <w:widowControl/>
              <w:spacing w:line="240" w:lineRule="auto"/>
              <w:jc w:val="left"/>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建设科研宣教用房500平方米、宣教场馆200平方米，配备相应设备。</w:t>
            </w:r>
          </w:p>
        </w:tc>
        <w:tc>
          <w:tcPr>
            <w:tcW w:w="408" w:type="pct"/>
            <w:vAlign w:val="center"/>
          </w:tcPr>
          <w:p w14:paraId="1F004F24">
            <w:pPr>
              <w:widowControl/>
              <w:spacing w:line="240" w:lineRule="auto"/>
              <w:jc w:val="left"/>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2022-2024</w:t>
            </w:r>
          </w:p>
        </w:tc>
        <w:tc>
          <w:tcPr>
            <w:tcW w:w="413" w:type="pct"/>
            <w:vAlign w:val="center"/>
          </w:tcPr>
          <w:p w14:paraId="394AA493">
            <w:pPr>
              <w:widowControl/>
              <w:spacing w:line="240" w:lineRule="auto"/>
              <w:jc w:val="center"/>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1600</w:t>
            </w:r>
          </w:p>
        </w:tc>
        <w:tc>
          <w:tcPr>
            <w:tcW w:w="413" w:type="pct"/>
            <w:vAlign w:val="center"/>
          </w:tcPr>
          <w:p w14:paraId="2A326D3B">
            <w:pPr>
              <w:spacing w:line="240" w:lineRule="auto"/>
              <w:jc w:val="both"/>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县林业和草原局</w:t>
            </w:r>
          </w:p>
        </w:tc>
        <w:tc>
          <w:tcPr>
            <w:tcW w:w="320" w:type="pct"/>
            <w:vAlign w:val="center"/>
          </w:tcPr>
          <w:p w14:paraId="222E9190">
            <w:pPr>
              <w:spacing w:line="240" w:lineRule="auto"/>
              <w:jc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政府投入</w:t>
            </w:r>
          </w:p>
        </w:tc>
        <w:tc>
          <w:tcPr>
            <w:tcW w:w="569" w:type="pct"/>
            <w:vAlign w:val="center"/>
          </w:tcPr>
          <w:p w14:paraId="79F9FE8F">
            <w:pPr>
              <w:spacing w:line="240" w:lineRule="auto"/>
              <w:jc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生物多样性保护</w:t>
            </w:r>
          </w:p>
        </w:tc>
      </w:tr>
      <w:tr w14:paraId="383BE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170" w:type="pct"/>
            <w:vMerge w:val="continue"/>
            <w:vAlign w:val="center"/>
          </w:tcPr>
          <w:p w14:paraId="6D5D2D84">
            <w:pPr>
              <w:widowControl/>
              <w:spacing w:line="240" w:lineRule="auto"/>
              <w:jc w:val="center"/>
              <w:textAlignment w:val="center"/>
              <w:rPr>
                <w:rFonts w:ascii="Times New Roman" w:hAnsi="Times New Roman" w:eastAsia="仿宋" w:cs="Times New Roman"/>
                <w:color w:val="auto"/>
                <w:kern w:val="0"/>
                <w:sz w:val="21"/>
                <w:szCs w:val="21"/>
                <w:lang w:bidi="ar"/>
              </w:rPr>
            </w:pPr>
          </w:p>
        </w:tc>
        <w:tc>
          <w:tcPr>
            <w:tcW w:w="255" w:type="pct"/>
            <w:vAlign w:val="center"/>
          </w:tcPr>
          <w:p w14:paraId="4FBD58EC">
            <w:pPr>
              <w:widowControl/>
              <w:spacing w:line="240" w:lineRule="auto"/>
              <w:jc w:val="center"/>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7</w:t>
            </w:r>
          </w:p>
        </w:tc>
        <w:tc>
          <w:tcPr>
            <w:tcW w:w="631" w:type="pct"/>
            <w:vAlign w:val="center"/>
          </w:tcPr>
          <w:p w14:paraId="3CD2F5F3">
            <w:pPr>
              <w:widowControl/>
              <w:spacing w:line="240" w:lineRule="auto"/>
              <w:jc w:val="left"/>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医疗废物收集和处置设施建设工</w:t>
            </w:r>
          </w:p>
          <w:p w14:paraId="062966D1">
            <w:pPr>
              <w:widowControl/>
              <w:spacing w:line="240" w:lineRule="auto"/>
              <w:jc w:val="left"/>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工程项目</w:t>
            </w:r>
          </w:p>
        </w:tc>
        <w:tc>
          <w:tcPr>
            <w:tcW w:w="1816" w:type="pct"/>
            <w:vAlign w:val="center"/>
          </w:tcPr>
          <w:p w14:paraId="2CA0F288">
            <w:pPr>
              <w:widowControl/>
              <w:spacing w:line="240" w:lineRule="auto"/>
              <w:jc w:val="left"/>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完善新平县医疗废物收集和处置设施，医疗废物收集转运系统等。</w:t>
            </w:r>
          </w:p>
        </w:tc>
        <w:tc>
          <w:tcPr>
            <w:tcW w:w="408" w:type="pct"/>
            <w:vAlign w:val="center"/>
          </w:tcPr>
          <w:p w14:paraId="10A8C53E">
            <w:pPr>
              <w:widowControl/>
              <w:spacing w:line="240" w:lineRule="auto"/>
              <w:jc w:val="left"/>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2022-2023</w:t>
            </w:r>
          </w:p>
        </w:tc>
        <w:tc>
          <w:tcPr>
            <w:tcW w:w="413" w:type="pct"/>
            <w:vAlign w:val="center"/>
          </w:tcPr>
          <w:p w14:paraId="4BE3AA3F">
            <w:pPr>
              <w:widowControl/>
              <w:spacing w:line="240" w:lineRule="auto"/>
              <w:jc w:val="center"/>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500</w:t>
            </w:r>
          </w:p>
        </w:tc>
        <w:tc>
          <w:tcPr>
            <w:tcW w:w="413" w:type="pct"/>
            <w:vAlign w:val="center"/>
          </w:tcPr>
          <w:p w14:paraId="29CBA762">
            <w:pPr>
              <w:spacing w:line="240" w:lineRule="auto"/>
              <w:jc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县卫健局</w:t>
            </w:r>
          </w:p>
        </w:tc>
        <w:tc>
          <w:tcPr>
            <w:tcW w:w="320" w:type="pct"/>
            <w:vAlign w:val="center"/>
          </w:tcPr>
          <w:p w14:paraId="09ABAE08">
            <w:pPr>
              <w:spacing w:line="240" w:lineRule="auto"/>
              <w:jc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政府投入</w:t>
            </w:r>
          </w:p>
        </w:tc>
        <w:tc>
          <w:tcPr>
            <w:tcW w:w="569" w:type="pct"/>
            <w:vAlign w:val="center"/>
          </w:tcPr>
          <w:p w14:paraId="7590C66F">
            <w:pPr>
              <w:spacing w:line="240" w:lineRule="auto"/>
              <w:jc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危险废物利用处置率</w:t>
            </w:r>
          </w:p>
        </w:tc>
      </w:tr>
      <w:tr w14:paraId="0B5C7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170" w:type="pct"/>
            <w:vMerge w:val="continue"/>
            <w:vAlign w:val="center"/>
          </w:tcPr>
          <w:p w14:paraId="02E22903">
            <w:pPr>
              <w:spacing w:line="240" w:lineRule="auto"/>
              <w:jc w:val="center"/>
              <w:rPr>
                <w:rFonts w:ascii="Times New Roman" w:hAnsi="Times New Roman" w:eastAsia="仿宋" w:cs="Times New Roman"/>
                <w:color w:val="auto"/>
                <w:sz w:val="21"/>
                <w:szCs w:val="21"/>
              </w:rPr>
            </w:pPr>
          </w:p>
        </w:tc>
        <w:tc>
          <w:tcPr>
            <w:tcW w:w="255" w:type="pct"/>
            <w:vAlign w:val="center"/>
          </w:tcPr>
          <w:p w14:paraId="3AAA901A">
            <w:pPr>
              <w:widowControl/>
              <w:spacing w:line="240" w:lineRule="auto"/>
              <w:jc w:val="center"/>
              <w:textAlignment w:val="center"/>
              <w:rPr>
                <w:rFonts w:ascii="Times New Roman" w:hAnsi="Times New Roman" w:eastAsia="仿宋" w:cs="Times New Roman"/>
                <w:color w:val="auto"/>
                <w:kern w:val="0"/>
                <w:sz w:val="21"/>
                <w:szCs w:val="21"/>
                <w:lang w:bidi="ar"/>
              </w:rPr>
            </w:pPr>
            <w:r>
              <w:rPr>
                <w:rFonts w:ascii="Times New Roman" w:hAnsi="Times New Roman" w:eastAsia="仿宋" w:cs="Times New Roman"/>
                <w:color w:val="auto"/>
                <w:kern w:val="0"/>
                <w:sz w:val="21"/>
                <w:szCs w:val="21"/>
                <w:lang w:bidi="ar"/>
              </w:rPr>
              <w:t>小计</w:t>
            </w:r>
          </w:p>
        </w:tc>
        <w:tc>
          <w:tcPr>
            <w:tcW w:w="2856" w:type="pct"/>
            <w:gridSpan w:val="3"/>
            <w:vAlign w:val="center"/>
          </w:tcPr>
          <w:p w14:paraId="14362632">
            <w:pPr>
              <w:widowControl/>
              <w:spacing w:line="240" w:lineRule="auto"/>
              <w:jc w:val="center"/>
              <w:textAlignment w:val="center"/>
              <w:rPr>
                <w:rFonts w:ascii="Times New Roman" w:hAnsi="Times New Roman" w:eastAsia="仿宋" w:cs="Times New Roman"/>
                <w:color w:val="auto"/>
                <w:kern w:val="0"/>
                <w:sz w:val="21"/>
                <w:szCs w:val="21"/>
                <w:lang w:bidi="ar"/>
              </w:rPr>
            </w:pPr>
            <w:r>
              <w:rPr>
                <w:rFonts w:ascii="Times New Roman" w:hAnsi="Times New Roman" w:eastAsia="仿宋" w:cs="Times New Roman"/>
                <w:color w:val="auto"/>
                <w:kern w:val="0"/>
                <w:sz w:val="21"/>
                <w:szCs w:val="21"/>
                <w:lang w:bidi="ar"/>
              </w:rPr>
              <w:t>/</w:t>
            </w:r>
          </w:p>
        </w:tc>
        <w:tc>
          <w:tcPr>
            <w:tcW w:w="413" w:type="pct"/>
            <w:vAlign w:val="center"/>
          </w:tcPr>
          <w:p w14:paraId="4BBF8235">
            <w:pPr>
              <w:widowControl/>
              <w:spacing w:line="240" w:lineRule="auto"/>
              <w:jc w:val="center"/>
              <w:textAlignment w:val="center"/>
              <w:rPr>
                <w:rFonts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b/>
                <w:bCs/>
                <w:color w:val="auto"/>
                <w:kern w:val="0"/>
                <w:sz w:val="21"/>
                <w:szCs w:val="21"/>
                <w:lang w:val="en-US" w:eastAsia="zh-CN" w:bidi="ar"/>
              </w:rPr>
              <w:t>48082</w:t>
            </w:r>
          </w:p>
        </w:tc>
        <w:tc>
          <w:tcPr>
            <w:tcW w:w="413" w:type="pct"/>
            <w:vAlign w:val="center"/>
          </w:tcPr>
          <w:p w14:paraId="5346409E">
            <w:pPr>
              <w:spacing w:line="240" w:lineRule="auto"/>
              <w:jc w:val="center"/>
              <w:rPr>
                <w:rFonts w:ascii="Times New Roman" w:hAnsi="Times New Roman" w:eastAsia="仿宋" w:cs="Times New Roman"/>
                <w:color w:val="auto"/>
                <w:kern w:val="0"/>
                <w:sz w:val="21"/>
                <w:szCs w:val="21"/>
                <w:lang w:bidi="ar"/>
              </w:rPr>
            </w:pPr>
          </w:p>
        </w:tc>
        <w:tc>
          <w:tcPr>
            <w:tcW w:w="320" w:type="pct"/>
            <w:vAlign w:val="center"/>
          </w:tcPr>
          <w:p w14:paraId="5A9B88FA">
            <w:pPr>
              <w:spacing w:line="240" w:lineRule="auto"/>
              <w:jc w:val="center"/>
              <w:rPr>
                <w:rFonts w:ascii="Times New Roman" w:hAnsi="Times New Roman" w:eastAsia="仿宋" w:cs="Times New Roman"/>
                <w:color w:val="auto"/>
                <w:kern w:val="0"/>
                <w:sz w:val="21"/>
                <w:szCs w:val="21"/>
                <w:lang w:bidi="ar"/>
              </w:rPr>
            </w:pPr>
          </w:p>
        </w:tc>
        <w:tc>
          <w:tcPr>
            <w:tcW w:w="569" w:type="pct"/>
            <w:vAlign w:val="center"/>
          </w:tcPr>
          <w:p w14:paraId="2F7C1AE0">
            <w:pPr>
              <w:spacing w:line="240" w:lineRule="auto"/>
              <w:jc w:val="center"/>
              <w:rPr>
                <w:rFonts w:ascii="Times New Roman" w:hAnsi="Times New Roman" w:eastAsia="仿宋" w:cs="Times New Roman"/>
                <w:color w:val="auto"/>
                <w:kern w:val="0"/>
                <w:sz w:val="21"/>
                <w:szCs w:val="21"/>
                <w:lang w:bidi="ar"/>
              </w:rPr>
            </w:pPr>
          </w:p>
        </w:tc>
      </w:tr>
      <w:tr w14:paraId="3F8ED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70" w:type="pct"/>
            <w:vMerge w:val="restart"/>
            <w:vAlign w:val="center"/>
          </w:tcPr>
          <w:p w14:paraId="323B98D2">
            <w:pPr>
              <w:widowControl/>
              <w:spacing w:line="240" w:lineRule="auto"/>
              <w:jc w:val="center"/>
              <w:textAlignment w:val="center"/>
              <w:rPr>
                <w:rFonts w:ascii="Times New Roman" w:hAnsi="Times New Roman" w:eastAsia="仿宋" w:cs="Times New Roman"/>
                <w:color w:val="auto"/>
                <w:sz w:val="21"/>
                <w:szCs w:val="21"/>
              </w:rPr>
            </w:pPr>
            <w:r>
              <w:rPr>
                <w:rFonts w:ascii="Times New Roman" w:hAnsi="Times New Roman" w:eastAsia="仿宋" w:cs="Times New Roman"/>
                <w:color w:val="auto"/>
                <w:kern w:val="0"/>
                <w:sz w:val="21"/>
                <w:szCs w:val="21"/>
                <w:lang w:bidi="ar"/>
              </w:rPr>
              <w:t>生态空间</w:t>
            </w:r>
          </w:p>
        </w:tc>
        <w:tc>
          <w:tcPr>
            <w:tcW w:w="255" w:type="pct"/>
            <w:vAlign w:val="center"/>
          </w:tcPr>
          <w:p w14:paraId="18BB4AE3">
            <w:pPr>
              <w:widowControl/>
              <w:spacing w:line="240" w:lineRule="auto"/>
              <w:jc w:val="center"/>
              <w:textAlignment w:val="center"/>
              <w:rPr>
                <w:rFonts w:ascii="Times New Roman" w:hAnsi="Times New Roman" w:eastAsia="仿宋" w:cs="Times New Roman"/>
                <w:color w:val="auto"/>
                <w:kern w:val="0"/>
                <w:sz w:val="21"/>
                <w:szCs w:val="21"/>
                <w:lang w:bidi="ar"/>
              </w:rPr>
            </w:pPr>
            <w:r>
              <w:rPr>
                <w:rFonts w:hint="eastAsia" w:ascii="Times New Roman" w:hAnsi="Times New Roman" w:eastAsia="仿宋" w:cs="Times New Roman"/>
                <w:color w:val="auto"/>
                <w:kern w:val="0"/>
                <w:sz w:val="21"/>
                <w:szCs w:val="21"/>
                <w:lang w:val="en-US" w:eastAsia="zh-CN" w:bidi="ar"/>
              </w:rPr>
              <w:t>1</w:t>
            </w:r>
          </w:p>
        </w:tc>
        <w:tc>
          <w:tcPr>
            <w:tcW w:w="631" w:type="pct"/>
            <w:vAlign w:val="center"/>
          </w:tcPr>
          <w:p w14:paraId="0EDCC140">
            <w:pPr>
              <w:widowControl/>
              <w:spacing w:line="240" w:lineRule="auto"/>
              <w:jc w:val="left"/>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磨盘山国家森林公园保护管理设施项目</w:t>
            </w:r>
          </w:p>
        </w:tc>
        <w:tc>
          <w:tcPr>
            <w:tcW w:w="1816" w:type="pct"/>
            <w:vAlign w:val="center"/>
          </w:tcPr>
          <w:p w14:paraId="77AD13B0">
            <w:pPr>
              <w:widowControl/>
              <w:spacing w:line="240" w:lineRule="auto"/>
              <w:jc w:val="left"/>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0288" behindDoc="0" locked="0" layoutInCell="1" allowOverlap="1">
                  <wp:simplePos x="0" y="0"/>
                  <wp:positionH relativeFrom="column">
                    <wp:posOffset>690245</wp:posOffset>
                  </wp:positionH>
                  <wp:positionV relativeFrom="paragraph">
                    <wp:posOffset>0</wp:posOffset>
                  </wp:positionV>
                  <wp:extent cx="82550" cy="403860"/>
                  <wp:effectExtent l="0" t="0" r="0" b="0"/>
                  <wp:wrapNone/>
                  <wp:docPr id="779" name="Text_Box_35"/>
                  <wp:cNvGraphicFramePr/>
                  <a:graphic xmlns:a="http://schemas.openxmlformats.org/drawingml/2006/main">
                    <a:graphicData uri="http://schemas.openxmlformats.org/drawingml/2006/picture">
                      <pic:pic xmlns:pic="http://schemas.openxmlformats.org/drawingml/2006/picture">
                        <pic:nvPicPr>
                          <pic:cNvPr id="779" name="Text_Box_35"/>
                          <pic:cNvPicPr/>
                        </pic:nvPicPr>
                        <pic:blipFill>
                          <a:blip r:embed="rId34"/>
                          <a:stretch>
                            <a:fillRect/>
                          </a:stretch>
                        </pic:blipFill>
                        <pic:spPr>
                          <a:xfrm>
                            <a:off x="0" y="0"/>
                            <a:ext cx="82550" cy="40386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0288" behindDoc="0" locked="0" layoutInCell="1" allowOverlap="1">
                  <wp:simplePos x="0" y="0"/>
                  <wp:positionH relativeFrom="column">
                    <wp:posOffset>690245</wp:posOffset>
                  </wp:positionH>
                  <wp:positionV relativeFrom="paragraph">
                    <wp:posOffset>0</wp:posOffset>
                  </wp:positionV>
                  <wp:extent cx="82550" cy="403860"/>
                  <wp:effectExtent l="0" t="0" r="0" b="0"/>
                  <wp:wrapNone/>
                  <wp:docPr id="780" name="Text_Box_41"/>
                  <wp:cNvGraphicFramePr/>
                  <a:graphic xmlns:a="http://schemas.openxmlformats.org/drawingml/2006/main">
                    <a:graphicData uri="http://schemas.openxmlformats.org/drawingml/2006/picture">
                      <pic:pic xmlns:pic="http://schemas.openxmlformats.org/drawingml/2006/picture">
                        <pic:nvPicPr>
                          <pic:cNvPr id="780" name="Text_Box_41"/>
                          <pic:cNvPicPr/>
                        </pic:nvPicPr>
                        <pic:blipFill>
                          <a:blip r:embed="rId34"/>
                          <a:stretch>
                            <a:fillRect/>
                          </a:stretch>
                        </pic:blipFill>
                        <pic:spPr>
                          <a:xfrm>
                            <a:off x="0" y="0"/>
                            <a:ext cx="82550" cy="40386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0288" behindDoc="0" locked="0" layoutInCell="1" allowOverlap="1">
                  <wp:simplePos x="0" y="0"/>
                  <wp:positionH relativeFrom="column">
                    <wp:posOffset>690245</wp:posOffset>
                  </wp:positionH>
                  <wp:positionV relativeFrom="paragraph">
                    <wp:posOffset>0</wp:posOffset>
                  </wp:positionV>
                  <wp:extent cx="82550" cy="403860"/>
                  <wp:effectExtent l="0" t="0" r="0" b="0"/>
                  <wp:wrapNone/>
                  <wp:docPr id="781" name="Text_Box_41_SpCnt_1"/>
                  <wp:cNvGraphicFramePr/>
                  <a:graphic xmlns:a="http://schemas.openxmlformats.org/drawingml/2006/main">
                    <a:graphicData uri="http://schemas.openxmlformats.org/drawingml/2006/picture">
                      <pic:pic xmlns:pic="http://schemas.openxmlformats.org/drawingml/2006/picture">
                        <pic:nvPicPr>
                          <pic:cNvPr id="781" name="Text_Box_41_SpCnt_1"/>
                          <pic:cNvPicPr/>
                        </pic:nvPicPr>
                        <pic:blipFill>
                          <a:blip r:embed="rId34"/>
                          <a:stretch>
                            <a:fillRect/>
                          </a:stretch>
                        </pic:blipFill>
                        <pic:spPr>
                          <a:xfrm>
                            <a:off x="0" y="0"/>
                            <a:ext cx="82550" cy="40386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0288" behindDoc="0" locked="0" layoutInCell="1" allowOverlap="1">
                  <wp:simplePos x="0" y="0"/>
                  <wp:positionH relativeFrom="column">
                    <wp:posOffset>690245</wp:posOffset>
                  </wp:positionH>
                  <wp:positionV relativeFrom="paragraph">
                    <wp:posOffset>0</wp:posOffset>
                  </wp:positionV>
                  <wp:extent cx="82550" cy="403860"/>
                  <wp:effectExtent l="0" t="0" r="0" b="0"/>
                  <wp:wrapNone/>
                  <wp:docPr id="782" name="Text_Box_35_SpCnt_1"/>
                  <wp:cNvGraphicFramePr/>
                  <a:graphic xmlns:a="http://schemas.openxmlformats.org/drawingml/2006/main">
                    <a:graphicData uri="http://schemas.openxmlformats.org/drawingml/2006/picture">
                      <pic:pic xmlns:pic="http://schemas.openxmlformats.org/drawingml/2006/picture">
                        <pic:nvPicPr>
                          <pic:cNvPr id="782" name="Text_Box_35_SpCnt_1"/>
                          <pic:cNvPicPr/>
                        </pic:nvPicPr>
                        <pic:blipFill>
                          <a:blip r:embed="rId34"/>
                          <a:stretch>
                            <a:fillRect/>
                          </a:stretch>
                        </pic:blipFill>
                        <pic:spPr>
                          <a:xfrm>
                            <a:off x="0" y="0"/>
                            <a:ext cx="82550" cy="40386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0288" behindDoc="0" locked="0" layoutInCell="1" allowOverlap="1">
                  <wp:simplePos x="0" y="0"/>
                  <wp:positionH relativeFrom="column">
                    <wp:posOffset>690245</wp:posOffset>
                  </wp:positionH>
                  <wp:positionV relativeFrom="paragraph">
                    <wp:posOffset>0</wp:posOffset>
                  </wp:positionV>
                  <wp:extent cx="82550" cy="403860"/>
                  <wp:effectExtent l="0" t="0" r="0" b="0"/>
                  <wp:wrapNone/>
                  <wp:docPr id="783" name="Text_Box_41_SpCnt_2"/>
                  <wp:cNvGraphicFramePr/>
                  <a:graphic xmlns:a="http://schemas.openxmlformats.org/drawingml/2006/main">
                    <a:graphicData uri="http://schemas.openxmlformats.org/drawingml/2006/picture">
                      <pic:pic xmlns:pic="http://schemas.openxmlformats.org/drawingml/2006/picture">
                        <pic:nvPicPr>
                          <pic:cNvPr id="783" name="Text_Box_41_SpCnt_2"/>
                          <pic:cNvPicPr/>
                        </pic:nvPicPr>
                        <pic:blipFill>
                          <a:blip r:embed="rId34"/>
                          <a:stretch>
                            <a:fillRect/>
                          </a:stretch>
                        </pic:blipFill>
                        <pic:spPr>
                          <a:xfrm>
                            <a:off x="0" y="0"/>
                            <a:ext cx="82550" cy="40386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0288" behindDoc="0" locked="0" layoutInCell="1" allowOverlap="1">
                  <wp:simplePos x="0" y="0"/>
                  <wp:positionH relativeFrom="column">
                    <wp:posOffset>690245</wp:posOffset>
                  </wp:positionH>
                  <wp:positionV relativeFrom="paragraph">
                    <wp:posOffset>0</wp:posOffset>
                  </wp:positionV>
                  <wp:extent cx="82550" cy="403860"/>
                  <wp:effectExtent l="0" t="0" r="0" b="0"/>
                  <wp:wrapNone/>
                  <wp:docPr id="784" name="Text_Box_35_SpCnt_2"/>
                  <wp:cNvGraphicFramePr/>
                  <a:graphic xmlns:a="http://schemas.openxmlformats.org/drawingml/2006/main">
                    <a:graphicData uri="http://schemas.openxmlformats.org/drawingml/2006/picture">
                      <pic:pic xmlns:pic="http://schemas.openxmlformats.org/drawingml/2006/picture">
                        <pic:nvPicPr>
                          <pic:cNvPr id="784" name="Text_Box_35_SpCnt_2"/>
                          <pic:cNvPicPr/>
                        </pic:nvPicPr>
                        <pic:blipFill>
                          <a:blip r:embed="rId34"/>
                          <a:stretch>
                            <a:fillRect/>
                          </a:stretch>
                        </pic:blipFill>
                        <pic:spPr>
                          <a:xfrm>
                            <a:off x="0" y="0"/>
                            <a:ext cx="82550" cy="40386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0288" behindDoc="0" locked="0" layoutInCell="1" allowOverlap="1">
                  <wp:simplePos x="0" y="0"/>
                  <wp:positionH relativeFrom="column">
                    <wp:posOffset>690245</wp:posOffset>
                  </wp:positionH>
                  <wp:positionV relativeFrom="paragraph">
                    <wp:posOffset>0</wp:posOffset>
                  </wp:positionV>
                  <wp:extent cx="82550" cy="403860"/>
                  <wp:effectExtent l="0" t="0" r="0" b="0"/>
                  <wp:wrapNone/>
                  <wp:docPr id="785" name="Text_Box_41_SpCnt_3"/>
                  <wp:cNvGraphicFramePr/>
                  <a:graphic xmlns:a="http://schemas.openxmlformats.org/drawingml/2006/main">
                    <a:graphicData uri="http://schemas.openxmlformats.org/drawingml/2006/picture">
                      <pic:pic xmlns:pic="http://schemas.openxmlformats.org/drawingml/2006/picture">
                        <pic:nvPicPr>
                          <pic:cNvPr id="785" name="Text_Box_41_SpCnt_3"/>
                          <pic:cNvPicPr/>
                        </pic:nvPicPr>
                        <pic:blipFill>
                          <a:blip r:embed="rId34"/>
                          <a:stretch>
                            <a:fillRect/>
                          </a:stretch>
                        </pic:blipFill>
                        <pic:spPr>
                          <a:xfrm>
                            <a:off x="0" y="0"/>
                            <a:ext cx="82550" cy="40386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0288" behindDoc="0" locked="0" layoutInCell="1" allowOverlap="1">
                  <wp:simplePos x="0" y="0"/>
                  <wp:positionH relativeFrom="column">
                    <wp:posOffset>690245</wp:posOffset>
                  </wp:positionH>
                  <wp:positionV relativeFrom="paragraph">
                    <wp:posOffset>0</wp:posOffset>
                  </wp:positionV>
                  <wp:extent cx="82550" cy="403860"/>
                  <wp:effectExtent l="0" t="0" r="0" b="0"/>
                  <wp:wrapNone/>
                  <wp:docPr id="786" name="Text_Box_35_SpCnt_3"/>
                  <wp:cNvGraphicFramePr/>
                  <a:graphic xmlns:a="http://schemas.openxmlformats.org/drawingml/2006/main">
                    <a:graphicData uri="http://schemas.openxmlformats.org/drawingml/2006/picture">
                      <pic:pic xmlns:pic="http://schemas.openxmlformats.org/drawingml/2006/picture">
                        <pic:nvPicPr>
                          <pic:cNvPr id="786" name="Text_Box_35_SpCnt_3"/>
                          <pic:cNvPicPr/>
                        </pic:nvPicPr>
                        <pic:blipFill>
                          <a:blip r:embed="rId34"/>
                          <a:stretch>
                            <a:fillRect/>
                          </a:stretch>
                        </pic:blipFill>
                        <pic:spPr>
                          <a:xfrm>
                            <a:off x="0" y="0"/>
                            <a:ext cx="82550" cy="40386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0288" behindDoc="0" locked="0" layoutInCell="1" allowOverlap="1">
                  <wp:simplePos x="0" y="0"/>
                  <wp:positionH relativeFrom="column">
                    <wp:posOffset>1055370</wp:posOffset>
                  </wp:positionH>
                  <wp:positionV relativeFrom="paragraph">
                    <wp:posOffset>0</wp:posOffset>
                  </wp:positionV>
                  <wp:extent cx="7620" cy="835660"/>
                  <wp:effectExtent l="0" t="0" r="0" b="0"/>
                  <wp:wrapNone/>
                  <wp:docPr id="787" name="Text_Box_715"/>
                  <wp:cNvGraphicFramePr/>
                  <a:graphic xmlns:a="http://schemas.openxmlformats.org/drawingml/2006/main">
                    <a:graphicData uri="http://schemas.openxmlformats.org/drawingml/2006/picture">
                      <pic:pic xmlns:pic="http://schemas.openxmlformats.org/drawingml/2006/picture">
                        <pic:nvPicPr>
                          <pic:cNvPr id="787" name="Text_Box_715"/>
                          <pic:cNvPicPr/>
                        </pic:nvPicPr>
                        <pic:blipFill>
                          <a:blip r:embed="rId35"/>
                          <a:stretch>
                            <a:fillRect/>
                          </a:stretch>
                        </pic:blipFill>
                        <pic:spPr>
                          <a:xfrm>
                            <a:off x="0" y="0"/>
                            <a:ext cx="7620" cy="83566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0288" behindDoc="0" locked="0" layoutInCell="1" allowOverlap="1">
                  <wp:simplePos x="0" y="0"/>
                  <wp:positionH relativeFrom="column">
                    <wp:posOffset>1055370</wp:posOffset>
                  </wp:positionH>
                  <wp:positionV relativeFrom="paragraph">
                    <wp:posOffset>0</wp:posOffset>
                  </wp:positionV>
                  <wp:extent cx="7620" cy="835660"/>
                  <wp:effectExtent l="0" t="0" r="0" b="0"/>
                  <wp:wrapNone/>
                  <wp:docPr id="788" name="Text_Box_716"/>
                  <wp:cNvGraphicFramePr/>
                  <a:graphic xmlns:a="http://schemas.openxmlformats.org/drawingml/2006/main">
                    <a:graphicData uri="http://schemas.openxmlformats.org/drawingml/2006/picture">
                      <pic:pic xmlns:pic="http://schemas.openxmlformats.org/drawingml/2006/picture">
                        <pic:nvPicPr>
                          <pic:cNvPr id="788" name="Text_Box_716"/>
                          <pic:cNvPicPr/>
                        </pic:nvPicPr>
                        <pic:blipFill>
                          <a:blip r:embed="rId35"/>
                          <a:stretch>
                            <a:fillRect/>
                          </a:stretch>
                        </pic:blipFill>
                        <pic:spPr>
                          <a:xfrm>
                            <a:off x="0" y="0"/>
                            <a:ext cx="7620" cy="83566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t>森林公园界碑、界桩、围栏建设500万；标识标牌、应急救援、防灾减灾、卫生救援设施及站点建设500万元</w:t>
            </w:r>
          </w:p>
        </w:tc>
        <w:tc>
          <w:tcPr>
            <w:tcW w:w="408" w:type="pct"/>
            <w:vAlign w:val="center"/>
          </w:tcPr>
          <w:p w14:paraId="409949A1">
            <w:pPr>
              <w:widowControl/>
              <w:spacing w:line="240" w:lineRule="auto"/>
              <w:jc w:val="center"/>
              <w:textAlignment w:val="center"/>
              <w:rPr>
                <w:rFonts w:ascii="Times New Roman" w:hAnsi="Times New Roman" w:eastAsia="仿宋" w:cs="Times New Roman"/>
                <w:color w:val="auto"/>
                <w:kern w:val="0"/>
                <w:sz w:val="21"/>
                <w:szCs w:val="21"/>
                <w:lang w:bidi="ar"/>
              </w:rPr>
            </w:pPr>
            <w:r>
              <w:rPr>
                <w:rFonts w:hint="eastAsia" w:ascii="Times New Roman" w:hAnsi="Times New Roman" w:eastAsia="仿宋" w:cs="Times New Roman"/>
                <w:color w:val="auto"/>
                <w:kern w:val="0"/>
                <w:sz w:val="21"/>
                <w:szCs w:val="21"/>
                <w:lang w:val="en-US" w:eastAsia="zh-CN" w:bidi="ar"/>
              </w:rPr>
              <w:t>2022-2023</w:t>
            </w:r>
          </w:p>
        </w:tc>
        <w:tc>
          <w:tcPr>
            <w:tcW w:w="413" w:type="pct"/>
            <w:vAlign w:val="center"/>
          </w:tcPr>
          <w:p w14:paraId="3E78366F">
            <w:pPr>
              <w:widowControl/>
              <w:spacing w:line="240" w:lineRule="auto"/>
              <w:jc w:val="center"/>
              <w:textAlignment w:val="center"/>
              <w:rPr>
                <w:rFonts w:ascii="Times New Roman" w:hAnsi="Times New Roman" w:eastAsia="仿宋" w:cs="Times New Roman"/>
                <w:color w:val="auto"/>
                <w:kern w:val="0"/>
                <w:sz w:val="21"/>
                <w:szCs w:val="21"/>
                <w:lang w:bidi="ar"/>
              </w:rPr>
            </w:pPr>
            <w:r>
              <w:rPr>
                <w:rFonts w:hint="eastAsia" w:ascii="Times New Roman" w:hAnsi="Times New Roman" w:eastAsia="仿宋" w:cs="Times New Roman"/>
                <w:color w:val="auto"/>
                <w:kern w:val="0"/>
                <w:sz w:val="21"/>
                <w:szCs w:val="21"/>
                <w:lang w:val="en-US" w:eastAsia="zh-CN" w:bidi="ar"/>
              </w:rPr>
              <w:t>1000</w:t>
            </w:r>
          </w:p>
        </w:tc>
        <w:tc>
          <w:tcPr>
            <w:tcW w:w="413" w:type="pct"/>
            <w:vAlign w:val="center"/>
          </w:tcPr>
          <w:p w14:paraId="5FD3EE30">
            <w:pPr>
              <w:spacing w:line="240" w:lineRule="auto"/>
              <w:jc w:val="center"/>
              <w:rPr>
                <w:rFonts w:ascii="Times New Roman" w:hAnsi="Times New Roman" w:eastAsia="仿宋" w:cs="Times New Roman"/>
                <w:color w:val="auto"/>
                <w:kern w:val="0"/>
                <w:sz w:val="21"/>
                <w:szCs w:val="21"/>
                <w:lang w:bidi="ar"/>
              </w:rPr>
            </w:pPr>
            <w:r>
              <w:rPr>
                <w:rFonts w:hint="eastAsia" w:ascii="Times New Roman" w:hAnsi="Times New Roman" w:eastAsia="仿宋" w:cs="Times New Roman"/>
                <w:color w:val="auto"/>
                <w:kern w:val="0"/>
                <w:sz w:val="21"/>
                <w:szCs w:val="21"/>
                <w:lang w:val="en-US" w:eastAsia="zh-CN" w:bidi="ar"/>
              </w:rPr>
              <w:t>新平县林业和草原局</w:t>
            </w:r>
          </w:p>
        </w:tc>
        <w:tc>
          <w:tcPr>
            <w:tcW w:w="320" w:type="pct"/>
            <w:vAlign w:val="center"/>
          </w:tcPr>
          <w:p w14:paraId="1D9D93AB">
            <w:pPr>
              <w:spacing w:line="240" w:lineRule="auto"/>
              <w:jc w:val="center"/>
              <w:rPr>
                <w:rFonts w:ascii="Times New Roman" w:hAnsi="Times New Roman" w:eastAsia="仿宋" w:cs="Times New Roman"/>
                <w:color w:val="auto"/>
                <w:kern w:val="0"/>
                <w:sz w:val="21"/>
                <w:szCs w:val="21"/>
                <w:lang w:bidi="ar"/>
              </w:rPr>
            </w:pPr>
            <w:r>
              <w:rPr>
                <w:rFonts w:hint="eastAsia" w:ascii="Times New Roman" w:hAnsi="Times New Roman" w:eastAsia="仿宋" w:cs="Times New Roman"/>
                <w:color w:val="auto"/>
                <w:kern w:val="0"/>
                <w:sz w:val="21"/>
                <w:szCs w:val="21"/>
                <w:lang w:val="en-US" w:eastAsia="zh-CN" w:bidi="ar"/>
              </w:rPr>
              <w:t>政府投入</w:t>
            </w:r>
          </w:p>
        </w:tc>
        <w:tc>
          <w:tcPr>
            <w:tcW w:w="569" w:type="pct"/>
            <w:vAlign w:val="center"/>
          </w:tcPr>
          <w:p w14:paraId="4EDEC8C7">
            <w:pPr>
              <w:spacing w:line="240" w:lineRule="auto"/>
              <w:jc w:val="center"/>
              <w:rPr>
                <w:rFonts w:ascii="Times New Roman" w:hAnsi="Times New Roman" w:eastAsia="仿宋" w:cs="Times New Roman"/>
                <w:color w:val="auto"/>
                <w:kern w:val="0"/>
                <w:sz w:val="21"/>
                <w:szCs w:val="21"/>
                <w:lang w:bidi="ar"/>
              </w:rPr>
            </w:pPr>
            <w:r>
              <w:rPr>
                <w:rFonts w:hint="eastAsia" w:ascii="Times New Roman" w:hAnsi="Times New Roman" w:eastAsia="仿宋" w:cs="Times New Roman"/>
                <w:color w:val="auto"/>
                <w:kern w:val="0"/>
                <w:sz w:val="21"/>
                <w:szCs w:val="21"/>
                <w:lang w:val="en-US" w:eastAsia="zh-CN" w:bidi="ar"/>
              </w:rPr>
              <w:t>自然生态空间</w:t>
            </w:r>
          </w:p>
        </w:tc>
      </w:tr>
      <w:tr w14:paraId="4B92F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70" w:type="pct"/>
            <w:vMerge w:val="continue"/>
            <w:vAlign w:val="center"/>
          </w:tcPr>
          <w:p w14:paraId="307C4207">
            <w:pPr>
              <w:widowControl/>
              <w:spacing w:line="240" w:lineRule="auto"/>
              <w:jc w:val="center"/>
              <w:textAlignment w:val="center"/>
              <w:rPr>
                <w:rFonts w:ascii="Times New Roman" w:hAnsi="Times New Roman" w:eastAsia="仿宋" w:cs="Times New Roman"/>
                <w:color w:val="auto"/>
                <w:kern w:val="0"/>
                <w:sz w:val="21"/>
                <w:szCs w:val="21"/>
                <w:lang w:bidi="ar"/>
              </w:rPr>
            </w:pPr>
          </w:p>
        </w:tc>
        <w:tc>
          <w:tcPr>
            <w:tcW w:w="255" w:type="pct"/>
            <w:vAlign w:val="center"/>
          </w:tcPr>
          <w:p w14:paraId="612274A5">
            <w:pPr>
              <w:widowControl/>
              <w:spacing w:line="240" w:lineRule="auto"/>
              <w:jc w:val="center"/>
              <w:textAlignment w:val="center"/>
              <w:rPr>
                <w:rFonts w:ascii="Times New Roman" w:hAnsi="Times New Roman" w:eastAsia="仿宋" w:cs="Times New Roman"/>
                <w:color w:val="auto"/>
                <w:kern w:val="0"/>
                <w:sz w:val="21"/>
                <w:szCs w:val="21"/>
                <w:lang w:bidi="ar"/>
              </w:rPr>
            </w:pPr>
            <w:r>
              <w:rPr>
                <w:rFonts w:hint="eastAsia" w:ascii="Times New Roman" w:hAnsi="Times New Roman" w:eastAsia="仿宋" w:cs="Times New Roman"/>
                <w:color w:val="auto"/>
                <w:kern w:val="0"/>
                <w:sz w:val="21"/>
                <w:szCs w:val="21"/>
                <w:lang w:val="en-US" w:eastAsia="zh-CN" w:bidi="ar"/>
              </w:rPr>
              <w:t>2</w:t>
            </w:r>
          </w:p>
        </w:tc>
        <w:tc>
          <w:tcPr>
            <w:tcW w:w="631" w:type="pct"/>
            <w:vAlign w:val="center"/>
          </w:tcPr>
          <w:p w14:paraId="4802A506">
            <w:pPr>
              <w:widowControl/>
              <w:spacing w:line="240" w:lineRule="auto"/>
              <w:jc w:val="left"/>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磨盘山国家森林公园生态服务设施项目</w:t>
            </w:r>
          </w:p>
        </w:tc>
        <w:tc>
          <w:tcPr>
            <w:tcW w:w="1816" w:type="pct"/>
            <w:vAlign w:val="center"/>
          </w:tcPr>
          <w:p w14:paraId="777AFF44">
            <w:pPr>
              <w:widowControl/>
              <w:spacing w:line="240" w:lineRule="auto"/>
              <w:jc w:val="left"/>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科普教育及资源展示设施、宣传栏、步行道、垃圾污水中转收集设施、生态公厕、停车场服务设施建设</w:t>
            </w:r>
          </w:p>
        </w:tc>
        <w:tc>
          <w:tcPr>
            <w:tcW w:w="408" w:type="pct"/>
            <w:vAlign w:val="center"/>
          </w:tcPr>
          <w:p w14:paraId="201C5FC1">
            <w:pPr>
              <w:widowControl/>
              <w:spacing w:line="240" w:lineRule="auto"/>
              <w:jc w:val="center"/>
              <w:textAlignment w:val="center"/>
              <w:rPr>
                <w:rFonts w:ascii="Times New Roman" w:hAnsi="Times New Roman" w:eastAsia="仿宋" w:cs="Times New Roman"/>
                <w:color w:val="auto"/>
                <w:kern w:val="0"/>
                <w:sz w:val="21"/>
                <w:szCs w:val="21"/>
                <w:lang w:bidi="ar"/>
              </w:rPr>
            </w:pPr>
            <w:r>
              <w:rPr>
                <w:rFonts w:hint="eastAsia" w:ascii="Times New Roman" w:hAnsi="Times New Roman" w:eastAsia="仿宋" w:cs="Times New Roman"/>
                <w:color w:val="auto"/>
                <w:kern w:val="0"/>
                <w:sz w:val="21"/>
                <w:szCs w:val="21"/>
                <w:lang w:val="en-US" w:eastAsia="zh-CN" w:bidi="ar"/>
              </w:rPr>
              <w:t>2022-2025</w:t>
            </w:r>
          </w:p>
        </w:tc>
        <w:tc>
          <w:tcPr>
            <w:tcW w:w="413" w:type="pct"/>
            <w:vAlign w:val="center"/>
          </w:tcPr>
          <w:p w14:paraId="793311EB">
            <w:pPr>
              <w:widowControl/>
              <w:spacing w:line="240" w:lineRule="auto"/>
              <w:jc w:val="center"/>
              <w:textAlignment w:val="center"/>
              <w:rPr>
                <w:rFonts w:ascii="Times New Roman" w:hAnsi="Times New Roman" w:eastAsia="仿宋" w:cs="Times New Roman"/>
                <w:color w:val="auto"/>
                <w:kern w:val="0"/>
                <w:sz w:val="21"/>
                <w:szCs w:val="21"/>
                <w:lang w:bidi="ar"/>
              </w:rPr>
            </w:pPr>
            <w:r>
              <w:rPr>
                <w:rFonts w:hint="eastAsia" w:ascii="Times New Roman" w:hAnsi="Times New Roman" w:eastAsia="仿宋" w:cs="Times New Roman"/>
                <w:color w:val="auto"/>
                <w:kern w:val="0"/>
                <w:sz w:val="21"/>
                <w:szCs w:val="21"/>
                <w:lang w:val="en-US" w:eastAsia="zh-CN" w:bidi="ar"/>
              </w:rPr>
              <w:t>2000</w:t>
            </w:r>
          </w:p>
        </w:tc>
        <w:tc>
          <w:tcPr>
            <w:tcW w:w="413" w:type="pct"/>
            <w:vAlign w:val="center"/>
          </w:tcPr>
          <w:p w14:paraId="4ED06338">
            <w:pPr>
              <w:spacing w:line="240" w:lineRule="auto"/>
              <w:jc w:val="center"/>
              <w:rPr>
                <w:rFonts w:ascii="Times New Roman" w:hAnsi="Times New Roman" w:eastAsia="仿宋" w:cs="Times New Roman"/>
                <w:color w:val="auto"/>
                <w:kern w:val="0"/>
                <w:sz w:val="21"/>
                <w:szCs w:val="21"/>
                <w:lang w:bidi="ar"/>
              </w:rPr>
            </w:pPr>
            <w:r>
              <w:rPr>
                <w:rFonts w:hint="eastAsia" w:ascii="Times New Roman" w:hAnsi="Times New Roman" w:eastAsia="仿宋" w:cs="Times New Roman"/>
                <w:color w:val="auto"/>
                <w:kern w:val="0"/>
                <w:sz w:val="21"/>
                <w:szCs w:val="21"/>
                <w:lang w:val="en-US" w:eastAsia="zh-CN" w:bidi="ar"/>
              </w:rPr>
              <w:t>县林业和草原局</w:t>
            </w:r>
          </w:p>
        </w:tc>
        <w:tc>
          <w:tcPr>
            <w:tcW w:w="320" w:type="pct"/>
            <w:vAlign w:val="center"/>
          </w:tcPr>
          <w:p w14:paraId="08D711A0">
            <w:pPr>
              <w:spacing w:line="240" w:lineRule="auto"/>
              <w:jc w:val="center"/>
              <w:rPr>
                <w:rFonts w:ascii="Times New Roman" w:hAnsi="Times New Roman" w:eastAsia="仿宋" w:cs="Times New Roman"/>
                <w:color w:val="auto"/>
                <w:kern w:val="0"/>
                <w:sz w:val="21"/>
                <w:szCs w:val="21"/>
                <w:lang w:bidi="ar"/>
              </w:rPr>
            </w:pPr>
            <w:r>
              <w:rPr>
                <w:rFonts w:hint="eastAsia" w:ascii="Times New Roman" w:hAnsi="Times New Roman" w:eastAsia="仿宋" w:cs="Times New Roman"/>
                <w:color w:val="auto"/>
                <w:kern w:val="0"/>
                <w:sz w:val="21"/>
                <w:szCs w:val="21"/>
                <w:lang w:val="en-US" w:eastAsia="zh-CN" w:bidi="ar"/>
              </w:rPr>
              <w:t>政府投入</w:t>
            </w:r>
          </w:p>
        </w:tc>
        <w:tc>
          <w:tcPr>
            <w:tcW w:w="569" w:type="pct"/>
            <w:vAlign w:val="center"/>
          </w:tcPr>
          <w:p w14:paraId="4E6FD90C">
            <w:pPr>
              <w:spacing w:line="240" w:lineRule="auto"/>
              <w:jc w:val="center"/>
              <w:rPr>
                <w:rFonts w:ascii="Times New Roman" w:hAnsi="Times New Roman" w:eastAsia="仿宋" w:cs="Times New Roman"/>
                <w:color w:val="auto"/>
                <w:kern w:val="0"/>
                <w:sz w:val="21"/>
                <w:szCs w:val="21"/>
                <w:lang w:bidi="ar"/>
              </w:rPr>
            </w:pPr>
            <w:r>
              <w:rPr>
                <w:rFonts w:hint="eastAsia" w:ascii="Times New Roman" w:hAnsi="Times New Roman" w:eastAsia="仿宋" w:cs="Times New Roman"/>
                <w:color w:val="auto"/>
                <w:kern w:val="0"/>
                <w:sz w:val="21"/>
                <w:szCs w:val="21"/>
                <w:lang w:val="en-US" w:eastAsia="zh-CN" w:bidi="ar"/>
              </w:rPr>
              <w:t>自然生态空间</w:t>
            </w:r>
          </w:p>
        </w:tc>
      </w:tr>
      <w:tr w14:paraId="117F5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70" w:type="pct"/>
            <w:vMerge w:val="continue"/>
            <w:vAlign w:val="center"/>
          </w:tcPr>
          <w:p w14:paraId="3840A271">
            <w:pPr>
              <w:widowControl/>
              <w:spacing w:line="240" w:lineRule="auto"/>
              <w:jc w:val="center"/>
              <w:textAlignment w:val="center"/>
              <w:rPr>
                <w:rFonts w:ascii="Times New Roman" w:hAnsi="Times New Roman" w:eastAsia="仿宋" w:cs="Times New Roman"/>
                <w:color w:val="auto"/>
                <w:kern w:val="0"/>
                <w:sz w:val="21"/>
                <w:szCs w:val="21"/>
                <w:lang w:bidi="ar"/>
              </w:rPr>
            </w:pPr>
          </w:p>
        </w:tc>
        <w:tc>
          <w:tcPr>
            <w:tcW w:w="255" w:type="pct"/>
            <w:vAlign w:val="center"/>
          </w:tcPr>
          <w:p w14:paraId="7FDB3F4E">
            <w:pPr>
              <w:widowControl/>
              <w:spacing w:line="240" w:lineRule="auto"/>
              <w:jc w:val="center"/>
              <w:textAlignment w:val="center"/>
              <w:rPr>
                <w:rFonts w:ascii="Times New Roman" w:hAnsi="Times New Roman" w:eastAsia="仿宋" w:cs="Times New Roman"/>
                <w:color w:val="auto"/>
                <w:kern w:val="0"/>
                <w:sz w:val="21"/>
                <w:szCs w:val="21"/>
                <w:lang w:bidi="ar"/>
              </w:rPr>
            </w:pPr>
            <w:r>
              <w:rPr>
                <w:rFonts w:hint="eastAsia" w:ascii="Times New Roman" w:hAnsi="Times New Roman" w:eastAsia="仿宋" w:cs="Times New Roman"/>
                <w:color w:val="auto"/>
                <w:kern w:val="0"/>
                <w:sz w:val="21"/>
                <w:szCs w:val="21"/>
                <w:lang w:val="en-US" w:eastAsia="zh-CN" w:bidi="ar"/>
              </w:rPr>
              <w:t>3</w:t>
            </w:r>
          </w:p>
        </w:tc>
        <w:tc>
          <w:tcPr>
            <w:tcW w:w="631" w:type="pct"/>
            <w:vAlign w:val="center"/>
          </w:tcPr>
          <w:p w14:paraId="398F1576">
            <w:pPr>
              <w:widowControl/>
              <w:spacing w:line="240" w:lineRule="auto"/>
              <w:jc w:val="left"/>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新平县自然保护地管护站建设项目　</w:t>
            </w:r>
          </w:p>
        </w:tc>
        <w:tc>
          <w:tcPr>
            <w:tcW w:w="1816" w:type="pct"/>
            <w:vAlign w:val="center"/>
          </w:tcPr>
          <w:p w14:paraId="73163AA5">
            <w:pPr>
              <w:widowControl/>
              <w:spacing w:line="240" w:lineRule="auto"/>
              <w:jc w:val="left"/>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建设哀牢山县级自然保护区2个，磨盘山国家森林自然公园2个，新化古州野林森林自然公园2个共6个保护地管护站，每个建设规模280平方，投资100万元，共计投资600万元。管护点7个、哨卡22、各巡护补给点20个，收容救护站1个500平方米，扑火队营房1个500平方米。3个木材检查站建设投资300万元。</w:t>
            </w:r>
          </w:p>
        </w:tc>
        <w:tc>
          <w:tcPr>
            <w:tcW w:w="408" w:type="pct"/>
            <w:vAlign w:val="center"/>
          </w:tcPr>
          <w:p w14:paraId="26517CF4">
            <w:pPr>
              <w:widowControl/>
              <w:spacing w:line="240" w:lineRule="auto"/>
              <w:jc w:val="center"/>
              <w:textAlignment w:val="center"/>
              <w:rPr>
                <w:rFonts w:ascii="Times New Roman" w:hAnsi="Times New Roman" w:eastAsia="仿宋" w:cs="Times New Roman"/>
                <w:color w:val="auto"/>
                <w:kern w:val="0"/>
                <w:sz w:val="21"/>
                <w:szCs w:val="21"/>
                <w:lang w:bidi="ar"/>
              </w:rPr>
            </w:pPr>
            <w:r>
              <w:rPr>
                <w:rFonts w:hint="eastAsia" w:ascii="Times New Roman" w:hAnsi="Times New Roman" w:eastAsia="仿宋" w:cs="Times New Roman"/>
                <w:color w:val="auto"/>
                <w:kern w:val="0"/>
                <w:sz w:val="21"/>
                <w:szCs w:val="21"/>
                <w:lang w:val="en-US" w:eastAsia="zh-CN" w:bidi="ar"/>
              </w:rPr>
              <w:t>2023</w:t>
            </w:r>
          </w:p>
        </w:tc>
        <w:tc>
          <w:tcPr>
            <w:tcW w:w="413" w:type="pct"/>
            <w:vAlign w:val="center"/>
          </w:tcPr>
          <w:p w14:paraId="53557767">
            <w:pPr>
              <w:widowControl/>
              <w:spacing w:line="240" w:lineRule="auto"/>
              <w:jc w:val="center"/>
              <w:textAlignment w:val="center"/>
              <w:rPr>
                <w:rFonts w:ascii="Times New Roman" w:hAnsi="Times New Roman" w:eastAsia="仿宋" w:cs="Times New Roman"/>
                <w:color w:val="auto"/>
                <w:kern w:val="0"/>
                <w:sz w:val="21"/>
                <w:szCs w:val="21"/>
                <w:lang w:bidi="ar"/>
              </w:rPr>
            </w:pPr>
            <w:r>
              <w:rPr>
                <w:rFonts w:hint="eastAsia" w:ascii="Times New Roman" w:hAnsi="Times New Roman" w:eastAsia="仿宋" w:cs="Times New Roman"/>
                <w:color w:val="auto"/>
                <w:kern w:val="0"/>
                <w:sz w:val="21"/>
                <w:szCs w:val="21"/>
                <w:lang w:val="en-US" w:eastAsia="zh-CN" w:bidi="ar"/>
              </w:rPr>
              <w:t>2900</w:t>
            </w:r>
          </w:p>
        </w:tc>
        <w:tc>
          <w:tcPr>
            <w:tcW w:w="413" w:type="pct"/>
            <w:vAlign w:val="center"/>
          </w:tcPr>
          <w:p w14:paraId="58465D43">
            <w:pPr>
              <w:spacing w:line="240" w:lineRule="auto"/>
              <w:jc w:val="center"/>
              <w:rPr>
                <w:rFonts w:ascii="Times New Roman" w:hAnsi="Times New Roman" w:eastAsia="仿宋" w:cs="Times New Roman"/>
                <w:color w:val="auto"/>
                <w:kern w:val="0"/>
                <w:sz w:val="21"/>
                <w:szCs w:val="21"/>
                <w:lang w:bidi="ar"/>
              </w:rPr>
            </w:pPr>
            <w:r>
              <w:rPr>
                <w:rFonts w:hint="eastAsia" w:ascii="Times New Roman" w:hAnsi="Times New Roman" w:eastAsia="仿宋" w:cs="Times New Roman"/>
                <w:color w:val="auto"/>
                <w:kern w:val="0"/>
                <w:sz w:val="21"/>
                <w:szCs w:val="21"/>
                <w:lang w:val="en-US" w:eastAsia="zh-CN" w:bidi="ar"/>
              </w:rPr>
              <w:t>县林业和草原局、哀牢山管护局</w:t>
            </w:r>
          </w:p>
        </w:tc>
        <w:tc>
          <w:tcPr>
            <w:tcW w:w="320" w:type="pct"/>
            <w:vAlign w:val="center"/>
          </w:tcPr>
          <w:p w14:paraId="7E1EF5D9">
            <w:pPr>
              <w:spacing w:line="240" w:lineRule="auto"/>
              <w:jc w:val="center"/>
              <w:rPr>
                <w:rFonts w:ascii="Times New Roman" w:hAnsi="Times New Roman" w:eastAsia="仿宋" w:cs="Times New Roman"/>
                <w:color w:val="auto"/>
                <w:kern w:val="0"/>
                <w:sz w:val="21"/>
                <w:szCs w:val="21"/>
                <w:lang w:bidi="ar"/>
              </w:rPr>
            </w:pPr>
            <w:r>
              <w:rPr>
                <w:rFonts w:hint="eastAsia" w:ascii="Times New Roman" w:hAnsi="Times New Roman" w:eastAsia="仿宋" w:cs="Times New Roman"/>
                <w:color w:val="auto"/>
                <w:kern w:val="0"/>
                <w:sz w:val="21"/>
                <w:szCs w:val="21"/>
                <w:lang w:val="en-US" w:eastAsia="zh-CN" w:bidi="ar"/>
              </w:rPr>
              <w:t>政府投入</w:t>
            </w:r>
          </w:p>
        </w:tc>
        <w:tc>
          <w:tcPr>
            <w:tcW w:w="569" w:type="pct"/>
            <w:vAlign w:val="center"/>
          </w:tcPr>
          <w:p w14:paraId="7CD56444">
            <w:pPr>
              <w:spacing w:line="240" w:lineRule="auto"/>
              <w:jc w:val="center"/>
              <w:rPr>
                <w:rFonts w:ascii="Times New Roman" w:hAnsi="Times New Roman" w:eastAsia="仿宋" w:cs="Times New Roman"/>
                <w:color w:val="auto"/>
                <w:kern w:val="0"/>
                <w:sz w:val="21"/>
                <w:szCs w:val="21"/>
                <w:lang w:bidi="ar"/>
              </w:rPr>
            </w:pPr>
            <w:r>
              <w:rPr>
                <w:rFonts w:hint="eastAsia" w:ascii="Times New Roman" w:hAnsi="Times New Roman" w:eastAsia="仿宋" w:cs="Times New Roman"/>
                <w:color w:val="auto"/>
                <w:kern w:val="0"/>
                <w:sz w:val="21"/>
                <w:szCs w:val="21"/>
                <w:lang w:val="en-US" w:eastAsia="zh-CN" w:bidi="ar"/>
              </w:rPr>
              <w:t>自然生态空间</w:t>
            </w:r>
          </w:p>
        </w:tc>
      </w:tr>
      <w:tr w14:paraId="7FAB9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70" w:type="pct"/>
            <w:vMerge w:val="continue"/>
            <w:vAlign w:val="center"/>
          </w:tcPr>
          <w:p w14:paraId="0E65A4AE">
            <w:pPr>
              <w:widowControl/>
              <w:spacing w:line="240" w:lineRule="auto"/>
              <w:jc w:val="center"/>
              <w:textAlignment w:val="center"/>
              <w:rPr>
                <w:rFonts w:ascii="Times New Roman" w:hAnsi="Times New Roman" w:eastAsia="仿宋" w:cs="Times New Roman"/>
                <w:color w:val="auto"/>
                <w:kern w:val="0"/>
                <w:sz w:val="21"/>
                <w:szCs w:val="21"/>
                <w:lang w:bidi="ar"/>
              </w:rPr>
            </w:pPr>
          </w:p>
        </w:tc>
        <w:tc>
          <w:tcPr>
            <w:tcW w:w="255" w:type="pct"/>
            <w:vAlign w:val="center"/>
          </w:tcPr>
          <w:p w14:paraId="24458B74">
            <w:pPr>
              <w:widowControl/>
              <w:spacing w:line="240" w:lineRule="auto"/>
              <w:jc w:val="center"/>
              <w:textAlignment w:val="center"/>
              <w:rPr>
                <w:rFonts w:ascii="Times New Roman" w:hAnsi="Times New Roman" w:eastAsia="仿宋" w:cs="Times New Roman"/>
                <w:color w:val="auto"/>
                <w:kern w:val="0"/>
                <w:sz w:val="21"/>
                <w:szCs w:val="21"/>
                <w:lang w:bidi="ar"/>
              </w:rPr>
            </w:pPr>
            <w:r>
              <w:rPr>
                <w:rFonts w:hint="eastAsia" w:ascii="Times New Roman" w:hAnsi="Times New Roman" w:eastAsia="仿宋" w:cs="Times New Roman"/>
                <w:color w:val="auto"/>
                <w:kern w:val="0"/>
                <w:sz w:val="21"/>
                <w:szCs w:val="21"/>
                <w:lang w:val="en-US" w:eastAsia="zh-CN" w:bidi="ar"/>
              </w:rPr>
              <w:t>4</w:t>
            </w:r>
          </w:p>
        </w:tc>
        <w:tc>
          <w:tcPr>
            <w:tcW w:w="631" w:type="pct"/>
            <w:vAlign w:val="center"/>
          </w:tcPr>
          <w:p w14:paraId="521B9377">
            <w:pPr>
              <w:widowControl/>
              <w:spacing w:line="240" w:lineRule="auto"/>
              <w:jc w:val="left"/>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新平县长江经济带生态修复治理项目</w:t>
            </w:r>
          </w:p>
        </w:tc>
        <w:tc>
          <w:tcPr>
            <w:tcW w:w="1816" w:type="pct"/>
            <w:vAlign w:val="center"/>
          </w:tcPr>
          <w:p w14:paraId="4D0C99FD">
            <w:pPr>
              <w:widowControl/>
              <w:spacing w:line="240" w:lineRule="auto"/>
              <w:jc w:val="left"/>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417830"/>
                  <wp:effectExtent l="0" t="0" r="0" b="0"/>
                  <wp:wrapNone/>
                  <wp:docPr id="789" name="Text_Box_35_SpCnt_4"/>
                  <wp:cNvGraphicFramePr/>
                  <a:graphic xmlns:a="http://schemas.openxmlformats.org/drawingml/2006/main">
                    <a:graphicData uri="http://schemas.openxmlformats.org/drawingml/2006/picture">
                      <pic:pic xmlns:pic="http://schemas.openxmlformats.org/drawingml/2006/picture">
                        <pic:nvPicPr>
                          <pic:cNvPr id="789" name="Text_Box_35_SpCnt_4"/>
                          <pic:cNvPicPr/>
                        </pic:nvPicPr>
                        <pic:blipFill>
                          <a:blip r:embed="rId36"/>
                          <a:stretch>
                            <a:fillRect/>
                          </a:stretch>
                        </pic:blipFill>
                        <pic:spPr>
                          <a:xfrm>
                            <a:off x="0" y="0"/>
                            <a:ext cx="82550" cy="41783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417830"/>
                  <wp:effectExtent l="0" t="0" r="0" b="0"/>
                  <wp:wrapNone/>
                  <wp:docPr id="790" name="Text_Box_35_SpCnt_5"/>
                  <wp:cNvGraphicFramePr/>
                  <a:graphic xmlns:a="http://schemas.openxmlformats.org/drawingml/2006/main">
                    <a:graphicData uri="http://schemas.openxmlformats.org/drawingml/2006/picture">
                      <pic:pic xmlns:pic="http://schemas.openxmlformats.org/drawingml/2006/picture">
                        <pic:nvPicPr>
                          <pic:cNvPr id="790" name="Text_Box_35_SpCnt_5"/>
                          <pic:cNvPicPr/>
                        </pic:nvPicPr>
                        <pic:blipFill>
                          <a:blip r:embed="rId36"/>
                          <a:stretch>
                            <a:fillRect/>
                          </a:stretch>
                        </pic:blipFill>
                        <pic:spPr>
                          <a:xfrm>
                            <a:off x="0" y="0"/>
                            <a:ext cx="82550" cy="41783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520700"/>
                  <wp:effectExtent l="0" t="0" r="0" b="0"/>
                  <wp:wrapNone/>
                  <wp:docPr id="791" name="Text_Box_35_SpCnt_6"/>
                  <wp:cNvGraphicFramePr/>
                  <a:graphic xmlns:a="http://schemas.openxmlformats.org/drawingml/2006/main">
                    <a:graphicData uri="http://schemas.openxmlformats.org/drawingml/2006/picture">
                      <pic:pic xmlns:pic="http://schemas.openxmlformats.org/drawingml/2006/picture">
                        <pic:nvPicPr>
                          <pic:cNvPr id="791" name="Text_Box_35_SpCnt_6"/>
                          <pic:cNvPicPr/>
                        </pic:nvPicPr>
                        <pic:blipFill>
                          <a:blip r:embed="rId37"/>
                          <a:stretch>
                            <a:fillRect/>
                          </a:stretch>
                        </pic:blipFill>
                        <pic:spPr>
                          <a:xfrm>
                            <a:off x="0" y="0"/>
                            <a:ext cx="82550" cy="52070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379095"/>
                  <wp:effectExtent l="0" t="0" r="0" b="0"/>
                  <wp:wrapNone/>
                  <wp:docPr id="792" name="Text_Box_35_SpCnt_7"/>
                  <wp:cNvGraphicFramePr/>
                  <a:graphic xmlns:a="http://schemas.openxmlformats.org/drawingml/2006/main">
                    <a:graphicData uri="http://schemas.openxmlformats.org/drawingml/2006/picture">
                      <pic:pic xmlns:pic="http://schemas.openxmlformats.org/drawingml/2006/picture">
                        <pic:nvPicPr>
                          <pic:cNvPr id="792" name="Text_Box_35_SpCnt_7"/>
                          <pic:cNvPicPr/>
                        </pic:nvPicPr>
                        <pic:blipFill>
                          <a:blip r:embed="rId38"/>
                          <a:stretch>
                            <a:fillRect/>
                          </a:stretch>
                        </pic:blipFill>
                        <pic:spPr>
                          <a:xfrm>
                            <a:off x="0" y="0"/>
                            <a:ext cx="82550" cy="37909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379095"/>
                  <wp:effectExtent l="0" t="0" r="0" b="0"/>
                  <wp:wrapNone/>
                  <wp:docPr id="793" name="Text_Box_35_SpCnt_8"/>
                  <wp:cNvGraphicFramePr/>
                  <a:graphic xmlns:a="http://schemas.openxmlformats.org/drawingml/2006/main">
                    <a:graphicData uri="http://schemas.openxmlformats.org/drawingml/2006/picture">
                      <pic:pic xmlns:pic="http://schemas.openxmlformats.org/drawingml/2006/picture">
                        <pic:nvPicPr>
                          <pic:cNvPr id="793" name="Text_Box_35_SpCnt_8"/>
                          <pic:cNvPicPr/>
                        </pic:nvPicPr>
                        <pic:blipFill>
                          <a:blip r:embed="rId38"/>
                          <a:stretch>
                            <a:fillRect/>
                          </a:stretch>
                        </pic:blipFill>
                        <pic:spPr>
                          <a:xfrm>
                            <a:off x="0" y="0"/>
                            <a:ext cx="82550" cy="37909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379095"/>
                  <wp:effectExtent l="0" t="0" r="0" b="0"/>
                  <wp:wrapNone/>
                  <wp:docPr id="794" name="Text_Box_35_SpCnt_9"/>
                  <wp:cNvGraphicFramePr/>
                  <a:graphic xmlns:a="http://schemas.openxmlformats.org/drawingml/2006/main">
                    <a:graphicData uri="http://schemas.openxmlformats.org/drawingml/2006/picture">
                      <pic:pic xmlns:pic="http://schemas.openxmlformats.org/drawingml/2006/picture">
                        <pic:nvPicPr>
                          <pic:cNvPr id="794" name="Text_Box_35_SpCnt_9"/>
                          <pic:cNvPicPr/>
                        </pic:nvPicPr>
                        <pic:blipFill>
                          <a:blip r:embed="rId38"/>
                          <a:stretch>
                            <a:fillRect/>
                          </a:stretch>
                        </pic:blipFill>
                        <pic:spPr>
                          <a:xfrm>
                            <a:off x="0" y="0"/>
                            <a:ext cx="82550" cy="37909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520700"/>
                  <wp:effectExtent l="0" t="0" r="0" b="0"/>
                  <wp:wrapNone/>
                  <wp:docPr id="795" name="Text_Box_41_SpCnt_4"/>
                  <wp:cNvGraphicFramePr/>
                  <a:graphic xmlns:a="http://schemas.openxmlformats.org/drawingml/2006/main">
                    <a:graphicData uri="http://schemas.openxmlformats.org/drawingml/2006/picture">
                      <pic:pic xmlns:pic="http://schemas.openxmlformats.org/drawingml/2006/picture">
                        <pic:nvPicPr>
                          <pic:cNvPr id="795" name="Text_Box_41_SpCnt_4"/>
                          <pic:cNvPicPr/>
                        </pic:nvPicPr>
                        <pic:blipFill>
                          <a:blip r:embed="rId37"/>
                          <a:stretch>
                            <a:fillRect/>
                          </a:stretch>
                        </pic:blipFill>
                        <pic:spPr>
                          <a:xfrm>
                            <a:off x="0" y="0"/>
                            <a:ext cx="82550" cy="52070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379095"/>
                  <wp:effectExtent l="0" t="0" r="0" b="0"/>
                  <wp:wrapNone/>
                  <wp:docPr id="796" name="Text_Box_41_SpCnt_5"/>
                  <wp:cNvGraphicFramePr/>
                  <a:graphic xmlns:a="http://schemas.openxmlformats.org/drawingml/2006/main">
                    <a:graphicData uri="http://schemas.openxmlformats.org/drawingml/2006/picture">
                      <pic:pic xmlns:pic="http://schemas.openxmlformats.org/drawingml/2006/picture">
                        <pic:nvPicPr>
                          <pic:cNvPr id="796" name="Text_Box_41_SpCnt_5"/>
                          <pic:cNvPicPr/>
                        </pic:nvPicPr>
                        <pic:blipFill>
                          <a:blip r:embed="rId38"/>
                          <a:stretch>
                            <a:fillRect/>
                          </a:stretch>
                        </pic:blipFill>
                        <pic:spPr>
                          <a:xfrm>
                            <a:off x="0" y="0"/>
                            <a:ext cx="82550" cy="37909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379095"/>
                  <wp:effectExtent l="0" t="0" r="0" b="0"/>
                  <wp:wrapNone/>
                  <wp:docPr id="797" name="Text_Box_41_SpCnt_6"/>
                  <wp:cNvGraphicFramePr/>
                  <a:graphic xmlns:a="http://schemas.openxmlformats.org/drawingml/2006/main">
                    <a:graphicData uri="http://schemas.openxmlformats.org/drawingml/2006/picture">
                      <pic:pic xmlns:pic="http://schemas.openxmlformats.org/drawingml/2006/picture">
                        <pic:nvPicPr>
                          <pic:cNvPr id="797" name="Text_Box_41_SpCnt_6"/>
                          <pic:cNvPicPr/>
                        </pic:nvPicPr>
                        <pic:blipFill>
                          <a:blip r:embed="rId38"/>
                          <a:stretch>
                            <a:fillRect/>
                          </a:stretch>
                        </pic:blipFill>
                        <pic:spPr>
                          <a:xfrm>
                            <a:off x="0" y="0"/>
                            <a:ext cx="82550" cy="37909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379095"/>
                  <wp:effectExtent l="0" t="0" r="0" b="0"/>
                  <wp:wrapNone/>
                  <wp:docPr id="798" name="Text_Box_35_SpCnt_10"/>
                  <wp:cNvGraphicFramePr/>
                  <a:graphic xmlns:a="http://schemas.openxmlformats.org/drawingml/2006/main">
                    <a:graphicData uri="http://schemas.openxmlformats.org/drawingml/2006/picture">
                      <pic:pic xmlns:pic="http://schemas.openxmlformats.org/drawingml/2006/picture">
                        <pic:nvPicPr>
                          <pic:cNvPr id="798" name="Text_Box_35_SpCnt_10"/>
                          <pic:cNvPicPr/>
                        </pic:nvPicPr>
                        <pic:blipFill>
                          <a:blip r:embed="rId38"/>
                          <a:stretch>
                            <a:fillRect/>
                          </a:stretch>
                        </pic:blipFill>
                        <pic:spPr>
                          <a:xfrm>
                            <a:off x="0" y="0"/>
                            <a:ext cx="82550" cy="37909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379095"/>
                  <wp:effectExtent l="0" t="0" r="0" b="0"/>
                  <wp:wrapNone/>
                  <wp:docPr id="799" name="Text_Box_41_SpCnt_7"/>
                  <wp:cNvGraphicFramePr/>
                  <a:graphic xmlns:a="http://schemas.openxmlformats.org/drawingml/2006/main">
                    <a:graphicData uri="http://schemas.openxmlformats.org/drawingml/2006/picture">
                      <pic:pic xmlns:pic="http://schemas.openxmlformats.org/drawingml/2006/picture">
                        <pic:nvPicPr>
                          <pic:cNvPr id="799" name="Text_Box_41_SpCnt_7"/>
                          <pic:cNvPicPr/>
                        </pic:nvPicPr>
                        <pic:blipFill>
                          <a:blip r:embed="rId38"/>
                          <a:stretch>
                            <a:fillRect/>
                          </a:stretch>
                        </pic:blipFill>
                        <pic:spPr>
                          <a:xfrm>
                            <a:off x="0" y="0"/>
                            <a:ext cx="82550" cy="37909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379095"/>
                  <wp:effectExtent l="0" t="0" r="0" b="0"/>
                  <wp:wrapNone/>
                  <wp:docPr id="800" name="Text_Box_41_SpCnt_8"/>
                  <wp:cNvGraphicFramePr/>
                  <a:graphic xmlns:a="http://schemas.openxmlformats.org/drawingml/2006/main">
                    <a:graphicData uri="http://schemas.openxmlformats.org/drawingml/2006/picture">
                      <pic:pic xmlns:pic="http://schemas.openxmlformats.org/drawingml/2006/picture">
                        <pic:nvPicPr>
                          <pic:cNvPr id="800" name="Text_Box_41_SpCnt_8"/>
                          <pic:cNvPicPr/>
                        </pic:nvPicPr>
                        <pic:blipFill>
                          <a:blip r:embed="rId38"/>
                          <a:stretch>
                            <a:fillRect/>
                          </a:stretch>
                        </pic:blipFill>
                        <pic:spPr>
                          <a:xfrm>
                            <a:off x="0" y="0"/>
                            <a:ext cx="82550" cy="37909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379095"/>
                  <wp:effectExtent l="0" t="0" r="0" b="0"/>
                  <wp:wrapNone/>
                  <wp:docPr id="801" name="Text_Box_35_SpCnt_11"/>
                  <wp:cNvGraphicFramePr/>
                  <a:graphic xmlns:a="http://schemas.openxmlformats.org/drawingml/2006/main">
                    <a:graphicData uri="http://schemas.openxmlformats.org/drawingml/2006/picture">
                      <pic:pic xmlns:pic="http://schemas.openxmlformats.org/drawingml/2006/picture">
                        <pic:nvPicPr>
                          <pic:cNvPr id="801" name="Text_Box_35_SpCnt_11"/>
                          <pic:cNvPicPr/>
                        </pic:nvPicPr>
                        <pic:blipFill>
                          <a:blip r:embed="rId38"/>
                          <a:stretch>
                            <a:fillRect/>
                          </a:stretch>
                        </pic:blipFill>
                        <pic:spPr>
                          <a:xfrm>
                            <a:off x="0" y="0"/>
                            <a:ext cx="82550" cy="37909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379095"/>
                  <wp:effectExtent l="0" t="0" r="0" b="0"/>
                  <wp:wrapNone/>
                  <wp:docPr id="802" name="Text_Box_35_SpCnt_12"/>
                  <wp:cNvGraphicFramePr/>
                  <a:graphic xmlns:a="http://schemas.openxmlformats.org/drawingml/2006/main">
                    <a:graphicData uri="http://schemas.openxmlformats.org/drawingml/2006/picture">
                      <pic:pic xmlns:pic="http://schemas.openxmlformats.org/drawingml/2006/picture">
                        <pic:nvPicPr>
                          <pic:cNvPr id="802" name="Text_Box_35_SpCnt_12"/>
                          <pic:cNvPicPr/>
                        </pic:nvPicPr>
                        <pic:blipFill>
                          <a:blip r:embed="rId38"/>
                          <a:stretch>
                            <a:fillRect/>
                          </a:stretch>
                        </pic:blipFill>
                        <pic:spPr>
                          <a:xfrm>
                            <a:off x="0" y="0"/>
                            <a:ext cx="82550" cy="37909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379095"/>
                  <wp:effectExtent l="0" t="0" r="0" b="0"/>
                  <wp:wrapNone/>
                  <wp:docPr id="803" name="Text_Box_41_SpCnt_9"/>
                  <wp:cNvGraphicFramePr/>
                  <a:graphic xmlns:a="http://schemas.openxmlformats.org/drawingml/2006/main">
                    <a:graphicData uri="http://schemas.openxmlformats.org/drawingml/2006/picture">
                      <pic:pic xmlns:pic="http://schemas.openxmlformats.org/drawingml/2006/picture">
                        <pic:nvPicPr>
                          <pic:cNvPr id="803" name="Text_Box_41_SpCnt_9"/>
                          <pic:cNvPicPr/>
                        </pic:nvPicPr>
                        <pic:blipFill>
                          <a:blip r:embed="rId38"/>
                          <a:stretch>
                            <a:fillRect/>
                          </a:stretch>
                        </pic:blipFill>
                        <pic:spPr>
                          <a:xfrm>
                            <a:off x="0" y="0"/>
                            <a:ext cx="82550" cy="37909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379095"/>
                  <wp:effectExtent l="0" t="0" r="0" b="0"/>
                  <wp:wrapNone/>
                  <wp:docPr id="804" name="Text_Box_41_SpCnt_10"/>
                  <wp:cNvGraphicFramePr/>
                  <a:graphic xmlns:a="http://schemas.openxmlformats.org/drawingml/2006/main">
                    <a:graphicData uri="http://schemas.openxmlformats.org/drawingml/2006/picture">
                      <pic:pic xmlns:pic="http://schemas.openxmlformats.org/drawingml/2006/picture">
                        <pic:nvPicPr>
                          <pic:cNvPr id="804" name="Text_Box_41_SpCnt_10"/>
                          <pic:cNvPicPr/>
                        </pic:nvPicPr>
                        <pic:blipFill>
                          <a:blip r:embed="rId38"/>
                          <a:stretch>
                            <a:fillRect/>
                          </a:stretch>
                        </pic:blipFill>
                        <pic:spPr>
                          <a:xfrm>
                            <a:off x="0" y="0"/>
                            <a:ext cx="82550" cy="37909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379095"/>
                  <wp:effectExtent l="0" t="0" r="0" b="0"/>
                  <wp:wrapNone/>
                  <wp:docPr id="805" name="Text_Box_35_SpCnt_13"/>
                  <wp:cNvGraphicFramePr/>
                  <a:graphic xmlns:a="http://schemas.openxmlformats.org/drawingml/2006/main">
                    <a:graphicData uri="http://schemas.openxmlformats.org/drawingml/2006/picture">
                      <pic:pic xmlns:pic="http://schemas.openxmlformats.org/drawingml/2006/picture">
                        <pic:nvPicPr>
                          <pic:cNvPr id="805" name="Text_Box_35_SpCnt_13"/>
                          <pic:cNvPicPr/>
                        </pic:nvPicPr>
                        <pic:blipFill>
                          <a:blip r:embed="rId38"/>
                          <a:stretch>
                            <a:fillRect/>
                          </a:stretch>
                        </pic:blipFill>
                        <pic:spPr>
                          <a:xfrm>
                            <a:off x="0" y="0"/>
                            <a:ext cx="82550" cy="37909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492760"/>
                  <wp:effectExtent l="0" t="0" r="0" b="0"/>
                  <wp:wrapNone/>
                  <wp:docPr id="806" name="Text_Box_41_SpCnt_11"/>
                  <wp:cNvGraphicFramePr/>
                  <a:graphic xmlns:a="http://schemas.openxmlformats.org/drawingml/2006/main">
                    <a:graphicData uri="http://schemas.openxmlformats.org/drawingml/2006/picture">
                      <pic:pic xmlns:pic="http://schemas.openxmlformats.org/drawingml/2006/picture">
                        <pic:nvPicPr>
                          <pic:cNvPr id="806" name="Text_Box_41_SpCnt_11"/>
                          <pic:cNvPicPr/>
                        </pic:nvPicPr>
                        <pic:blipFill>
                          <a:blip r:embed="rId39"/>
                          <a:stretch>
                            <a:fillRect/>
                          </a:stretch>
                        </pic:blipFill>
                        <pic:spPr>
                          <a:xfrm>
                            <a:off x="0" y="0"/>
                            <a:ext cx="82550" cy="49276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520700"/>
                  <wp:effectExtent l="0" t="0" r="0" b="0"/>
                  <wp:wrapNone/>
                  <wp:docPr id="807" name="Text_Box_41_SpCnt_12"/>
                  <wp:cNvGraphicFramePr/>
                  <a:graphic xmlns:a="http://schemas.openxmlformats.org/drawingml/2006/main">
                    <a:graphicData uri="http://schemas.openxmlformats.org/drawingml/2006/picture">
                      <pic:pic xmlns:pic="http://schemas.openxmlformats.org/drawingml/2006/picture">
                        <pic:nvPicPr>
                          <pic:cNvPr id="807" name="Text_Box_41_SpCnt_12"/>
                          <pic:cNvPicPr/>
                        </pic:nvPicPr>
                        <pic:blipFill>
                          <a:blip r:embed="rId37"/>
                          <a:stretch>
                            <a:fillRect/>
                          </a:stretch>
                        </pic:blipFill>
                        <pic:spPr>
                          <a:xfrm>
                            <a:off x="0" y="0"/>
                            <a:ext cx="82550" cy="52070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379095"/>
                  <wp:effectExtent l="0" t="0" r="0" b="0"/>
                  <wp:wrapNone/>
                  <wp:docPr id="808" name="Text_Box_35_SpCnt_14"/>
                  <wp:cNvGraphicFramePr/>
                  <a:graphic xmlns:a="http://schemas.openxmlformats.org/drawingml/2006/main">
                    <a:graphicData uri="http://schemas.openxmlformats.org/drawingml/2006/picture">
                      <pic:pic xmlns:pic="http://schemas.openxmlformats.org/drawingml/2006/picture">
                        <pic:nvPicPr>
                          <pic:cNvPr id="808" name="Text_Box_35_SpCnt_14"/>
                          <pic:cNvPicPr/>
                        </pic:nvPicPr>
                        <pic:blipFill>
                          <a:blip r:embed="rId38"/>
                          <a:stretch>
                            <a:fillRect/>
                          </a:stretch>
                        </pic:blipFill>
                        <pic:spPr>
                          <a:xfrm>
                            <a:off x="0" y="0"/>
                            <a:ext cx="82550" cy="37909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379095"/>
                  <wp:effectExtent l="0" t="0" r="0" b="0"/>
                  <wp:wrapNone/>
                  <wp:docPr id="809" name="Text_Box_35_SpCnt_15"/>
                  <wp:cNvGraphicFramePr/>
                  <a:graphic xmlns:a="http://schemas.openxmlformats.org/drawingml/2006/main">
                    <a:graphicData uri="http://schemas.openxmlformats.org/drawingml/2006/picture">
                      <pic:pic xmlns:pic="http://schemas.openxmlformats.org/drawingml/2006/picture">
                        <pic:nvPicPr>
                          <pic:cNvPr id="809" name="Text_Box_35_SpCnt_15"/>
                          <pic:cNvPicPr/>
                        </pic:nvPicPr>
                        <pic:blipFill>
                          <a:blip r:embed="rId38"/>
                          <a:stretch>
                            <a:fillRect/>
                          </a:stretch>
                        </pic:blipFill>
                        <pic:spPr>
                          <a:xfrm>
                            <a:off x="0" y="0"/>
                            <a:ext cx="82550" cy="37909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492760"/>
                  <wp:effectExtent l="0" t="0" r="0" b="0"/>
                  <wp:wrapNone/>
                  <wp:docPr id="810" name="Text_Box_35_SpCnt_16"/>
                  <wp:cNvGraphicFramePr/>
                  <a:graphic xmlns:a="http://schemas.openxmlformats.org/drawingml/2006/main">
                    <a:graphicData uri="http://schemas.openxmlformats.org/drawingml/2006/picture">
                      <pic:pic xmlns:pic="http://schemas.openxmlformats.org/drawingml/2006/picture">
                        <pic:nvPicPr>
                          <pic:cNvPr id="810" name="Text_Box_35_SpCnt_16"/>
                          <pic:cNvPicPr/>
                        </pic:nvPicPr>
                        <pic:blipFill>
                          <a:blip r:embed="rId39"/>
                          <a:stretch>
                            <a:fillRect/>
                          </a:stretch>
                        </pic:blipFill>
                        <pic:spPr>
                          <a:xfrm>
                            <a:off x="0" y="0"/>
                            <a:ext cx="82550" cy="49276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492760"/>
                  <wp:effectExtent l="0" t="0" r="0" b="0"/>
                  <wp:wrapNone/>
                  <wp:docPr id="811" name="Text_Box_41_SpCnt_13"/>
                  <wp:cNvGraphicFramePr/>
                  <a:graphic xmlns:a="http://schemas.openxmlformats.org/drawingml/2006/main">
                    <a:graphicData uri="http://schemas.openxmlformats.org/drawingml/2006/picture">
                      <pic:pic xmlns:pic="http://schemas.openxmlformats.org/drawingml/2006/picture">
                        <pic:nvPicPr>
                          <pic:cNvPr id="811" name="Text_Box_41_SpCnt_13"/>
                          <pic:cNvPicPr/>
                        </pic:nvPicPr>
                        <pic:blipFill>
                          <a:blip r:embed="rId39"/>
                          <a:stretch>
                            <a:fillRect/>
                          </a:stretch>
                        </pic:blipFill>
                        <pic:spPr>
                          <a:xfrm>
                            <a:off x="0" y="0"/>
                            <a:ext cx="82550" cy="49276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379095"/>
                  <wp:effectExtent l="0" t="0" r="0" b="0"/>
                  <wp:wrapNone/>
                  <wp:docPr id="812" name="Text_Box_41_SpCnt_14"/>
                  <wp:cNvGraphicFramePr/>
                  <a:graphic xmlns:a="http://schemas.openxmlformats.org/drawingml/2006/main">
                    <a:graphicData uri="http://schemas.openxmlformats.org/drawingml/2006/picture">
                      <pic:pic xmlns:pic="http://schemas.openxmlformats.org/drawingml/2006/picture">
                        <pic:nvPicPr>
                          <pic:cNvPr id="812" name="Text_Box_41_SpCnt_14"/>
                          <pic:cNvPicPr/>
                        </pic:nvPicPr>
                        <pic:blipFill>
                          <a:blip r:embed="rId38"/>
                          <a:stretch>
                            <a:fillRect/>
                          </a:stretch>
                        </pic:blipFill>
                        <pic:spPr>
                          <a:xfrm>
                            <a:off x="0" y="0"/>
                            <a:ext cx="82550" cy="37909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492760"/>
                  <wp:effectExtent l="0" t="0" r="0" b="0"/>
                  <wp:wrapNone/>
                  <wp:docPr id="813" name="Text_Box_35_SpCnt_17"/>
                  <wp:cNvGraphicFramePr/>
                  <a:graphic xmlns:a="http://schemas.openxmlformats.org/drawingml/2006/main">
                    <a:graphicData uri="http://schemas.openxmlformats.org/drawingml/2006/picture">
                      <pic:pic xmlns:pic="http://schemas.openxmlformats.org/drawingml/2006/picture">
                        <pic:nvPicPr>
                          <pic:cNvPr id="813" name="Text_Box_35_SpCnt_17"/>
                          <pic:cNvPicPr/>
                        </pic:nvPicPr>
                        <pic:blipFill>
                          <a:blip r:embed="rId39"/>
                          <a:stretch>
                            <a:fillRect/>
                          </a:stretch>
                        </pic:blipFill>
                        <pic:spPr>
                          <a:xfrm>
                            <a:off x="0" y="0"/>
                            <a:ext cx="82550" cy="49276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492760"/>
                  <wp:effectExtent l="0" t="0" r="0" b="0"/>
                  <wp:wrapNone/>
                  <wp:docPr id="814" name="Text_Box_41_SpCnt_15"/>
                  <wp:cNvGraphicFramePr/>
                  <a:graphic xmlns:a="http://schemas.openxmlformats.org/drawingml/2006/main">
                    <a:graphicData uri="http://schemas.openxmlformats.org/drawingml/2006/picture">
                      <pic:pic xmlns:pic="http://schemas.openxmlformats.org/drawingml/2006/picture">
                        <pic:nvPicPr>
                          <pic:cNvPr id="814" name="Text_Box_41_SpCnt_15"/>
                          <pic:cNvPicPr/>
                        </pic:nvPicPr>
                        <pic:blipFill>
                          <a:blip r:embed="rId39"/>
                          <a:stretch>
                            <a:fillRect/>
                          </a:stretch>
                        </pic:blipFill>
                        <pic:spPr>
                          <a:xfrm>
                            <a:off x="0" y="0"/>
                            <a:ext cx="82550" cy="49276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379095"/>
                  <wp:effectExtent l="0" t="0" r="0" b="0"/>
                  <wp:wrapNone/>
                  <wp:docPr id="815" name="Text_Box_41_SpCnt_16"/>
                  <wp:cNvGraphicFramePr/>
                  <a:graphic xmlns:a="http://schemas.openxmlformats.org/drawingml/2006/main">
                    <a:graphicData uri="http://schemas.openxmlformats.org/drawingml/2006/picture">
                      <pic:pic xmlns:pic="http://schemas.openxmlformats.org/drawingml/2006/picture">
                        <pic:nvPicPr>
                          <pic:cNvPr id="815" name="Text_Box_41_SpCnt_16"/>
                          <pic:cNvPicPr/>
                        </pic:nvPicPr>
                        <pic:blipFill>
                          <a:blip r:embed="rId38"/>
                          <a:stretch>
                            <a:fillRect/>
                          </a:stretch>
                        </pic:blipFill>
                        <pic:spPr>
                          <a:xfrm>
                            <a:off x="0" y="0"/>
                            <a:ext cx="82550" cy="37909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379095"/>
                  <wp:effectExtent l="0" t="0" r="0" b="0"/>
                  <wp:wrapNone/>
                  <wp:docPr id="816" name="Text_Box_35_SpCnt_18"/>
                  <wp:cNvGraphicFramePr/>
                  <a:graphic xmlns:a="http://schemas.openxmlformats.org/drawingml/2006/main">
                    <a:graphicData uri="http://schemas.openxmlformats.org/drawingml/2006/picture">
                      <pic:pic xmlns:pic="http://schemas.openxmlformats.org/drawingml/2006/picture">
                        <pic:nvPicPr>
                          <pic:cNvPr id="816" name="Text_Box_35_SpCnt_18"/>
                          <pic:cNvPicPr/>
                        </pic:nvPicPr>
                        <pic:blipFill>
                          <a:blip r:embed="rId38"/>
                          <a:stretch>
                            <a:fillRect/>
                          </a:stretch>
                        </pic:blipFill>
                        <pic:spPr>
                          <a:xfrm>
                            <a:off x="0" y="0"/>
                            <a:ext cx="82550" cy="37909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492760"/>
                  <wp:effectExtent l="0" t="0" r="0" b="0"/>
                  <wp:wrapNone/>
                  <wp:docPr id="817" name="Text_Box_35_SpCnt_19"/>
                  <wp:cNvGraphicFramePr/>
                  <a:graphic xmlns:a="http://schemas.openxmlformats.org/drawingml/2006/main">
                    <a:graphicData uri="http://schemas.openxmlformats.org/drawingml/2006/picture">
                      <pic:pic xmlns:pic="http://schemas.openxmlformats.org/drawingml/2006/picture">
                        <pic:nvPicPr>
                          <pic:cNvPr id="817" name="Text_Box_35_SpCnt_19"/>
                          <pic:cNvPicPr/>
                        </pic:nvPicPr>
                        <pic:blipFill>
                          <a:blip r:embed="rId39"/>
                          <a:stretch>
                            <a:fillRect/>
                          </a:stretch>
                        </pic:blipFill>
                        <pic:spPr>
                          <a:xfrm>
                            <a:off x="0" y="0"/>
                            <a:ext cx="82550" cy="49276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492760"/>
                  <wp:effectExtent l="0" t="0" r="0" b="0"/>
                  <wp:wrapNone/>
                  <wp:docPr id="818" name="Text_Box_41_SpCnt_17"/>
                  <wp:cNvGraphicFramePr/>
                  <a:graphic xmlns:a="http://schemas.openxmlformats.org/drawingml/2006/main">
                    <a:graphicData uri="http://schemas.openxmlformats.org/drawingml/2006/picture">
                      <pic:pic xmlns:pic="http://schemas.openxmlformats.org/drawingml/2006/picture">
                        <pic:nvPicPr>
                          <pic:cNvPr id="818" name="Text_Box_41_SpCnt_17"/>
                          <pic:cNvPicPr/>
                        </pic:nvPicPr>
                        <pic:blipFill>
                          <a:blip r:embed="rId39"/>
                          <a:stretch>
                            <a:fillRect/>
                          </a:stretch>
                        </pic:blipFill>
                        <pic:spPr>
                          <a:xfrm>
                            <a:off x="0" y="0"/>
                            <a:ext cx="82550" cy="49276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379095"/>
                  <wp:effectExtent l="0" t="0" r="0" b="0"/>
                  <wp:wrapNone/>
                  <wp:docPr id="819" name="Text_Box_41_SpCnt_18"/>
                  <wp:cNvGraphicFramePr/>
                  <a:graphic xmlns:a="http://schemas.openxmlformats.org/drawingml/2006/main">
                    <a:graphicData uri="http://schemas.openxmlformats.org/drawingml/2006/picture">
                      <pic:pic xmlns:pic="http://schemas.openxmlformats.org/drawingml/2006/picture">
                        <pic:nvPicPr>
                          <pic:cNvPr id="819" name="Text_Box_41_SpCnt_18"/>
                          <pic:cNvPicPr/>
                        </pic:nvPicPr>
                        <pic:blipFill>
                          <a:blip r:embed="rId38"/>
                          <a:stretch>
                            <a:fillRect/>
                          </a:stretch>
                        </pic:blipFill>
                        <pic:spPr>
                          <a:xfrm>
                            <a:off x="0" y="0"/>
                            <a:ext cx="82550" cy="37909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492760"/>
                  <wp:effectExtent l="0" t="0" r="0" b="0"/>
                  <wp:wrapNone/>
                  <wp:docPr id="820" name="Text_Box_41_SpCnt_19"/>
                  <wp:cNvGraphicFramePr/>
                  <a:graphic xmlns:a="http://schemas.openxmlformats.org/drawingml/2006/main">
                    <a:graphicData uri="http://schemas.openxmlformats.org/drawingml/2006/picture">
                      <pic:pic xmlns:pic="http://schemas.openxmlformats.org/drawingml/2006/picture">
                        <pic:nvPicPr>
                          <pic:cNvPr id="820" name="Text_Box_41_SpCnt_19"/>
                          <pic:cNvPicPr/>
                        </pic:nvPicPr>
                        <pic:blipFill>
                          <a:blip r:embed="rId39"/>
                          <a:stretch>
                            <a:fillRect/>
                          </a:stretch>
                        </pic:blipFill>
                        <pic:spPr>
                          <a:xfrm>
                            <a:off x="0" y="0"/>
                            <a:ext cx="82550" cy="49276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492760"/>
                  <wp:effectExtent l="0" t="0" r="0" b="0"/>
                  <wp:wrapNone/>
                  <wp:docPr id="821" name="Text_Box_35_SpCnt_20"/>
                  <wp:cNvGraphicFramePr/>
                  <a:graphic xmlns:a="http://schemas.openxmlformats.org/drawingml/2006/main">
                    <a:graphicData uri="http://schemas.openxmlformats.org/drawingml/2006/picture">
                      <pic:pic xmlns:pic="http://schemas.openxmlformats.org/drawingml/2006/picture">
                        <pic:nvPicPr>
                          <pic:cNvPr id="821" name="Text_Box_35_SpCnt_20"/>
                          <pic:cNvPicPr/>
                        </pic:nvPicPr>
                        <pic:blipFill>
                          <a:blip r:embed="rId39"/>
                          <a:stretch>
                            <a:fillRect/>
                          </a:stretch>
                        </pic:blipFill>
                        <pic:spPr>
                          <a:xfrm>
                            <a:off x="0" y="0"/>
                            <a:ext cx="82550" cy="49276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379095"/>
                  <wp:effectExtent l="0" t="0" r="0" b="0"/>
                  <wp:wrapNone/>
                  <wp:docPr id="822" name="Text_Box_41_SpCnt_20"/>
                  <wp:cNvGraphicFramePr/>
                  <a:graphic xmlns:a="http://schemas.openxmlformats.org/drawingml/2006/main">
                    <a:graphicData uri="http://schemas.openxmlformats.org/drawingml/2006/picture">
                      <pic:pic xmlns:pic="http://schemas.openxmlformats.org/drawingml/2006/picture">
                        <pic:nvPicPr>
                          <pic:cNvPr id="822" name="Text_Box_41_SpCnt_20"/>
                          <pic:cNvPicPr/>
                        </pic:nvPicPr>
                        <pic:blipFill>
                          <a:blip r:embed="rId38"/>
                          <a:stretch>
                            <a:fillRect/>
                          </a:stretch>
                        </pic:blipFill>
                        <pic:spPr>
                          <a:xfrm>
                            <a:off x="0" y="0"/>
                            <a:ext cx="82550" cy="37909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417830"/>
                  <wp:effectExtent l="0" t="0" r="0" b="0"/>
                  <wp:wrapNone/>
                  <wp:docPr id="823" name="Text_Box_41_SpCnt_21"/>
                  <wp:cNvGraphicFramePr/>
                  <a:graphic xmlns:a="http://schemas.openxmlformats.org/drawingml/2006/main">
                    <a:graphicData uri="http://schemas.openxmlformats.org/drawingml/2006/picture">
                      <pic:pic xmlns:pic="http://schemas.openxmlformats.org/drawingml/2006/picture">
                        <pic:nvPicPr>
                          <pic:cNvPr id="823" name="Text_Box_41_SpCnt_21"/>
                          <pic:cNvPicPr/>
                        </pic:nvPicPr>
                        <pic:blipFill>
                          <a:blip r:embed="rId36"/>
                          <a:stretch>
                            <a:fillRect/>
                          </a:stretch>
                        </pic:blipFill>
                        <pic:spPr>
                          <a:xfrm>
                            <a:off x="0" y="0"/>
                            <a:ext cx="82550" cy="41783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520700"/>
                  <wp:effectExtent l="0" t="0" r="0" b="0"/>
                  <wp:wrapNone/>
                  <wp:docPr id="824" name="Text_Box_35_SpCnt_21"/>
                  <wp:cNvGraphicFramePr/>
                  <a:graphic xmlns:a="http://schemas.openxmlformats.org/drawingml/2006/main">
                    <a:graphicData uri="http://schemas.openxmlformats.org/drawingml/2006/picture">
                      <pic:pic xmlns:pic="http://schemas.openxmlformats.org/drawingml/2006/picture">
                        <pic:nvPicPr>
                          <pic:cNvPr id="824" name="Text_Box_35_SpCnt_21"/>
                          <pic:cNvPicPr/>
                        </pic:nvPicPr>
                        <pic:blipFill>
                          <a:blip r:embed="rId37"/>
                          <a:stretch>
                            <a:fillRect/>
                          </a:stretch>
                        </pic:blipFill>
                        <pic:spPr>
                          <a:xfrm>
                            <a:off x="0" y="0"/>
                            <a:ext cx="82550" cy="52070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379095"/>
                  <wp:effectExtent l="0" t="0" r="0" b="0"/>
                  <wp:wrapNone/>
                  <wp:docPr id="825" name="Text_Box_35_SpCnt_22"/>
                  <wp:cNvGraphicFramePr/>
                  <a:graphic xmlns:a="http://schemas.openxmlformats.org/drawingml/2006/main">
                    <a:graphicData uri="http://schemas.openxmlformats.org/drawingml/2006/picture">
                      <pic:pic xmlns:pic="http://schemas.openxmlformats.org/drawingml/2006/picture">
                        <pic:nvPicPr>
                          <pic:cNvPr id="825" name="Text_Box_35_SpCnt_22"/>
                          <pic:cNvPicPr/>
                        </pic:nvPicPr>
                        <pic:blipFill>
                          <a:blip r:embed="rId38"/>
                          <a:stretch>
                            <a:fillRect/>
                          </a:stretch>
                        </pic:blipFill>
                        <pic:spPr>
                          <a:xfrm>
                            <a:off x="0" y="0"/>
                            <a:ext cx="82550" cy="37909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492760"/>
                  <wp:effectExtent l="0" t="0" r="0" b="0"/>
                  <wp:wrapNone/>
                  <wp:docPr id="826" name="Text_Box_35_SpCnt_23"/>
                  <wp:cNvGraphicFramePr/>
                  <a:graphic xmlns:a="http://schemas.openxmlformats.org/drawingml/2006/main">
                    <a:graphicData uri="http://schemas.openxmlformats.org/drawingml/2006/picture">
                      <pic:pic xmlns:pic="http://schemas.openxmlformats.org/drawingml/2006/picture">
                        <pic:nvPicPr>
                          <pic:cNvPr id="826" name="Text_Box_35_SpCnt_23"/>
                          <pic:cNvPicPr/>
                        </pic:nvPicPr>
                        <pic:blipFill>
                          <a:blip r:embed="rId39"/>
                          <a:stretch>
                            <a:fillRect/>
                          </a:stretch>
                        </pic:blipFill>
                        <pic:spPr>
                          <a:xfrm>
                            <a:off x="0" y="0"/>
                            <a:ext cx="82550" cy="49276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379095"/>
                  <wp:effectExtent l="0" t="0" r="0" b="0"/>
                  <wp:wrapNone/>
                  <wp:docPr id="827" name="Text_Box_35_SpCnt_24"/>
                  <wp:cNvGraphicFramePr/>
                  <a:graphic xmlns:a="http://schemas.openxmlformats.org/drawingml/2006/main">
                    <a:graphicData uri="http://schemas.openxmlformats.org/drawingml/2006/picture">
                      <pic:pic xmlns:pic="http://schemas.openxmlformats.org/drawingml/2006/picture">
                        <pic:nvPicPr>
                          <pic:cNvPr id="827" name="Text_Box_35_SpCnt_24"/>
                          <pic:cNvPicPr/>
                        </pic:nvPicPr>
                        <pic:blipFill>
                          <a:blip r:embed="rId38"/>
                          <a:stretch>
                            <a:fillRect/>
                          </a:stretch>
                        </pic:blipFill>
                        <pic:spPr>
                          <a:xfrm>
                            <a:off x="0" y="0"/>
                            <a:ext cx="82550" cy="37909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379095"/>
                  <wp:effectExtent l="0" t="0" r="0" b="0"/>
                  <wp:wrapNone/>
                  <wp:docPr id="828" name="Text_Box_41_SpCnt_22"/>
                  <wp:cNvGraphicFramePr/>
                  <a:graphic xmlns:a="http://schemas.openxmlformats.org/drawingml/2006/main">
                    <a:graphicData uri="http://schemas.openxmlformats.org/drawingml/2006/picture">
                      <pic:pic xmlns:pic="http://schemas.openxmlformats.org/drawingml/2006/picture">
                        <pic:nvPicPr>
                          <pic:cNvPr id="828" name="Text_Box_41_SpCnt_22"/>
                          <pic:cNvPicPr/>
                        </pic:nvPicPr>
                        <pic:blipFill>
                          <a:blip r:embed="rId38"/>
                          <a:stretch>
                            <a:fillRect/>
                          </a:stretch>
                        </pic:blipFill>
                        <pic:spPr>
                          <a:xfrm>
                            <a:off x="0" y="0"/>
                            <a:ext cx="82550" cy="37909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492760"/>
                  <wp:effectExtent l="0" t="0" r="0" b="0"/>
                  <wp:wrapNone/>
                  <wp:docPr id="829" name="Text_Box_41_SpCnt_23"/>
                  <wp:cNvGraphicFramePr/>
                  <a:graphic xmlns:a="http://schemas.openxmlformats.org/drawingml/2006/main">
                    <a:graphicData uri="http://schemas.openxmlformats.org/drawingml/2006/picture">
                      <pic:pic xmlns:pic="http://schemas.openxmlformats.org/drawingml/2006/picture">
                        <pic:nvPicPr>
                          <pic:cNvPr id="829" name="Text_Box_41_SpCnt_23"/>
                          <pic:cNvPicPr/>
                        </pic:nvPicPr>
                        <pic:blipFill>
                          <a:blip r:embed="rId39"/>
                          <a:stretch>
                            <a:fillRect/>
                          </a:stretch>
                        </pic:blipFill>
                        <pic:spPr>
                          <a:xfrm>
                            <a:off x="0" y="0"/>
                            <a:ext cx="82550" cy="49276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379095"/>
                  <wp:effectExtent l="0" t="0" r="0" b="0"/>
                  <wp:wrapNone/>
                  <wp:docPr id="830" name="Text_Box_35_SpCnt_25"/>
                  <wp:cNvGraphicFramePr/>
                  <a:graphic xmlns:a="http://schemas.openxmlformats.org/drawingml/2006/main">
                    <a:graphicData uri="http://schemas.openxmlformats.org/drawingml/2006/picture">
                      <pic:pic xmlns:pic="http://schemas.openxmlformats.org/drawingml/2006/picture">
                        <pic:nvPicPr>
                          <pic:cNvPr id="830" name="Text_Box_35_SpCnt_25"/>
                          <pic:cNvPicPr/>
                        </pic:nvPicPr>
                        <pic:blipFill>
                          <a:blip r:embed="rId38"/>
                          <a:stretch>
                            <a:fillRect/>
                          </a:stretch>
                        </pic:blipFill>
                        <pic:spPr>
                          <a:xfrm>
                            <a:off x="0" y="0"/>
                            <a:ext cx="82550" cy="37909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379095"/>
                  <wp:effectExtent l="0" t="0" r="0" b="0"/>
                  <wp:wrapNone/>
                  <wp:docPr id="831" name="Text_Box_41_SpCnt_24"/>
                  <wp:cNvGraphicFramePr/>
                  <a:graphic xmlns:a="http://schemas.openxmlformats.org/drawingml/2006/main">
                    <a:graphicData uri="http://schemas.openxmlformats.org/drawingml/2006/picture">
                      <pic:pic xmlns:pic="http://schemas.openxmlformats.org/drawingml/2006/picture">
                        <pic:nvPicPr>
                          <pic:cNvPr id="831" name="Text_Box_41_SpCnt_24"/>
                          <pic:cNvPicPr/>
                        </pic:nvPicPr>
                        <pic:blipFill>
                          <a:blip r:embed="rId38"/>
                          <a:stretch>
                            <a:fillRect/>
                          </a:stretch>
                        </pic:blipFill>
                        <pic:spPr>
                          <a:xfrm>
                            <a:off x="0" y="0"/>
                            <a:ext cx="82550" cy="37909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379095"/>
                  <wp:effectExtent l="0" t="0" r="0" b="0"/>
                  <wp:wrapNone/>
                  <wp:docPr id="832" name="Text_Box_41_SpCnt_25"/>
                  <wp:cNvGraphicFramePr/>
                  <a:graphic xmlns:a="http://schemas.openxmlformats.org/drawingml/2006/main">
                    <a:graphicData uri="http://schemas.openxmlformats.org/drawingml/2006/picture">
                      <pic:pic xmlns:pic="http://schemas.openxmlformats.org/drawingml/2006/picture">
                        <pic:nvPicPr>
                          <pic:cNvPr id="832" name="Text_Box_41_SpCnt_25"/>
                          <pic:cNvPicPr/>
                        </pic:nvPicPr>
                        <pic:blipFill>
                          <a:blip r:embed="rId38"/>
                          <a:stretch>
                            <a:fillRect/>
                          </a:stretch>
                        </pic:blipFill>
                        <pic:spPr>
                          <a:xfrm>
                            <a:off x="0" y="0"/>
                            <a:ext cx="82550" cy="37909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492760"/>
                  <wp:effectExtent l="0" t="0" r="0" b="0"/>
                  <wp:wrapNone/>
                  <wp:docPr id="833" name="Text_Box_35_SpCnt_26"/>
                  <wp:cNvGraphicFramePr/>
                  <a:graphic xmlns:a="http://schemas.openxmlformats.org/drawingml/2006/main">
                    <a:graphicData uri="http://schemas.openxmlformats.org/drawingml/2006/picture">
                      <pic:pic xmlns:pic="http://schemas.openxmlformats.org/drawingml/2006/picture">
                        <pic:nvPicPr>
                          <pic:cNvPr id="833" name="Text_Box_35_SpCnt_26"/>
                          <pic:cNvPicPr/>
                        </pic:nvPicPr>
                        <pic:blipFill>
                          <a:blip r:embed="rId39"/>
                          <a:stretch>
                            <a:fillRect/>
                          </a:stretch>
                        </pic:blipFill>
                        <pic:spPr>
                          <a:xfrm>
                            <a:off x="0" y="0"/>
                            <a:ext cx="82550" cy="49276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379095"/>
                  <wp:effectExtent l="0" t="0" r="0" b="0"/>
                  <wp:wrapNone/>
                  <wp:docPr id="834" name="Text_Box_35_SpCnt_27"/>
                  <wp:cNvGraphicFramePr/>
                  <a:graphic xmlns:a="http://schemas.openxmlformats.org/drawingml/2006/main">
                    <a:graphicData uri="http://schemas.openxmlformats.org/drawingml/2006/picture">
                      <pic:pic xmlns:pic="http://schemas.openxmlformats.org/drawingml/2006/picture">
                        <pic:nvPicPr>
                          <pic:cNvPr id="834" name="Text_Box_35_SpCnt_27"/>
                          <pic:cNvPicPr/>
                        </pic:nvPicPr>
                        <pic:blipFill>
                          <a:blip r:embed="rId38"/>
                          <a:stretch>
                            <a:fillRect/>
                          </a:stretch>
                        </pic:blipFill>
                        <pic:spPr>
                          <a:xfrm>
                            <a:off x="0" y="0"/>
                            <a:ext cx="82550" cy="37909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379095"/>
                  <wp:effectExtent l="0" t="0" r="0" b="0"/>
                  <wp:wrapNone/>
                  <wp:docPr id="835" name="Text_Box_41_SpCnt_26"/>
                  <wp:cNvGraphicFramePr/>
                  <a:graphic xmlns:a="http://schemas.openxmlformats.org/drawingml/2006/main">
                    <a:graphicData uri="http://schemas.openxmlformats.org/drawingml/2006/picture">
                      <pic:pic xmlns:pic="http://schemas.openxmlformats.org/drawingml/2006/picture">
                        <pic:nvPicPr>
                          <pic:cNvPr id="835" name="Text_Box_41_SpCnt_26"/>
                          <pic:cNvPicPr/>
                        </pic:nvPicPr>
                        <pic:blipFill>
                          <a:blip r:embed="rId38"/>
                          <a:stretch>
                            <a:fillRect/>
                          </a:stretch>
                        </pic:blipFill>
                        <pic:spPr>
                          <a:xfrm>
                            <a:off x="0" y="0"/>
                            <a:ext cx="82550" cy="37909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492760"/>
                  <wp:effectExtent l="0" t="0" r="0" b="0"/>
                  <wp:wrapNone/>
                  <wp:docPr id="836" name="Text_Box_41_SpCnt_27"/>
                  <wp:cNvGraphicFramePr/>
                  <a:graphic xmlns:a="http://schemas.openxmlformats.org/drawingml/2006/main">
                    <a:graphicData uri="http://schemas.openxmlformats.org/drawingml/2006/picture">
                      <pic:pic xmlns:pic="http://schemas.openxmlformats.org/drawingml/2006/picture">
                        <pic:nvPicPr>
                          <pic:cNvPr id="836" name="Text_Box_41_SpCnt_27"/>
                          <pic:cNvPicPr/>
                        </pic:nvPicPr>
                        <pic:blipFill>
                          <a:blip r:embed="rId39"/>
                          <a:stretch>
                            <a:fillRect/>
                          </a:stretch>
                        </pic:blipFill>
                        <pic:spPr>
                          <a:xfrm>
                            <a:off x="0" y="0"/>
                            <a:ext cx="82550" cy="49276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379095"/>
                  <wp:effectExtent l="0" t="0" r="0" b="0"/>
                  <wp:wrapNone/>
                  <wp:docPr id="837" name="Text_Box_35_SpCnt_28"/>
                  <wp:cNvGraphicFramePr/>
                  <a:graphic xmlns:a="http://schemas.openxmlformats.org/drawingml/2006/main">
                    <a:graphicData uri="http://schemas.openxmlformats.org/drawingml/2006/picture">
                      <pic:pic xmlns:pic="http://schemas.openxmlformats.org/drawingml/2006/picture">
                        <pic:nvPicPr>
                          <pic:cNvPr id="837" name="Text_Box_35_SpCnt_28"/>
                          <pic:cNvPicPr/>
                        </pic:nvPicPr>
                        <pic:blipFill>
                          <a:blip r:embed="rId38"/>
                          <a:stretch>
                            <a:fillRect/>
                          </a:stretch>
                        </pic:blipFill>
                        <pic:spPr>
                          <a:xfrm>
                            <a:off x="0" y="0"/>
                            <a:ext cx="82550" cy="37909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379095"/>
                  <wp:effectExtent l="0" t="0" r="0" b="0"/>
                  <wp:wrapNone/>
                  <wp:docPr id="838" name="Text_Box_41_SpCnt_28"/>
                  <wp:cNvGraphicFramePr/>
                  <a:graphic xmlns:a="http://schemas.openxmlformats.org/drawingml/2006/main">
                    <a:graphicData uri="http://schemas.openxmlformats.org/drawingml/2006/picture">
                      <pic:pic xmlns:pic="http://schemas.openxmlformats.org/drawingml/2006/picture">
                        <pic:nvPicPr>
                          <pic:cNvPr id="838" name="Text_Box_41_SpCnt_28"/>
                          <pic:cNvPicPr/>
                        </pic:nvPicPr>
                        <pic:blipFill>
                          <a:blip r:embed="rId38"/>
                          <a:stretch>
                            <a:fillRect/>
                          </a:stretch>
                        </pic:blipFill>
                        <pic:spPr>
                          <a:xfrm>
                            <a:off x="0" y="0"/>
                            <a:ext cx="82550" cy="37909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520700"/>
                  <wp:effectExtent l="0" t="0" r="0" b="0"/>
                  <wp:wrapNone/>
                  <wp:docPr id="839" name="Text_Box_41_SpCnt_29"/>
                  <wp:cNvGraphicFramePr/>
                  <a:graphic xmlns:a="http://schemas.openxmlformats.org/drawingml/2006/main">
                    <a:graphicData uri="http://schemas.openxmlformats.org/drawingml/2006/picture">
                      <pic:pic xmlns:pic="http://schemas.openxmlformats.org/drawingml/2006/picture">
                        <pic:nvPicPr>
                          <pic:cNvPr id="839" name="Text_Box_41_SpCnt_29"/>
                          <pic:cNvPicPr/>
                        </pic:nvPicPr>
                        <pic:blipFill>
                          <a:blip r:embed="rId37"/>
                          <a:stretch>
                            <a:fillRect/>
                          </a:stretch>
                        </pic:blipFill>
                        <pic:spPr>
                          <a:xfrm>
                            <a:off x="0" y="0"/>
                            <a:ext cx="82550" cy="52070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379095"/>
                  <wp:effectExtent l="0" t="0" r="0" b="0"/>
                  <wp:wrapNone/>
                  <wp:docPr id="840" name="Text_Box_35_SpCnt_29"/>
                  <wp:cNvGraphicFramePr/>
                  <a:graphic xmlns:a="http://schemas.openxmlformats.org/drawingml/2006/main">
                    <a:graphicData uri="http://schemas.openxmlformats.org/drawingml/2006/picture">
                      <pic:pic xmlns:pic="http://schemas.openxmlformats.org/drawingml/2006/picture">
                        <pic:nvPicPr>
                          <pic:cNvPr id="840" name="Text_Box_35_SpCnt_29"/>
                          <pic:cNvPicPr/>
                        </pic:nvPicPr>
                        <pic:blipFill>
                          <a:blip r:embed="rId38"/>
                          <a:stretch>
                            <a:fillRect/>
                          </a:stretch>
                        </pic:blipFill>
                        <pic:spPr>
                          <a:xfrm>
                            <a:off x="0" y="0"/>
                            <a:ext cx="82550" cy="37909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492760"/>
                  <wp:effectExtent l="0" t="0" r="0" b="0"/>
                  <wp:wrapNone/>
                  <wp:docPr id="841" name="Text_Box_35_SpCnt_30"/>
                  <wp:cNvGraphicFramePr/>
                  <a:graphic xmlns:a="http://schemas.openxmlformats.org/drawingml/2006/main">
                    <a:graphicData uri="http://schemas.openxmlformats.org/drawingml/2006/picture">
                      <pic:pic xmlns:pic="http://schemas.openxmlformats.org/drawingml/2006/picture">
                        <pic:nvPicPr>
                          <pic:cNvPr id="841" name="Text_Box_35_SpCnt_30"/>
                          <pic:cNvPicPr/>
                        </pic:nvPicPr>
                        <pic:blipFill>
                          <a:blip r:embed="rId39"/>
                          <a:stretch>
                            <a:fillRect/>
                          </a:stretch>
                        </pic:blipFill>
                        <pic:spPr>
                          <a:xfrm>
                            <a:off x="0" y="0"/>
                            <a:ext cx="82550" cy="49276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379095"/>
                  <wp:effectExtent l="0" t="0" r="0" b="0"/>
                  <wp:wrapNone/>
                  <wp:docPr id="842" name="Text_Box_35_SpCnt_31"/>
                  <wp:cNvGraphicFramePr/>
                  <a:graphic xmlns:a="http://schemas.openxmlformats.org/drawingml/2006/main">
                    <a:graphicData uri="http://schemas.openxmlformats.org/drawingml/2006/picture">
                      <pic:pic xmlns:pic="http://schemas.openxmlformats.org/drawingml/2006/picture">
                        <pic:nvPicPr>
                          <pic:cNvPr id="842" name="Text_Box_35_SpCnt_31"/>
                          <pic:cNvPicPr/>
                        </pic:nvPicPr>
                        <pic:blipFill>
                          <a:blip r:embed="rId38"/>
                          <a:stretch>
                            <a:fillRect/>
                          </a:stretch>
                        </pic:blipFill>
                        <pic:spPr>
                          <a:xfrm>
                            <a:off x="0" y="0"/>
                            <a:ext cx="82550" cy="37909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379095"/>
                  <wp:effectExtent l="0" t="0" r="0" b="0"/>
                  <wp:wrapNone/>
                  <wp:docPr id="843" name="Text_Box_41_SpCnt_30"/>
                  <wp:cNvGraphicFramePr/>
                  <a:graphic xmlns:a="http://schemas.openxmlformats.org/drawingml/2006/main">
                    <a:graphicData uri="http://schemas.openxmlformats.org/drawingml/2006/picture">
                      <pic:pic xmlns:pic="http://schemas.openxmlformats.org/drawingml/2006/picture">
                        <pic:nvPicPr>
                          <pic:cNvPr id="843" name="Text_Box_41_SpCnt_30"/>
                          <pic:cNvPicPr/>
                        </pic:nvPicPr>
                        <pic:blipFill>
                          <a:blip r:embed="rId38"/>
                          <a:stretch>
                            <a:fillRect/>
                          </a:stretch>
                        </pic:blipFill>
                        <pic:spPr>
                          <a:xfrm>
                            <a:off x="0" y="0"/>
                            <a:ext cx="82550" cy="37909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492760"/>
                  <wp:effectExtent l="0" t="0" r="0" b="0"/>
                  <wp:wrapNone/>
                  <wp:docPr id="844" name="Text_Box_41_SpCnt_31"/>
                  <wp:cNvGraphicFramePr/>
                  <a:graphic xmlns:a="http://schemas.openxmlformats.org/drawingml/2006/main">
                    <a:graphicData uri="http://schemas.openxmlformats.org/drawingml/2006/picture">
                      <pic:pic xmlns:pic="http://schemas.openxmlformats.org/drawingml/2006/picture">
                        <pic:nvPicPr>
                          <pic:cNvPr id="844" name="Text_Box_41_SpCnt_31"/>
                          <pic:cNvPicPr/>
                        </pic:nvPicPr>
                        <pic:blipFill>
                          <a:blip r:embed="rId39"/>
                          <a:stretch>
                            <a:fillRect/>
                          </a:stretch>
                        </pic:blipFill>
                        <pic:spPr>
                          <a:xfrm>
                            <a:off x="0" y="0"/>
                            <a:ext cx="82550" cy="49276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379095"/>
                  <wp:effectExtent l="0" t="0" r="0" b="0"/>
                  <wp:wrapNone/>
                  <wp:docPr id="845" name="Text_Box_35_SpCnt_32"/>
                  <wp:cNvGraphicFramePr/>
                  <a:graphic xmlns:a="http://schemas.openxmlformats.org/drawingml/2006/main">
                    <a:graphicData uri="http://schemas.openxmlformats.org/drawingml/2006/picture">
                      <pic:pic xmlns:pic="http://schemas.openxmlformats.org/drawingml/2006/picture">
                        <pic:nvPicPr>
                          <pic:cNvPr id="845" name="Text_Box_35_SpCnt_32"/>
                          <pic:cNvPicPr/>
                        </pic:nvPicPr>
                        <pic:blipFill>
                          <a:blip r:embed="rId38"/>
                          <a:stretch>
                            <a:fillRect/>
                          </a:stretch>
                        </pic:blipFill>
                        <pic:spPr>
                          <a:xfrm>
                            <a:off x="0" y="0"/>
                            <a:ext cx="82550" cy="37909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379095"/>
                  <wp:effectExtent l="0" t="0" r="0" b="0"/>
                  <wp:wrapNone/>
                  <wp:docPr id="846" name="Text_Box_41_SpCnt_32"/>
                  <wp:cNvGraphicFramePr/>
                  <a:graphic xmlns:a="http://schemas.openxmlformats.org/drawingml/2006/main">
                    <a:graphicData uri="http://schemas.openxmlformats.org/drawingml/2006/picture">
                      <pic:pic xmlns:pic="http://schemas.openxmlformats.org/drawingml/2006/picture">
                        <pic:nvPicPr>
                          <pic:cNvPr id="846" name="Text_Box_41_SpCnt_32"/>
                          <pic:cNvPicPr/>
                        </pic:nvPicPr>
                        <pic:blipFill>
                          <a:blip r:embed="rId38"/>
                          <a:stretch>
                            <a:fillRect/>
                          </a:stretch>
                        </pic:blipFill>
                        <pic:spPr>
                          <a:xfrm>
                            <a:off x="0" y="0"/>
                            <a:ext cx="82550" cy="37909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379095"/>
                  <wp:effectExtent l="0" t="0" r="0" b="0"/>
                  <wp:wrapNone/>
                  <wp:docPr id="847" name="Text_Box_35_SpCnt_33"/>
                  <wp:cNvGraphicFramePr/>
                  <a:graphic xmlns:a="http://schemas.openxmlformats.org/drawingml/2006/main">
                    <a:graphicData uri="http://schemas.openxmlformats.org/drawingml/2006/picture">
                      <pic:pic xmlns:pic="http://schemas.openxmlformats.org/drawingml/2006/picture">
                        <pic:nvPicPr>
                          <pic:cNvPr id="847" name="Text_Box_35_SpCnt_33"/>
                          <pic:cNvPicPr/>
                        </pic:nvPicPr>
                        <pic:blipFill>
                          <a:blip r:embed="rId38"/>
                          <a:stretch>
                            <a:fillRect/>
                          </a:stretch>
                        </pic:blipFill>
                        <pic:spPr>
                          <a:xfrm>
                            <a:off x="0" y="0"/>
                            <a:ext cx="82550" cy="37909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379095"/>
                  <wp:effectExtent l="0" t="0" r="0" b="0"/>
                  <wp:wrapNone/>
                  <wp:docPr id="848" name="Text_Box_41_SpCnt_33"/>
                  <wp:cNvGraphicFramePr/>
                  <a:graphic xmlns:a="http://schemas.openxmlformats.org/drawingml/2006/main">
                    <a:graphicData uri="http://schemas.openxmlformats.org/drawingml/2006/picture">
                      <pic:pic xmlns:pic="http://schemas.openxmlformats.org/drawingml/2006/picture">
                        <pic:nvPicPr>
                          <pic:cNvPr id="848" name="Text_Box_41_SpCnt_33"/>
                          <pic:cNvPicPr/>
                        </pic:nvPicPr>
                        <pic:blipFill>
                          <a:blip r:embed="rId38"/>
                          <a:stretch>
                            <a:fillRect/>
                          </a:stretch>
                        </pic:blipFill>
                        <pic:spPr>
                          <a:xfrm>
                            <a:off x="0" y="0"/>
                            <a:ext cx="82550" cy="37909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379095"/>
                  <wp:effectExtent l="0" t="0" r="0" b="0"/>
                  <wp:wrapNone/>
                  <wp:docPr id="849" name="Text_Box_35_SpCnt_34"/>
                  <wp:cNvGraphicFramePr/>
                  <a:graphic xmlns:a="http://schemas.openxmlformats.org/drawingml/2006/main">
                    <a:graphicData uri="http://schemas.openxmlformats.org/drawingml/2006/picture">
                      <pic:pic xmlns:pic="http://schemas.openxmlformats.org/drawingml/2006/picture">
                        <pic:nvPicPr>
                          <pic:cNvPr id="849" name="Text_Box_35_SpCnt_34"/>
                          <pic:cNvPicPr/>
                        </pic:nvPicPr>
                        <pic:blipFill>
                          <a:blip r:embed="rId38"/>
                          <a:stretch>
                            <a:fillRect/>
                          </a:stretch>
                        </pic:blipFill>
                        <pic:spPr>
                          <a:xfrm>
                            <a:off x="0" y="0"/>
                            <a:ext cx="82550" cy="37909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379095"/>
                  <wp:effectExtent l="0" t="0" r="0" b="0"/>
                  <wp:wrapNone/>
                  <wp:docPr id="850" name="Text_Box_41_SpCnt_34"/>
                  <wp:cNvGraphicFramePr/>
                  <a:graphic xmlns:a="http://schemas.openxmlformats.org/drawingml/2006/main">
                    <a:graphicData uri="http://schemas.openxmlformats.org/drawingml/2006/picture">
                      <pic:pic xmlns:pic="http://schemas.openxmlformats.org/drawingml/2006/picture">
                        <pic:nvPicPr>
                          <pic:cNvPr id="850" name="Text_Box_41_SpCnt_34"/>
                          <pic:cNvPicPr/>
                        </pic:nvPicPr>
                        <pic:blipFill>
                          <a:blip r:embed="rId38"/>
                          <a:stretch>
                            <a:fillRect/>
                          </a:stretch>
                        </pic:blipFill>
                        <pic:spPr>
                          <a:xfrm>
                            <a:off x="0" y="0"/>
                            <a:ext cx="82550" cy="37909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520700"/>
                  <wp:effectExtent l="0" t="0" r="0" b="0"/>
                  <wp:wrapNone/>
                  <wp:docPr id="851" name="Text_Box_35_SpCnt_35"/>
                  <wp:cNvGraphicFramePr/>
                  <a:graphic xmlns:a="http://schemas.openxmlformats.org/drawingml/2006/main">
                    <a:graphicData uri="http://schemas.openxmlformats.org/drawingml/2006/picture">
                      <pic:pic xmlns:pic="http://schemas.openxmlformats.org/drawingml/2006/picture">
                        <pic:nvPicPr>
                          <pic:cNvPr id="851" name="Text_Box_35_SpCnt_35"/>
                          <pic:cNvPicPr/>
                        </pic:nvPicPr>
                        <pic:blipFill>
                          <a:blip r:embed="rId37"/>
                          <a:stretch>
                            <a:fillRect/>
                          </a:stretch>
                        </pic:blipFill>
                        <pic:spPr>
                          <a:xfrm>
                            <a:off x="0" y="0"/>
                            <a:ext cx="82550" cy="52070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379095"/>
                  <wp:effectExtent l="0" t="0" r="0" b="0"/>
                  <wp:wrapNone/>
                  <wp:docPr id="852" name="Text_Box_41_SpCnt_35"/>
                  <wp:cNvGraphicFramePr/>
                  <a:graphic xmlns:a="http://schemas.openxmlformats.org/drawingml/2006/main">
                    <a:graphicData uri="http://schemas.openxmlformats.org/drawingml/2006/picture">
                      <pic:pic xmlns:pic="http://schemas.openxmlformats.org/drawingml/2006/picture">
                        <pic:nvPicPr>
                          <pic:cNvPr id="852" name="Text_Box_41_SpCnt_35"/>
                          <pic:cNvPicPr/>
                        </pic:nvPicPr>
                        <pic:blipFill>
                          <a:blip r:embed="rId38"/>
                          <a:stretch>
                            <a:fillRect/>
                          </a:stretch>
                        </pic:blipFill>
                        <pic:spPr>
                          <a:xfrm>
                            <a:off x="0" y="0"/>
                            <a:ext cx="82550" cy="37909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379095"/>
                  <wp:effectExtent l="0" t="0" r="0" b="0"/>
                  <wp:wrapNone/>
                  <wp:docPr id="853" name="Text_Box_35_SpCnt_36"/>
                  <wp:cNvGraphicFramePr/>
                  <a:graphic xmlns:a="http://schemas.openxmlformats.org/drawingml/2006/main">
                    <a:graphicData uri="http://schemas.openxmlformats.org/drawingml/2006/picture">
                      <pic:pic xmlns:pic="http://schemas.openxmlformats.org/drawingml/2006/picture">
                        <pic:nvPicPr>
                          <pic:cNvPr id="853" name="Text_Box_35_SpCnt_36"/>
                          <pic:cNvPicPr/>
                        </pic:nvPicPr>
                        <pic:blipFill>
                          <a:blip r:embed="rId38"/>
                          <a:stretch>
                            <a:fillRect/>
                          </a:stretch>
                        </pic:blipFill>
                        <pic:spPr>
                          <a:xfrm>
                            <a:off x="0" y="0"/>
                            <a:ext cx="82550" cy="37909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379095"/>
                  <wp:effectExtent l="0" t="0" r="0" b="0"/>
                  <wp:wrapNone/>
                  <wp:docPr id="854" name="Text_Box_41_SpCnt_36"/>
                  <wp:cNvGraphicFramePr/>
                  <a:graphic xmlns:a="http://schemas.openxmlformats.org/drawingml/2006/main">
                    <a:graphicData uri="http://schemas.openxmlformats.org/drawingml/2006/picture">
                      <pic:pic xmlns:pic="http://schemas.openxmlformats.org/drawingml/2006/picture">
                        <pic:nvPicPr>
                          <pic:cNvPr id="854" name="Text_Box_41_SpCnt_36"/>
                          <pic:cNvPicPr/>
                        </pic:nvPicPr>
                        <pic:blipFill>
                          <a:blip r:embed="rId38"/>
                          <a:stretch>
                            <a:fillRect/>
                          </a:stretch>
                        </pic:blipFill>
                        <pic:spPr>
                          <a:xfrm>
                            <a:off x="0" y="0"/>
                            <a:ext cx="82550" cy="37909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379095"/>
                  <wp:effectExtent l="0" t="0" r="0" b="0"/>
                  <wp:wrapNone/>
                  <wp:docPr id="855" name="Text_Box_35_SpCnt_37"/>
                  <wp:cNvGraphicFramePr/>
                  <a:graphic xmlns:a="http://schemas.openxmlformats.org/drawingml/2006/main">
                    <a:graphicData uri="http://schemas.openxmlformats.org/drawingml/2006/picture">
                      <pic:pic xmlns:pic="http://schemas.openxmlformats.org/drawingml/2006/picture">
                        <pic:nvPicPr>
                          <pic:cNvPr id="855" name="Text_Box_35_SpCnt_37"/>
                          <pic:cNvPicPr/>
                        </pic:nvPicPr>
                        <pic:blipFill>
                          <a:blip r:embed="rId38"/>
                          <a:stretch>
                            <a:fillRect/>
                          </a:stretch>
                        </pic:blipFill>
                        <pic:spPr>
                          <a:xfrm>
                            <a:off x="0" y="0"/>
                            <a:ext cx="82550" cy="37909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379095"/>
                  <wp:effectExtent l="0" t="0" r="0" b="0"/>
                  <wp:wrapNone/>
                  <wp:docPr id="856" name="Text_Box_41_SpCnt_37"/>
                  <wp:cNvGraphicFramePr/>
                  <a:graphic xmlns:a="http://schemas.openxmlformats.org/drawingml/2006/main">
                    <a:graphicData uri="http://schemas.openxmlformats.org/drawingml/2006/picture">
                      <pic:pic xmlns:pic="http://schemas.openxmlformats.org/drawingml/2006/picture">
                        <pic:nvPicPr>
                          <pic:cNvPr id="856" name="Text_Box_41_SpCnt_37"/>
                          <pic:cNvPicPr/>
                        </pic:nvPicPr>
                        <pic:blipFill>
                          <a:blip r:embed="rId38"/>
                          <a:stretch>
                            <a:fillRect/>
                          </a:stretch>
                        </pic:blipFill>
                        <pic:spPr>
                          <a:xfrm>
                            <a:off x="0" y="0"/>
                            <a:ext cx="82550" cy="37909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379095"/>
                  <wp:effectExtent l="0" t="0" r="0" b="0"/>
                  <wp:wrapNone/>
                  <wp:docPr id="857" name="Text_Box_35_SpCnt_38"/>
                  <wp:cNvGraphicFramePr/>
                  <a:graphic xmlns:a="http://schemas.openxmlformats.org/drawingml/2006/main">
                    <a:graphicData uri="http://schemas.openxmlformats.org/drawingml/2006/picture">
                      <pic:pic xmlns:pic="http://schemas.openxmlformats.org/drawingml/2006/picture">
                        <pic:nvPicPr>
                          <pic:cNvPr id="857" name="Text_Box_35_SpCnt_38"/>
                          <pic:cNvPicPr/>
                        </pic:nvPicPr>
                        <pic:blipFill>
                          <a:blip r:embed="rId38"/>
                          <a:stretch>
                            <a:fillRect/>
                          </a:stretch>
                        </pic:blipFill>
                        <pic:spPr>
                          <a:xfrm>
                            <a:off x="0" y="0"/>
                            <a:ext cx="82550" cy="37909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6360" cy="488950"/>
                  <wp:effectExtent l="0" t="0" r="0" b="0"/>
                  <wp:wrapNone/>
                  <wp:docPr id="858" name="Text_Box_41_SpCnt_38"/>
                  <wp:cNvGraphicFramePr/>
                  <a:graphic xmlns:a="http://schemas.openxmlformats.org/drawingml/2006/main">
                    <a:graphicData uri="http://schemas.openxmlformats.org/drawingml/2006/picture">
                      <pic:pic xmlns:pic="http://schemas.openxmlformats.org/drawingml/2006/picture">
                        <pic:nvPicPr>
                          <pic:cNvPr id="858" name="Text_Box_41_SpCnt_38"/>
                          <pic:cNvPicPr/>
                        </pic:nvPicPr>
                        <pic:blipFill>
                          <a:blip r:embed="rId39"/>
                          <a:stretch>
                            <a:fillRect/>
                          </a:stretch>
                        </pic:blipFill>
                        <pic:spPr>
                          <a:xfrm>
                            <a:off x="0" y="0"/>
                            <a:ext cx="86360" cy="48895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520700"/>
                  <wp:effectExtent l="0" t="0" r="0" b="0"/>
                  <wp:wrapNone/>
                  <wp:docPr id="859" name="Text_Box_41_SpCnt_39"/>
                  <wp:cNvGraphicFramePr/>
                  <a:graphic xmlns:a="http://schemas.openxmlformats.org/drawingml/2006/main">
                    <a:graphicData uri="http://schemas.openxmlformats.org/drawingml/2006/picture">
                      <pic:pic xmlns:pic="http://schemas.openxmlformats.org/drawingml/2006/picture">
                        <pic:nvPicPr>
                          <pic:cNvPr id="859" name="Text_Box_41_SpCnt_39"/>
                          <pic:cNvPicPr/>
                        </pic:nvPicPr>
                        <pic:blipFill>
                          <a:blip r:embed="rId37"/>
                          <a:stretch>
                            <a:fillRect/>
                          </a:stretch>
                        </pic:blipFill>
                        <pic:spPr>
                          <a:xfrm>
                            <a:off x="0" y="0"/>
                            <a:ext cx="82550" cy="52070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6360" cy="488950"/>
                  <wp:effectExtent l="0" t="0" r="0" b="0"/>
                  <wp:wrapNone/>
                  <wp:docPr id="860" name="Text_Box_41_SpCnt_40"/>
                  <wp:cNvGraphicFramePr/>
                  <a:graphic xmlns:a="http://schemas.openxmlformats.org/drawingml/2006/main">
                    <a:graphicData uri="http://schemas.openxmlformats.org/drawingml/2006/picture">
                      <pic:pic xmlns:pic="http://schemas.openxmlformats.org/drawingml/2006/picture">
                        <pic:nvPicPr>
                          <pic:cNvPr id="860" name="Text_Box_41_SpCnt_40"/>
                          <pic:cNvPicPr/>
                        </pic:nvPicPr>
                        <pic:blipFill>
                          <a:blip r:embed="rId39"/>
                          <a:stretch>
                            <a:fillRect/>
                          </a:stretch>
                        </pic:blipFill>
                        <pic:spPr>
                          <a:xfrm>
                            <a:off x="0" y="0"/>
                            <a:ext cx="86360" cy="48895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6360" cy="488950"/>
                  <wp:effectExtent l="0" t="0" r="0" b="0"/>
                  <wp:wrapNone/>
                  <wp:docPr id="861" name="Text_Box_35_SpCnt_39"/>
                  <wp:cNvGraphicFramePr/>
                  <a:graphic xmlns:a="http://schemas.openxmlformats.org/drawingml/2006/main">
                    <a:graphicData uri="http://schemas.openxmlformats.org/drawingml/2006/picture">
                      <pic:pic xmlns:pic="http://schemas.openxmlformats.org/drawingml/2006/picture">
                        <pic:nvPicPr>
                          <pic:cNvPr id="861" name="Text_Box_35_SpCnt_39"/>
                          <pic:cNvPicPr/>
                        </pic:nvPicPr>
                        <pic:blipFill>
                          <a:blip r:embed="rId39"/>
                          <a:stretch>
                            <a:fillRect/>
                          </a:stretch>
                        </pic:blipFill>
                        <pic:spPr>
                          <a:xfrm>
                            <a:off x="0" y="0"/>
                            <a:ext cx="86360" cy="48895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6360" cy="488950"/>
                  <wp:effectExtent l="0" t="0" r="0" b="0"/>
                  <wp:wrapNone/>
                  <wp:docPr id="862" name="Text_Box_41_SpCnt_41"/>
                  <wp:cNvGraphicFramePr/>
                  <a:graphic xmlns:a="http://schemas.openxmlformats.org/drawingml/2006/main">
                    <a:graphicData uri="http://schemas.openxmlformats.org/drawingml/2006/picture">
                      <pic:pic xmlns:pic="http://schemas.openxmlformats.org/drawingml/2006/picture">
                        <pic:nvPicPr>
                          <pic:cNvPr id="862" name="Text_Box_41_SpCnt_41"/>
                          <pic:cNvPicPr/>
                        </pic:nvPicPr>
                        <pic:blipFill>
                          <a:blip r:embed="rId39"/>
                          <a:stretch>
                            <a:fillRect/>
                          </a:stretch>
                        </pic:blipFill>
                        <pic:spPr>
                          <a:xfrm>
                            <a:off x="0" y="0"/>
                            <a:ext cx="86360" cy="48895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6360" cy="488950"/>
                  <wp:effectExtent l="0" t="0" r="0" b="0"/>
                  <wp:wrapNone/>
                  <wp:docPr id="863" name="Text_Box_35_SpCnt_40"/>
                  <wp:cNvGraphicFramePr/>
                  <a:graphic xmlns:a="http://schemas.openxmlformats.org/drawingml/2006/main">
                    <a:graphicData uri="http://schemas.openxmlformats.org/drawingml/2006/picture">
                      <pic:pic xmlns:pic="http://schemas.openxmlformats.org/drawingml/2006/picture">
                        <pic:nvPicPr>
                          <pic:cNvPr id="863" name="Text_Box_35_SpCnt_40"/>
                          <pic:cNvPicPr/>
                        </pic:nvPicPr>
                        <pic:blipFill>
                          <a:blip r:embed="rId39"/>
                          <a:stretch>
                            <a:fillRect/>
                          </a:stretch>
                        </pic:blipFill>
                        <pic:spPr>
                          <a:xfrm>
                            <a:off x="0" y="0"/>
                            <a:ext cx="86360" cy="48895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6360" cy="488950"/>
                  <wp:effectExtent l="0" t="0" r="0" b="0"/>
                  <wp:wrapNone/>
                  <wp:docPr id="864" name="Text_Box_41_SpCnt_42"/>
                  <wp:cNvGraphicFramePr/>
                  <a:graphic xmlns:a="http://schemas.openxmlformats.org/drawingml/2006/main">
                    <a:graphicData uri="http://schemas.openxmlformats.org/drawingml/2006/picture">
                      <pic:pic xmlns:pic="http://schemas.openxmlformats.org/drawingml/2006/picture">
                        <pic:nvPicPr>
                          <pic:cNvPr id="864" name="Text_Box_41_SpCnt_42"/>
                          <pic:cNvPicPr/>
                        </pic:nvPicPr>
                        <pic:blipFill>
                          <a:blip r:embed="rId39"/>
                          <a:stretch>
                            <a:fillRect/>
                          </a:stretch>
                        </pic:blipFill>
                        <pic:spPr>
                          <a:xfrm>
                            <a:off x="0" y="0"/>
                            <a:ext cx="86360" cy="48895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520700"/>
                  <wp:effectExtent l="0" t="0" r="0" b="0"/>
                  <wp:wrapNone/>
                  <wp:docPr id="865" name="Text_Box_41_SpCnt_43"/>
                  <wp:cNvGraphicFramePr/>
                  <a:graphic xmlns:a="http://schemas.openxmlformats.org/drawingml/2006/main">
                    <a:graphicData uri="http://schemas.openxmlformats.org/drawingml/2006/picture">
                      <pic:pic xmlns:pic="http://schemas.openxmlformats.org/drawingml/2006/picture">
                        <pic:nvPicPr>
                          <pic:cNvPr id="865" name="Text_Box_41_SpCnt_43"/>
                          <pic:cNvPicPr/>
                        </pic:nvPicPr>
                        <pic:blipFill>
                          <a:blip r:embed="rId37"/>
                          <a:stretch>
                            <a:fillRect/>
                          </a:stretch>
                        </pic:blipFill>
                        <pic:spPr>
                          <a:xfrm>
                            <a:off x="0" y="0"/>
                            <a:ext cx="82550" cy="52070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6360" cy="488950"/>
                  <wp:effectExtent l="0" t="0" r="0" b="0"/>
                  <wp:wrapNone/>
                  <wp:docPr id="866" name="Text_Box_41_SpCnt_44"/>
                  <wp:cNvGraphicFramePr/>
                  <a:graphic xmlns:a="http://schemas.openxmlformats.org/drawingml/2006/main">
                    <a:graphicData uri="http://schemas.openxmlformats.org/drawingml/2006/picture">
                      <pic:pic xmlns:pic="http://schemas.openxmlformats.org/drawingml/2006/picture">
                        <pic:nvPicPr>
                          <pic:cNvPr id="866" name="Text_Box_41_SpCnt_44"/>
                          <pic:cNvPicPr/>
                        </pic:nvPicPr>
                        <pic:blipFill>
                          <a:blip r:embed="rId39"/>
                          <a:stretch>
                            <a:fillRect/>
                          </a:stretch>
                        </pic:blipFill>
                        <pic:spPr>
                          <a:xfrm>
                            <a:off x="0" y="0"/>
                            <a:ext cx="86360" cy="48895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379095"/>
                  <wp:effectExtent l="0" t="0" r="0" b="0"/>
                  <wp:wrapNone/>
                  <wp:docPr id="867" name="Text_Box_35_SpCnt_41"/>
                  <wp:cNvGraphicFramePr/>
                  <a:graphic xmlns:a="http://schemas.openxmlformats.org/drawingml/2006/main">
                    <a:graphicData uri="http://schemas.openxmlformats.org/drawingml/2006/picture">
                      <pic:pic xmlns:pic="http://schemas.openxmlformats.org/drawingml/2006/picture">
                        <pic:nvPicPr>
                          <pic:cNvPr id="867" name="Text_Box_35_SpCnt_41"/>
                          <pic:cNvPicPr/>
                        </pic:nvPicPr>
                        <pic:blipFill>
                          <a:blip r:embed="rId38"/>
                          <a:stretch>
                            <a:fillRect/>
                          </a:stretch>
                        </pic:blipFill>
                        <pic:spPr>
                          <a:xfrm>
                            <a:off x="0" y="0"/>
                            <a:ext cx="82550" cy="37909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417830"/>
                  <wp:effectExtent l="0" t="0" r="0" b="0"/>
                  <wp:wrapNone/>
                  <wp:docPr id="868" name="Text_Box_41_SpCnt_45"/>
                  <wp:cNvGraphicFramePr/>
                  <a:graphic xmlns:a="http://schemas.openxmlformats.org/drawingml/2006/main">
                    <a:graphicData uri="http://schemas.openxmlformats.org/drawingml/2006/picture">
                      <pic:pic xmlns:pic="http://schemas.openxmlformats.org/drawingml/2006/picture">
                        <pic:nvPicPr>
                          <pic:cNvPr id="868" name="Text_Box_41_SpCnt_45"/>
                          <pic:cNvPicPr/>
                        </pic:nvPicPr>
                        <pic:blipFill>
                          <a:blip r:embed="rId36"/>
                          <a:stretch>
                            <a:fillRect/>
                          </a:stretch>
                        </pic:blipFill>
                        <pic:spPr>
                          <a:xfrm>
                            <a:off x="0" y="0"/>
                            <a:ext cx="82550" cy="41783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520700"/>
                  <wp:effectExtent l="0" t="0" r="0" b="0"/>
                  <wp:wrapNone/>
                  <wp:docPr id="869" name="Text_Box_35_SpCnt_42"/>
                  <wp:cNvGraphicFramePr/>
                  <a:graphic xmlns:a="http://schemas.openxmlformats.org/drawingml/2006/main">
                    <a:graphicData uri="http://schemas.openxmlformats.org/drawingml/2006/picture">
                      <pic:pic xmlns:pic="http://schemas.openxmlformats.org/drawingml/2006/picture">
                        <pic:nvPicPr>
                          <pic:cNvPr id="869" name="Text_Box_35_SpCnt_42"/>
                          <pic:cNvPicPr/>
                        </pic:nvPicPr>
                        <pic:blipFill>
                          <a:blip r:embed="rId37"/>
                          <a:stretch>
                            <a:fillRect/>
                          </a:stretch>
                        </pic:blipFill>
                        <pic:spPr>
                          <a:xfrm>
                            <a:off x="0" y="0"/>
                            <a:ext cx="82550" cy="52070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379095"/>
                  <wp:effectExtent l="0" t="0" r="0" b="0"/>
                  <wp:wrapNone/>
                  <wp:docPr id="870" name="Text_Box_41_SpCnt_46"/>
                  <wp:cNvGraphicFramePr/>
                  <a:graphic xmlns:a="http://schemas.openxmlformats.org/drawingml/2006/main">
                    <a:graphicData uri="http://schemas.openxmlformats.org/drawingml/2006/picture">
                      <pic:pic xmlns:pic="http://schemas.openxmlformats.org/drawingml/2006/picture">
                        <pic:nvPicPr>
                          <pic:cNvPr id="870" name="Text_Box_41_SpCnt_46"/>
                          <pic:cNvPicPr/>
                        </pic:nvPicPr>
                        <pic:blipFill>
                          <a:blip r:embed="rId38"/>
                          <a:stretch>
                            <a:fillRect/>
                          </a:stretch>
                        </pic:blipFill>
                        <pic:spPr>
                          <a:xfrm>
                            <a:off x="0" y="0"/>
                            <a:ext cx="82550" cy="37909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520700"/>
                  <wp:effectExtent l="0" t="0" r="0" b="0"/>
                  <wp:wrapNone/>
                  <wp:docPr id="871" name="Text_Box_35_SpCnt_43"/>
                  <wp:cNvGraphicFramePr/>
                  <a:graphic xmlns:a="http://schemas.openxmlformats.org/drawingml/2006/main">
                    <a:graphicData uri="http://schemas.openxmlformats.org/drawingml/2006/picture">
                      <pic:pic xmlns:pic="http://schemas.openxmlformats.org/drawingml/2006/picture">
                        <pic:nvPicPr>
                          <pic:cNvPr id="871" name="Text_Box_35_SpCnt_43"/>
                          <pic:cNvPicPr/>
                        </pic:nvPicPr>
                        <pic:blipFill>
                          <a:blip r:embed="rId37"/>
                          <a:stretch>
                            <a:fillRect/>
                          </a:stretch>
                        </pic:blipFill>
                        <pic:spPr>
                          <a:xfrm>
                            <a:off x="0" y="0"/>
                            <a:ext cx="82550" cy="52070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520700"/>
                  <wp:effectExtent l="0" t="0" r="0" b="0"/>
                  <wp:wrapNone/>
                  <wp:docPr id="872" name="Text_Box_41_SpCnt_47"/>
                  <wp:cNvGraphicFramePr/>
                  <a:graphic xmlns:a="http://schemas.openxmlformats.org/drawingml/2006/main">
                    <a:graphicData uri="http://schemas.openxmlformats.org/drawingml/2006/picture">
                      <pic:pic xmlns:pic="http://schemas.openxmlformats.org/drawingml/2006/picture">
                        <pic:nvPicPr>
                          <pic:cNvPr id="872" name="Text_Box_41_SpCnt_47"/>
                          <pic:cNvPicPr/>
                        </pic:nvPicPr>
                        <pic:blipFill>
                          <a:blip r:embed="rId37"/>
                          <a:stretch>
                            <a:fillRect/>
                          </a:stretch>
                        </pic:blipFill>
                        <pic:spPr>
                          <a:xfrm>
                            <a:off x="0" y="0"/>
                            <a:ext cx="82550" cy="52070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520700"/>
                  <wp:effectExtent l="0" t="0" r="0" b="0"/>
                  <wp:wrapNone/>
                  <wp:docPr id="873" name="Text_Box_35_SpCnt_44"/>
                  <wp:cNvGraphicFramePr/>
                  <a:graphic xmlns:a="http://schemas.openxmlformats.org/drawingml/2006/main">
                    <a:graphicData uri="http://schemas.openxmlformats.org/drawingml/2006/picture">
                      <pic:pic xmlns:pic="http://schemas.openxmlformats.org/drawingml/2006/picture">
                        <pic:nvPicPr>
                          <pic:cNvPr id="873" name="Text_Box_35_SpCnt_44"/>
                          <pic:cNvPicPr/>
                        </pic:nvPicPr>
                        <pic:blipFill>
                          <a:blip r:embed="rId37"/>
                          <a:stretch>
                            <a:fillRect/>
                          </a:stretch>
                        </pic:blipFill>
                        <pic:spPr>
                          <a:xfrm>
                            <a:off x="0" y="0"/>
                            <a:ext cx="82550" cy="52070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417830"/>
                  <wp:effectExtent l="0" t="0" r="0" b="0"/>
                  <wp:wrapNone/>
                  <wp:docPr id="874" name="Text_Box_41_SpCnt_48"/>
                  <wp:cNvGraphicFramePr/>
                  <a:graphic xmlns:a="http://schemas.openxmlformats.org/drawingml/2006/main">
                    <a:graphicData uri="http://schemas.openxmlformats.org/drawingml/2006/picture">
                      <pic:pic xmlns:pic="http://schemas.openxmlformats.org/drawingml/2006/picture">
                        <pic:nvPicPr>
                          <pic:cNvPr id="874" name="Text_Box_41_SpCnt_48"/>
                          <pic:cNvPicPr/>
                        </pic:nvPicPr>
                        <pic:blipFill>
                          <a:blip r:embed="rId36"/>
                          <a:stretch>
                            <a:fillRect/>
                          </a:stretch>
                        </pic:blipFill>
                        <pic:spPr>
                          <a:xfrm>
                            <a:off x="0" y="0"/>
                            <a:ext cx="82550" cy="41783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417830"/>
                  <wp:effectExtent l="0" t="0" r="0" b="0"/>
                  <wp:wrapNone/>
                  <wp:docPr id="875" name="Text_Box_35_SpCnt_45"/>
                  <wp:cNvGraphicFramePr/>
                  <a:graphic xmlns:a="http://schemas.openxmlformats.org/drawingml/2006/main">
                    <a:graphicData uri="http://schemas.openxmlformats.org/drawingml/2006/picture">
                      <pic:pic xmlns:pic="http://schemas.openxmlformats.org/drawingml/2006/picture">
                        <pic:nvPicPr>
                          <pic:cNvPr id="875" name="Text_Box_35_SpCnt_45"/>
                          <pic:cNvPicPr/>
                        </pic:nvPicPr>
                        <pic:blipFill>
                          <a:blip r:embed="rId36"/>
                          <a:stretch>
                            <a:fillRect/>
                          </a:stretch>
                        </pic:blipFill>
                        <pic:spPr>
                          <a:xfrm>
                            <a:off x="0" y="0"/>
                            <a:ext cx="82550" cy="41783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417830"/>
                  <wp:effectExtent l="0" t="0" r="0" b="0"/>
                  <wp:wrapNone/>
                  <wp:docPr id="876" name="Text_Box_41_SpCnt_49"/>
                  <wp:cNvGraphicFramePr/>
                  <a:graphic xmlns:a="http://schemas.openxmlformats.org/drawingml/2006/main">
                    <a:graphicData uri="http://schemas.openxmlformats.org/drawingml/2006/picture">
                      <pic:pic xmlns:pic="http://schemas.openxmlformats.org/drawingml/2006/picture">
                        <pic:nvPicPr>
                          <pic:cNvPr id="876" name="Text_Box_41_SpCnt_49"/>
                          <pic:cNvPicPr/>
                        </pic:nvPicPr>
                        <pic:blipFill>
                          <a:blip r:embed="rId36"/>
                          <a:stretch>
                            <a:fillRect/>
                          </a:stretch>
                        </pic:blipFill>
                        <pic:spPr>
                          <a:xfrm>
                            <a:off x="0" y="0"/>
                            <a:ext cx="82550" cy="41783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417830"/>
                  <wp:effectExtent l="0" t="0" r="0" b="0"/>
                  <wp:wrapNone/>
                  <wp:docPr id="877" name="Text_Box_35_SpCnt_46"/>
                  <wp:cNvGraphicFramePr/>
                  <a:graphic xmlns:a="http://schemas.openxmlformats.org/drawingml/2006/main">
                    <a:graphicData uri="http://schemas.openxmlformats.org/drawingml/2006/picture">
                      <pic:pic xmlns:pic="http://schemas.openxmlformats.org/drawingml/2006/picture">
                        <pic:nvPicPr>
                          <pic:cNvPr id="877" name="Text_Box_35_SpCnt_46"/>
                          <pic:cNvPicPr/>
                        </pic:nvPicPr>
                        <pic:blipFill>
                          <a:blip r:embed="rId36"/>
                          <a:stretch>
                            <a:fillRect/>
                          </a:stretch>
                        </pic:blipFill>
                        <pic:spPr>
                          <a:xfrm>
                            <a:off x="0" y="0"/>
                            <a:ext cx="82550" cy="41783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417830"/>
                  <wp:effectExtent l="0" t="0" r="0" b="0"/>
                  <wp:wrapNone/>
                  <wp:docPr id="878" name="Text_Box_41_SpCnt_50"/>
                  <wp:cNvGraphicFramePr/>
                  <a:graphic xmlns:a="http://schemas.openxmlformats.org/drawingml/2006/main">
                    <a:graphicData uri="http://schemas.openxmlformats.org/drawingml/2006/picture">
                      <pic:pic xmlns:pic="http://schemas.openxmlformats.org/drawingml/2006/picture">
                        <pic:nvPicPr>
                          <pic:cNvPr id="878" name="Text_Box_41_SpCnt_50"/>
                          <pic:cNvPicPr/>
                        </pic:nvPicPr>
                        <pic:blipFill>
                          <a:blip r:embed="rId36"/>
                          <a:stretch>
                            <a:fillRect/>
                          </a:stretch>
                        </pic:blipFill>
                        <pic:spPr>
                          <a:xfrm>
                            <a:off x="0" y="0"/>
                            <a:ext cx="82550" cy="41783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417830"/>
                  <wp:effectExtent l="0" t="0" r="0" b="0"/>
                  <wp:wrapNone/>
                  <wp:docPr id="879" name="Text_Box_35_SpCnt_47"/>
                  <wp:cNvGraphicFramePr/>
                  <a:graphic xmlns:a="http://schemas.openxmlformats.org/drawingml/2006/main">
                    <a:graphicData uri="http://schemas.openxmlformats.org/drawingml/2006/picture">
                      <pic:pic xmlns:pic="http://schemas.openxmlformats.org/drawingml/2006/picture">
                        <pic:nvPicPr>
                          <pic:cNvPr id="879" name="Text_Box_35_SpCnt_47"/>
                          <pic:cNvPicPr/>
                        </pic:nvPicPr>
                        <pic:blipFill>
                          <a:blip r:embed="rId36"/>
                          <a:stretch>
                            <a:fillRect/>
                          </a:stretch>
                        </pic:blipFill>
                        <pic:spPr>
                          <a:xfrm>
                            <a:off x="0" y="0"/>
                            <a:ext cx="82550" cy="41783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417830"/>
                  <wp:effectExtent l="0" t="0" r="0" b="0"/>
                  <wp:wrapNone/>
                  <wp:docPr id="880" name="Text_Box_41_SpCnt_51"/>
                  <wp:cNvGraphicFramePr/>
                  <a:graphic xmlns:a="http://schemas.openxmlformats.org/drawingml/2006/main">
                    <a:graphicData uri="http://schemas.openxmlformats.org/drawingml/2006/picture">
                      <pic:pic xmlns:pic="http://schemas.openxmlformats.org/drawingml/2006/picture">
                        <pic:nvPicPr>
                          <pic:cNvPr id="880" name="Text_Box_41_SpCnt_51"/>
                          <pic:cNvPicPr/>
                        </pic:nvPicPr>
                        <pic:blipFill>
                          <a:blip r:embed="rId36"/>
                          <a:stretch>
                            <a:fillRect/>
                          </a:stretch>
                        </pic:blipFill>
                        <pic:spPr>
                          <a:xfrm>
                            <a:off x="0" y="0"/>
                            <a:ext cx="82550" cy="41783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417830"/>
                  <wp:effectExtent l="0" t="0" r="0" b="0"/>
                  <wp:wrapNone/>
                  <wp:docPr id="881" name="Text_Box_35_SpCnt_48"/>
                  <wp:cNvGraphicFramePr/>
                  <a:graphic xmlns:a="http://schemas.openxmlformats.org/drawingml/2006/main">
                    <a:graphicData uri="http://schemas.openxmlformats.org/drawingml/2006/picture">
                      <pic:pic xmlns:pic="http://schemas.openxmlformats.org/drawingml/2006/picture">
                        <pic:nvPicPr>
                          <pic:cNvPr id="881" name="Text_Box_35_SpCnt_48"/>
                          <pic:cNvPicPr/>
                        </pic:nvPicPr>
                        <pic:blipFill>
                          <a:blip r:embed="rId36"/>
                          <a:stretch>
                            <a:fillRect/>
                          </a:stretch>
                        </pic:blipFill>
                        <pic:spPr>
                          <a:xfrm>
                            <a:off x="0" y="0"/>
                            <a:ext cx="82550" cy="41783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379095"/>
                  <wp:effectExtent l="0" t="0" r="0" b="0"/>
                  <wp:wrapNone/>
                  <wp:docPr id="882" name="Text_Box_41_SpCnt_52"/>
                  <wp:cNvGraphicFramePr/>
                  <a:graphic xmlns:a="http://schemas.openxmlformats.org/drawingml/2006/main">
                    <a:graphicData uri="http://schemas.openxmlformats.org/drawingml/2006/picture">
                      <pic:pic xmlns:pic="http://schemas.openxmlformats.org/drawingml/2006/picture">
                        <pic:nvPicPr>
                          <pic:cNvPr id="882" name="Text_Box_41_SpCnt_52"/>
                          <pic:cNvPicPr/>
                        </pic:nvPicPr>
                        <pic:blipFill>
                          <a:blip r:embed="rId38"/>
                          <a:stretch>
                            <a:fillRect/>
                          </a:stretch>
                        </pic:blipFill>
                        <pic:spPr>
                          <a:xfrm>
                            <a:off x="0" y="0"/>
                            <a:ext cx="82550" cy="37909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6360" cy="488950"/>
                  <wp:effectExtent l="0" t="0" r="0" b="0"/>
                  <wp:wrapNone/>
                  <wp:docPr id="883" name="Text_Box_41_SpCnt_53"/>
                  <wp:cNvGraphicFramePr/>
                  <a:graphic xmlns:a="http://schemas.openxmlformats.org/drawingml/2006/main">
                    <a:graphicData uri="http://schemas.openxmlformats.org/drawingml/2006/picture">
                      <pic:pic xmlns:pic="http://schemas.openxmlformats.org/drawingml/2006/picture">
                        <pic:nvPicPr>
                          <pic:cNvPr id="883" name="Text_Box_41_SpCnt_53"/>
                          <pic:cNvPicPr/>
                        </pic:nvPicPr>
                        <pic:blipFill>
                          <a:blip r:embed="rId39"/>
                          <a:stretch>
                            <a:fillRect/>
                          </a:stretch>
                        </pic:blipFill>
                        <pic:spPr>
                          <a:xfrm>
                            <a:off x="0" y="0"/>
                            <a:ext cx="86360" cy="48895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492760"/>
                  <wp:effectExtent l="0" t="0" r="0" b="0"/>
                  <wp:wrapNone/>
                  <wp:docPr id="884" name="Text_Box_35_SpCnt_49"/>
                  <wp:cNvGraphicFramePr/>
                  <a:graphic xmlns:a="http://schemas.openxmlformats.org/drawingml/2006/main">
                    <a:graphicData uri="http://schemas.openxmlformats.org/drawingml/2006/picture">
                      <pic:pic xmlns:pic="http://schemas.openxmlformats.org/drawingml/2006/picture">
                        <pic:nvPicPr>
                          <pic:cNvPr id="884" name="Text_Box_35_SpCnt_49"/>
                          <pic:cNvPicPr/>
                        </pic:nvPicPr>
                        <pic:blipFill>
                          <a:blip r:embed="rId39"/>
                          <a:stretch>
                            <a:fillRect/>
                          </a:stretch>
                        </pic:blipFill>
                        <pic:spPr>
                          <a:xfrm>
                            <a:off x="0" y="0"/>
                            <a:ext cx="82550" cy="49276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379095"/>
                  <wp:effectExtent l="0" t="0" r="0" b="0"/>
                  <wp:wrapNone/>
                  <wp:docPr id="885" name="Text_Box_41_SpCnt_54"/>
                  <wp:cNvGraphicFramePr/>
                  <a:graphic xmlns:a="http://schemas.openxmlformats.org/drawingml/2006/main">
                    <a:graphicData uri="http://schemas.openxmlformats.org/drawingml/2006/picture">
                      <pic:pic xmlns:pic="http://schemas.openxmlformats.org/drawingml/2006/picture">
                        <pic:nvPicPr>
                          <pic:cNvPr id="885" name="Text_Box_41_SpCnt_54"/>
                          <pic:cNvPicPr/>
                        </pic:nvPicPr>
                        <pic:blipFill>
                          <a:blip r:embed="rId38"/>
                          <a:stretch>
                            <a:fillRect/>
                          </a:stretch>
                        </pic:blipFill>
                        <pic:spPr>
                          <a:xfrm>
                            <a:off x="0" y="0"/>
                            <a:ext cx="82550" cy="37909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520700"/>
                  <wp:effectExtent l="0" t="0" r="0" b="0"/>
                  <wp:wrapNone/>
                  <wp:docPr id="886" name="Text_Box_35_SpCnt_50"/>
                  <wp:cNvGraphicFramePr/>
                  <a:graphic xmlns:a="http://schemas.openxmlformats.org/drawingml/2006/main">
                    <a:graphicData uri="http://schemas.openxmlformats.org/drawingml/2006/picture">
                      <pic:pic xmlns:pic="http://schemas.openxmlformats.org/drawingml/2006/picture">
                        <pic:nvPicPr>
                          <pic:cNvPr id="886" name="Text_Box_35_SpCnt_50"/>
                          <pic:cNvPicPr/>
                        </pic:nvPicPr>
                        <pic:blipFill>
                          <a:blip r:embed="rId37"/>
                          <a:stretch>
                            <a:fillRect/>
                          </a:stretch>
                        </pic:blipFill>
                        <pic:spPr>
                          <a:xfrm>
                            <a:off x="0" y="0"/>
                            <a:ext cx="82550" cy="52070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6360" cy="488950"/>
                  <wp:effectExtent l="0" t="0" r="0" b="0"/>
                  <wp:wrapNone/>
                  <wp:docPr id="887" name="Text_Box_35_SpCnt_51"/>
                  <wp:cNvGraphicFramePr/>
                  <a:graphic xmlns:a="http://schemas.openxmlformats.org/drawingml/2006/main">
                    <a:graphicData uri="http://schemas.openxmlformats.org/drawingml/2006/picture">
                      <pic:pic xmlns:pic="http://schemas.openxmlformats.org/drawingml/2006/picture">
                        <pic:nvPicPr>
                          <pic:cNvPr id="887" name="Text_Box_35_SpCnt_51"/>
                          <pic:cNvPicPr/>
                        </pic:nvPicPr>
                        <pic:blipFill>
                          <a:blip r:embed="rId39"/>
                          <a:stretch>
                            <a:fillRect/>
                          </a:stretch>
                        </pic:blipFill>
                        <pic:spPr>
                          <a:xfrm>
                            <a:off x="0" y="0"/>
                            <a:ext cx="86360" cy="48895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379095"/>
                  <wp:effectExtent l="0" t="0" r="0" b="0"/>
                  <wp:wrapNone/>
                  <wp:docPr id="888" name="Text_Box_35_SpCnt_52"/>
                  <wp:cNvGraphicFramePr/>
                  <a:graphic xmlns:a="http://schemas.openxmlformats.org/drawingml/2006/main">
                    <a:graphicData uri="http://schemas.openxmlformats.org/drawingml/2006/picture">
                      <pic:pic xmlns:pic="http://schemas.openxmlformats.org/drawingml/2006/picture">
                        <pic:nvPicPr>
                          <pic:cNvPr id="888" name="Text_Box_35_SpCnt_52"/>
                          <pic:cNvPicPr/>
                        </pic:nvPicPr>
                        <pic:blipFill>
                          <a:blip r:embed="rId38"/>
                          <a:stretch>
                            <a:fillRect/>
                          </a:stretch>
                        </pic:blipFill>
                        <pic:spPr>
                          <a:xfrm>
                            <a:off x="0" y="0"/>
                            <a:ext cx="82550" cy="37909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379095"/>
                  <wp:effectExtent l="0" t="0" r="0" b="0"/>
                  <wp:wrapNone/>
                  <wp:docPr id="889" name="Text_Box_35_SpCnt_53"/>
                  <wp:cNvGraphicFramePr/>
                  <a:graphic xmlns:a="http://schemas.openxmlformats.org/drawingml/2006/main">
                    <a:graphicData uri="http://schemas.openxmlformats.org/drawingml/2006/picture">
                      <pic:pic xmlns:pic="http://schemas.openxmlformats.org/drawingml/2006/picture">
                        <pic:nvPicPr>
                          <pic:cNvPr id="889" name="Text_Box_35_SpCnt_53"/>
                          <pic:cNvPicPr/>
                        </pic:nvPicPr>
                        <pic:blipFill>
                          <a:blip r:embed="rId38"/>
                          <a:stretch>
                            <a:fillRect/>
                          </a:stretch>
                        </pic:blipFill>
                        <pic:spPr>
                          <a:xfrm>
                            <a:off x="0" y="0"/>
                            <a:ext cx="82550" cy="37909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6360" cy="488950"/>
                  <wp:effectExtent l="0" t="0" r="0" b="0"/>
                  <wp:wrapNone/>
                  <wp:docPr id="890" name="Text_Box_35_SpCnt_54"/>
                  <wp:cNvGraphicFramePr/>
                  <a:graphic xmlns:a="http://schemas.openxmlformats.org/drawingml/2006/main">
                    <a:graphicData uri="http://schemas.openxmlformats.org/drawingml/2006/picture">
                      <pic:pic xmlns:pic="http://schemas.openxmlformats.org/drawingml/2006/picture">
                        <pic:nvPicPr>
                          <pic:cNvPr id="890" name="Text_Box_35_SpCnt_54"/>
                          <pic:cNvPicPr/>
                        </pic:nvPicPr>
                        <pic:blipFill>
                          <a:blip r:embed="rId39"/>
                          <a:stretch>
                            <a:fillRect/>
                          </a:stretch>
                        </pic:blipFill>
                        <pic:spPr>
                          <a:xfrm>
                            <a:off x="0" y="0"/>
                            <a:ext cx="86360" cy="48895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379095"/>
                  <wp:effectExtent l="0" t="0" r="0" b="0"/>
                  <wp:wrapNone/>
                  <wp:docPr id="891" name="Text_Box_41_SpCnt_55"/>
                  <wp:cNvGraphicFramePr/>
                  <a:graphic xmlns:a="http://schemas.openxmlformats.org/drawingml/2006/main">
                    <a:graphicData uri="http://schemas.openxmlformats.org/drawingml/2006/picture">
                      <pic:pic xmlns:pic="http://schemas.openxmlformats.org/drawingml/2006/picture">
                        <pic:nvPicPr>
                          <pic:cNvPr id="891" name="Text_Box_41_SpCnt_55"/>
                          <pic:cNvPicPr/>
                        </pic:nvPicPr>
                        <pic:blipFill>
                          <a:blip r:embed="rId38"/>
                          <a:stretch>
                            <a:fillRect/>
                          </a:stretch>
                        </pic:blipFill>
                        <pic:spPr>
                          <a:xfrm>
                            <a:off x="0" y="0"/>
                            <a:ext cx="82550" cy="37909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6360" cy="488950"/>
                  <wp:effectExtent l="0" t="0" r="0" b="0"/>
                  <wp:wrapNone/>
                  <wp:docPr id="892" name="Text_Box_41_SpCnt_56"/>
                  <wp:cNvGraphicFramePr/>
                  <a:graphic xmlns:a="http://schemas.openxmlformats.org/drawingml/2006/main">
                    <a:graphicData uri="http://schemas.openxmlformats.org/drawingml/2006/picture">
                      <pic:pic xmlns:pic="http://schemas.openxmlformats.org/drawingml/2006/picture">
                        <pic:nvPicPr>
                          <pic:cNvPr id="892" name="Text_Box_41_SpCnt_56"/>
                          <pic:cNvPicPr/>
                        </pic:nvPicPr>
                        <pic:blipFill>
                          <a:blip r:embed="rId39"/>
                          <a:stretch>
                            <a:fillRect/>
                          </a:stretch>
                        </pic:blipFill>
                        <pic:spPr>
                          <a:xfrm>
                            <a:off x="0" y="0"/>
                            <a:ext cx="86360" cy="48895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379095"/>
                  <wp:effectExtent l="0" t="0" r="0" b="0"/>
                  <wp:wrapNone/>
                  <wp:docPr id="893" name="Text_Box_35_SpCnt_55"/>
                  <wp:cNvGraphicFramePr/>
                  <a:graphic xmlns:a="http://schemas.openxmlformats.org/drawingml/2006/main">
                    <a:graphicData uri="http://schemas.openxmlformats.org/drawingml/2006/picture">
                      <pic:pic xmlns:pic="http://schemas.openxmlformats.org/drawingml/2006/picture">
                        <pic:nvPicPr>
                          <pic:cNvPr id="893" name="Text_Box_35_SpCnt_55"/>
                          <pic:cNvPicPr/>
                        </pic:nvPicPr>
                        <pic:blipFill>
                          <a:blip r:embed="rId38"/>
                          <a:stretch>
                            <a:fillRect/>
                          </a:stretch>
                        </pic:blipFill>
                        <pic:spPr>
                          <a:xfrm>
                            <a:off x="0" y="0"/>
                            <a:ext cx="82550" cy="37909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379095"/>
                  <wp:effectExtent l="0" t="0" r="0" b="0"/>
                  <wp:wrapNone/>
                  <wp:docPr id="894" name="Text_Box_41_SpCnt_57"/>
                  <wp:cNvGraphicFramePr/>
                  <a:graphic xmlns:a="http://schemas.openxmlformats.org/drawingml/2006/main">
                    <a:graphicData uri="http://schemas.openxmlformats.org/drawingml/2006/picture">
                      <pic:pic xmlns:pic="http://schemas.openxmlformats.org/drawingml/2006/picture">
                        <pic:nvPicPr>
                          <pic:cNvPr id="894" name="Text_Box_41_SpCnt_57"/>
                          <pic:cNvPicPr/>
                        </pic:nvPicPr>
                        <pic:blipFill>
                          <a:blip r:embed="rId38"/>
                          <a:stretch>
                            <a:fillRect/>
                          </a:stretch>
                        </pic:blipFill>
                        <pic:spPr>
                          <a:xfrm>
                            <a:off x="0" y="0"/>
                            <a:ext cx="82550" cy="37909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6360" cy="488950"/>
                  <wp:effectExtent l="0" t="0" r="0" b="0"/>
                  <wp:wrapNone/>
                  <wp:docPr id="895" name="Text_Box_35_SpCnt_56"/>
                  <wp:cNvGraphicFramePr/>
                  <a:graphic xmlns:a="http://schemas.openxmlformats.org/drawingml/2006/main">
                    <a:graphicData uri="http://schemas.openxmlformats.org/drawingml/2006/picture">
                      <pic:pic xmlns:pic="http://schemas.openxmlformats.org/drawingml/2006/picture">
                        <pic:nvPicPr>
                          <pic:cNvPr id="895" name="Text_Box_35_SpCnt_56"/>
                          <pic:cNvPicPr/>
                        </pic:nvPicPr>
                        <pic:blipFill>
                          <a:blip r:embed="rId39"/>
                          <a:stretch>
                            <a:fillRect/>
                          </a:stretch>
                        </pic:blipFill>
                        <pic:spPr>
                          <a:xfrm>
                            <a:off x="0" y="0"/>
                            <a:ext cx="86360" cy="48895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379095"/>
                  <wp:effectExtent l="0" t="0" r="0" b="0"/>
                  <wp:wrapNone/>
                  <wp:docPr id="896" name="Text_Box_35_SpCnt_57"/>
                  <wp:cNvGraphicFramePr/>
                  <a:graphic xmlns:a="http://schemas.openxmlformats.org/drawingml/2006/main">
                    <a:graphicData uri="http://schemas.openxmlformats.org/drawingml/2006/picture">
                      <pic:pic xmlns:pic="http://schemas.openxmlformats.org/drawingml/2006/picture">
                        <pic:nvPicPr>
                          <pic:cNvPr id="896" name="Text_Box_35_SpCnt_57"/>
                          <pic:cNvPicPr/>
                        </pic:nvPicPr>
                        <pic:blipFill>
                          <a:blip r:embed="rId38"/>
                          <a:stretch>
                            <a:fillRect/>
                          </a:stretch>
                        </pic:blipFill>
                        <pic:spPr>
                          <a:xfrm>
                            <a:off x="0" y="0"/>
                            <a:ext cx="82550" cy="37909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6360" cy="488950"/>
                  <wp:effectExtent l="0" t="0" r="0" b="0"/>
                  <wp:wrapNone/>
                  <wp:docPr id="897" name="Text_Box_35_SpCnt_58"/>
                  <wp:cNvGraphicFramePr/>
                  <a:graphic xmlns:a="http://schemas.openxmlformats.org/drawingml/2006/main">
                    <a:graphicData uri="http://schemas.openxmlformats.org/drawingml/2006/picture">
                      <pic:pic xmlns:pic="http://schemas.openxmlformats.org/drawingml/2006/picture">
                        <pic:nvPicPr>
                          <pic:cNvPr id="897" name="Text_Box_35_SpCnt_58"/>
                          <pic:cNvPicPr/>
                        </pic:nvPicPr>
                        <pic:blipFill>
                          <a:blip r:embed="rId39"/>
                          <a:stretch>
                            <a:fillRect/>
                          </a:stretch>
                        </pic:blipFill>
                        <pic:spPr>
                          <a:xfrm>
                            <a:off x="0" y="0"/>
                            <a:ext cx="86360" cy="48895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379095"/>
                  <wp:effectExtent l="0" t="0" r="0" b="0"/>
                  <wp:wrapNone/>
                  <wp:docPr id="898" name="Text_Box_41_SpCnt_58"/>
                  <wp:cNvGraphicFramePr/>
                  <a:graphic xmlns:a="http://schemas.openxmlformats.org/drawingml/2006/main">
                    <a:graphicData uri="http://schemas.openxmlformats.org/drawingml/2006/picture">
                      <pic:pic xmlns:pic="http://schemas.openxmlformats.org/drawingml/2006/picture">
                        <pic:nvPicPr>
                          <pic:cNvPr id="898" name="Text_Box_41_SpCnt_58"/>
                          <pic:cNvPicPr/>
                        </pic:nvPicPr>
                        <pic:blipFill>
                          <a:blip r:embed="rId38"/>
                          <a:stretch>
                            <a:fillRect/>
                          </a:stretch>
                        </pic:blipFill>
                        <pic:spPr>
                          <a:xfrm>
                            <a:off x="0" y="0"/>
                            <a:ext cx="82550" cy="37909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379095"/>
                  <wp:effectExtent l="0" t="0" r="0" b="0"/>
                  <wp:wrapNone/>
                  <wp:docPr id="899" name="Text_Box_35_SpCnt_59"/>
                  <wp:cNvGraphicFramePr/>
                  <a:graphic xmlns:a="http://schemas.openxmlformats.org/drawingml/2006/main">
                    <a:graphicData uri="http://schemas.openxmlformats.org/drawingml/2006/picture">
                      <pic:pic xmlns:pic="http://schemas.openxmlformats.org/drawingml/2006/picture">
                        <pic:nvPicPr>
                          <pic:cNvPr id="899" name="Text_Box_35_SpCnt_59"/>
                          <pic:cNvPicPr/>
                        </pic:nvPicPr>
                        <pic:blipFill>
                          <a:blip r:embed="rId38"/>
                          <a:stretch>
                            <a:fillRect/>
                          </a:stretch>
                        </pic:blipFill>
                        <pic:spPr>
                          <a:xfrm>
                            <a:off x="0" y="0"/>
                            <a:ext cx="82550" cy="37909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6360" cy="488950"/>
                  <wp:effectExtent l="0" t="0" r="0" b="0"/>
                  <wp:wrapNone/>
                  <wp:docPr id="900" name="Text_Box_35_SpCnt_60"/>
                  <wp:cNvGraphicFramePr/>
                  <a:graphic xmlns:a="http://schemas.openxmlformats.org/drawingml/2006/main">
                    <a:graphicData uri="http://schemas.openxmlformats.org/drawingml/2006/picture">
                      <pic:pic xmlns:pic="http://schemas.openxmlformats.org/drawingml/2006/picture">
                        <pic:nvPicPr>
                          <pic:cNvPr id="900" name="Text_Box_35_SpCnt_60"/>
                          <pic:cNvPicPr/>
                        </pic:nvPicPr>
                        <pic:blipFill>
                          <a:blip r:embed="rId39"/>
                          <a:stretch>
                            <a:fillRect/>
                          </a:stretch>
                        </pic:blipFill>
                        <pic:spPr>
                          <a:xfrm>
                            <a:off x="0" y="0"/>
                            <a:ext cx="86360" cy="48895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417830"/>
                  <wp:effectExtent l="0" t="0" r="0" b="0"/>
                  <wp:wrapNone/>
                  <wp:docPr id="901" name="Text_Box_35_SpCnt_61"/>
                  <wp:cNvGraphicFramePr/>
                  <a:graphic xmlns:a="http://schemas.openxmlformats.org/drawingml/2006/main">
                    <a:graphicData uri="http://schemas.openxmlformats.org/drawingml/2006/picture">
                      <pic:pic xmlns:pic="http://schemas.openxmlformats.org/drawingml/2006/picture">
                        <pic:nvPicPr>
                          <pic:cNvPr id="901" name="Text_Box_35_SpCnt_61"/>
                          <pic:cNvPicPr/>
                        </pic:nvPicPr>
                        <pic:blipFill>
                          <a:blip r:embed="rId36"/>
                          <a:stretch>
                            <a:fillRect/>
                          </a:stretch>
                        </pic:blipFill>
                        <pic:spPr>
                          <a:xfrm>
                            <a:off x="0" y="0"/>
                            <a:ext cx="82550" cy="41783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417830"/>
                  <wp:effectExtent l="0" t="0" r="0" b="0"/>
                  <wp:wrapNone/>
                  <wp:docPr id="902" name="Text_Box_35_SpCnt_62"/>
                  <wp:cNvGraphicFramePr/>
                  <a:graphic xmlns:a="http://schemas.openxmlformats.org/drawingml/2006/main">
                    <a:graphicData uri="http://schemas.openxmlformats.org/drawingml/2006/picture">
                      <pic:pic xmlns:pic="http://schemas.openxmlformats.org/drawingml/2006/picture">
                        <pic:nvPicPr>
                          <pic:cNvPr id="902" name="Text_Box_35_SpCnt_62"/>
                          <pic:cNvPicPr/>
                        </pic:nvPicPr>
                        <pic:blipFill>
                          <a:blip r:embed="rId36"/>
                          <a:stretch>
                            <a:fillRect/>
                          </a:stretch>
                        </pic:blipFill>
                        <pic:spPr>
                          <a:xfrm>
                            <a:off x="0" y="0"/>
                            <a:ext cx="82550" cy="41783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379095"/>
                  <wp:effectExtent l="0" t="0" r="0" b="0"/>
                  <wp:wrapNone/>
                  <wp:docPr id="903" name="Text_Box_41_SpCnt_59"/>
                  <wp:cNvGraphicFramePr/>
                  <a:graphic xmlns:a="http://schemas.openxmlformats.org/drawingml/2006/main">
                    <a:graphicData uri="http://schemas.openxmlformats.org/drawingml/2006/picture">
                      <pic:pic xmlns:pic="http://schemas.openxmlformats.org/drawingml/2006/picture">
                        <pic:nvPicPr>
                          <pic:cNvPr id="903" name="Text_Box_41_SpCnt_59"/>
                          <pic:cNvPicPr/>
                        </pic:nvPicPr>
                        <pic:blipFill>
                          <a:blip r:embed="rId38"/>
                          <a:stretch>
                            <a:fillRect/>
                          </a:stretch>
                        </pic:blipFill>
                        <pic:spPr>
                          <a:xfrm>
                            <a:off x="0" y="0"/>
                            <a:ext cx="82550" cy="37909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520700"/>
                  <wp:effectExtent l="0" t="0" r="0" b="0"/>
                  <wp:wrapNone/>
                  <wp:docPr id="904" name="Text_Box_35_SpCnt_63"/>
                  <wp:cNvGraphicFramePr/>
                  <a:graphic xmlns:a="http://schemas.openxmlformats.org/drawingml/2006/main">
                    <a:graphicData uri="http://schemas.openxmlformats.org/drawingml/2006/picture">
                      <pic:pic xmlns:pic="http://schemas.openxmlformats.org/drawingml/2006/picture">
                        <pic:nvPicPr>
                          <pic:cNvPr id="904" name="Text_Box_35_SpCnt_63"/>
                          <pic:cNvPicPr/>
                        </pic:nvPicPr>
                        <pic:blipFill>
                          <a:blip r:embed="rId37"/>
                          <a:stretch>
                            <a:fillRect/>
                          </a:stretch>
                        </pic:blipFill>
                        <pic:spPr>
                          <a:xfrm>
                            <a:off x="0" y="0"/>
                            <a:ext cx="82550" cy="52070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520700"/>
                  <wp:effectExtent l="0" t="0" r="0" b="0"/>
                  <wp:wrapNone/>
                  <wp:docPr id="905" name="Text_Box_41_SpCnt_60"/>
                  <wp:cNvGraphicFramePr/>
                  <a:graphic xmlns:a="http://schemas.openxmlformats.org/drawingml/2006/main">
                    <a:graphicData uri="http://schemas.openxmlformats.org/drawingml/2006/picture">
                      <pic:pic xmlns:pic="http://schemas.openxmlformats.org/drawingml/2006/picture">
                        <pic:nvPicPr>
                          <pic:cNvPr id="905" name="Text_Box_41_SpCnt_60"/>
                          <pic:cNvPicPr/>
                        </pic:nvPicPr>
                        <pic:blipFill>
                          <a:blip r:embed="rId37"/>
                          <a:stretch>
                            <a:fillRect/>
                          </a:stretch>
                        </pic:blipFill>
                        <pic:spPr>
                          <a:xfrm>
                            <a:off x="0" y="0"/>
                            <a:ext cx="82550" cy="52070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417830"/>
                  <wp:effectExtent l="0" t="0" r="0" b="0"/>
                  <wp:wrapNone/>
                  <wp:docPr id="906" name="Text_Box_41_SpCnt_61"/>
                  <wp:cNvGraphicFramePr/>
                  <a:graphic xmlns:a="http://schemas.openxmlformats.org/drawingml/2006/main">
                    <a:graphicData uri="http://schemas.openxmlformats.org/drawingml/2006/picture">
                      <pic:pic xmlns:pic="http://schemas.openxmlformats.org/drawingml/2006/picture">
                        <pic:nvPicPr>
                          <pic:cNvPr id="906" name="Text_Box_41_SpCnt_61"/>
                          <pic:cNvPicPr/>
                        </pic:nvPicPr>
                        <pic:blipFill>
                          <a:blip r:embed="rId36"/>
                          <a:stretch>
                            <a:fillRect/>
                          </a:stretch>
                        </pic:blipFill>
                        <pic:spPr>
                          <a:xfrm>
                            <a:off x="0" y="0"/>
                            <a:ext cx="82550" cy="41783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6360" cy="488950"/>
                  <wp:effectExtent l="0" t="0" r="0" b="0"/>
                  <wp:wrapNone/>
                  <wp:docPr id="907" name="Text_Box_41_SpCnt_62"/>
                  <wp:cNvGraphicFramePr/>
                  <a:graphic xmlns:a="http://schemas.openxmlformats.org/drawingml/2006/main">
                    <a:graphicData uri="http://schemas.openxmlformats.org/drawingml/2006/picture">
                      <pic:pic xmlns:pic="http://schemas.openxmlformats.org/drawingml/2006/picture">
                        <pic:nvPicPr>
                          <pic:cNvPr id="907" name="Text_Box_41_SpCnt_62"/>
                          <pic:cNvPicPr/>
                        </pic:nvPicPr>
                        <pic:blipFill>
                          <a:blip r:embed="rId39"/>
                          <a:stretch>
                            <a:fillRect/>
                          </a:stretch>
                        </pic:blipFill>
                        <pic:spPr>
                          <a:xfrm>
                            <a:off x="0" y="0"/>
                            <a:ext cx="86360" cy="48895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379095"/>
                  <wp:effectExtent l="0" t="0" r="0" b="0"/>
                  <wp:wrapNone/>
                  <wp:docPr id="908" name="Text_Box_35_SpCnt_64"/>
                  <wp:cNvGraphicFramePr/>
                  <a:graphic xmlns:a="http://schemas.openxmlformats.org/drawingml/2006/main">
                    <a:graphicData uri="http://schemas.openxmlformats.org/drawingml/2006/picture">
                      <pic:pic xmlns:pic="http://schemas.openxmlformats.org/drawingml/2006/picture">
                        <pic:nvPicPr>
                          <pic:cNvPr id="908" name="Text_Box_35_SpCnt_64"/>
                          <pic:cNvPicPr/>
                        </pic:nvPicPr>
                        <pic:blipFill>
                          <a:blip r:embed="rId38"/>
                          <a:stretch>
                            <a:fillRect/>
                          </a:stretch>
                        </pic:blipFill>
                        <pic:spPr>
                          <a:xfrm>
                            <a:off x="0" y="0"/>
                            <a:ext cx="82550" cy="37909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379095"/>
                  <wp:effectExtent l="0" t="0" r="0" b="0"/>
                  <wp:wrapNone/>
                  <wp:docPr id="909" name="Text_Box_41_SpCnt_63"/>
                  <wp:cNvGraphicFramePr/>
                  <a:graphic xmlns:a="http://schemas.openxmlformats.org/drawingml/2006/main">
                    <a:graphicData uri="http://schemas.openxmlformats.org/drawingml/2006/picture">
                      <pic:pic xmlns:pic="http://schemas.openxmlformats.org/drawingml/2006/picture">
                        <pic:nvPicPr>
                          <pic:cNvPr id="909" name="Text_Box_41_SpCnt_63"/>
                          <pic:cNvPicPr/>
                        </pic:nvPicPr>
                        <pic:blipFill>
                          <a:blip r:embed="rId38"/>
                          <a:stretch>
                            <a:fillRect/>
                          </a:stretch>
                        </pic:blipFill>
                        <pic:spPr>
                          <a:xfrm>
                            <a:off x="0" y="0"/>
                            <a:ext cx="82550" cy="37909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379095"/>
                  <wp:effectExtent l="0" t="0" r="0" b="0"/>
                  <wp:wrapNone/>
                  <wp:docPr id="910" name="Text_Box_35_SpCnt_65"/>
                  <wp:cNvGraphicFramePr/>
                  <a:graphic xmlns:a="http://schemas.openxmlformats.org/drawingml/2006/main">
                    <a:graphicData uri="http://schemas.openxmlformats.org/drawingml/2006/picture">
                      <pic:pic xmlns:pic="http://schemas.openxmlformats.org/drawingml/2006/picture">
                        <pic:nvPicPr>
                          <pic:cNvPr id="910" name="Text_Box_35_SpCnt_65"/>
                          <pic:cNvPicPr/>
                        </pic:nvPicPr>
                        <pic:blipFill>
                          <a:blip r:embed="rId38"/>
                          <a:stretch>
                            <a:fillRect/>
                          </a:stretch>
                        </pic:blipFill>
                        <pic:spPr>
                          <a:xfrm>
                            <a:off x="0" y="0"/>
                            <a:ext cx="82550" cy="37909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379095"/>
                  <wp:effectExtent l="0" t="0" r="0" b="0"/>
                  <wp:wrapNone/>
                  <wp:docPr id="911" name="Text_Box_41_SpCnt_64"/>
                  <wp:cNvGraphicFramePr/>
                  <a:graphic xmlns:a="http://schemas.openxmlformats.org/drawingml/2006/main">
                    <a:graphicData uri="http://schemas.openxmlformats.org/drawingml/2006/picture">
                      <pic:pic xmlns:pic="http://schemas.openxmlformats.org/drawingml/2006/picture">
                        <pic:nvPicPr>
                          <pic:cNvPr id="911" name="Text_Box_41_SpCnt_64"/>
                          <pic:cNvPicPr/>
                        </pic:nvPicPr>
                        <pic:blipFill>
                          <a:blip r:embed="rId38"/>
                          <a:stretch>
                            <a:fillRect/>
                          </a:stretch>
                        </pic:blipFill>
                        <pic:spPr>
                          <a:xfrm>
                            <a:off x="0" y="0"/>
                            <a:ext cx="82550" cy="37909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379095"/>
                  <wp:effectExtent l="0" t="0" r="0" b="0"/>
                  <wp:wrapNone/>
                  <wp:docPr id="912" name="Text_Box_35_SpCnt_66"/>
                  <wp:cNvGraphicFramePr/>
                  <a:graphic xmlns:a="http://schemas.openxmlformats.org/drawingml/2006/main">
                    <a:graphicData uri="http://schemas.openxmlformats.org/drawingml/2006/picture">
                      <pic:pic xmlns:pic="http://schemas.openxmlformats.org/drawingml/2006/picture">
                        <pic:nvPicPr>
                          <pic:cNvPr id="912" name="Text_Box_35_SpCnt_66"/>
                          <pic:cNvPicPr/>
                        </pic:nvPicPr>
                        <pic:blipFill>
                          <a:blip r:embed="rId38"/>
                          <a:stretch>
                            <a:fillRect/>
                          </a:stretch>
                        </pic:blipFill>
                        <pic:spPr>
                          <a:xfrm>
                            <a:off x="0" y="0"/>
                            <a:ext cx="82550" cy="37909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379095"/>
                  <wp:effectExtent l="0" t="0" r="0" b="0"/>
                  <wp:wrapNone/>
                  <wp:docPr id="913" name="Text_Box_41_SpCnt_65"/>
                  <wp:cNvGraphicFramePr/>
                  <a:graphic xmlns:a="http://schemas.openxmlformats.org/drawingml/2006/main">
                    <a:graphicData uri="http://schemas.openxmlformats.org/drawingml/2006/picture">
                      <pic:pic xmlns:pic="http://schemas.openxmlformats.org/drawingml/2006/picture">
                        <pic:nvPicPr>
                          <pic:cNvPr id="913" name="Text_Box_41_SpCnt_65"/>
                          <pic:cNvPicPr/>
                        </pic:nvPicPr>
                        <pic:blipFill>
                          <a:blip r:embed="rId38"/>
                          <a:stretch>
                            <a:fillRect/>
                          </a:stretch>
                        </pic:blipFill>
                        <pic:spPr>
                          <a:xfrm>
                            <a:off x="0" y="0"/>
                            <a:ext cx="82550" cy="37909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417830"/>
                  <wp:effectExtent l="0" t="0" r="0" b="0"/>
                  <wp:wrapNone/>
                  <wp:docPr id="914" name="Text_Box_41_SpCnt_66"/>
                  <wp:cNvGraphicFramePr/>
                  <a:graphic xmlns:a="http://schemas.openxmlformats.org/drawingml/2006/main">
                    <a:graphicData uri="http://schemas.openxmlformats.org/drawingml/2006/picture">
                      <pic:pic xmlns:pic="http://schemas.openxmlformats.org/drawingml/2006/picture">
                        <pic:nvPicPr>
                          <pic:cNvPr id="914" name="Text_Box_41_SpCnt_66"/>
                          <pic:cNvPicPr/>
                        </pic:nvPicPr>
                        <pic:blipFill>
                          <a:blip r:embed="rId36"/>
                          <a:stretch>
                            <a:fillRect/>
                          </a:stretch>
                        </pic:blipFill>
                        <pic:spPr>
                          <a:xfrm>
                            <a:off x="0" y="0"/>
                            <a:ext cx="82550" cy="41783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6360" cy="488950"/>
                  <wp:effectExtent l="0" t="0" r="0" b="0"/>
                  <wp:wrapNone/>
                  <wp:docPr id="915" name="Text_Box_35_SpCnt_67"/>
                  <wp:cNvGraphicFramePr/>
                  <a:graphic xmlns:a="http://schemas.openxmlformats.org/drawingml/2006/main">
                    <a:graphicData uri="http://schemas.openxmlformats.org/drawingml/2006/picture">
                      <pic:pic xmlns:pic="http://schemas.openxmlformats.org/drawingml/2006/picture">
                        <pic:nvPicPr>
                          <pic:cNvPr id="915" name="Text_Box_35_SpCnt_67"/>
                          <pic:cNvPicPr/>
                        </pic:nvPicPr>
                        <pic:blipFill>
                          <a:blip r:embed="rId39"/>
                          <a:stretch>
                            <a:fillRect/>
                          </a:stretch>
                        </pic:blipFill>
                        <pic:spPr>
                          <a:xfrm>
                            <a:off x="0" y="0"/>
                            <a:ext cx="86360" cy="48895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0</wp:posOffset>
                  </wp:positionH>
                  <wp:positionV relativeFrom="paragraph">
                    <wp:posOffset>0</wp:posOffset>
                  </wp:positionV>
                  <wp:extent cx="82550" cy="520700"/>
                  <wp:effectExtent l="0" t="0" r="0" b="0"/>
                  <wp:wrapNone/>
                  <wp:docPr id="916" name="Text_Box_41_SpCnt_67"/>
                  <wp:cNvGraphicFramePr/>
                  <a:graphic xmlns:a="http://schemas.openxmlformats.org/drawingml/2006/main">
                    <a:graphicData uri="http://schemas.openxmlformats.org/drawingml/2006/picture">
                      <pic:pic xmlns:pic="http://schemas.openxmlformats.org/drawingml/2006/picture">
                        <pic:nvPicPr>
                          <pic:cNvPr id="916" name="Text_Box_41_SpCnt_67"/>
                          <pic:cNvPicPr/>
                        </pic:nvPicPr>
                        <pic:blipFill>
                          <a:blip r:embed="rId37"/>
                          <a:stretch>
                            <a:fillRect/>
                          </a:stretch>
                        </pic:blipFill>
                        <pic:spPr>
                          <a:xfrm>
                            <a:off x="0" y="0"/>
                            <a:ext cx="82550" cy="520700"/>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690245</wp:posOffset>
                  </wp:positionH>
                  <wp:positionV relativeFrom="paragraph">
                    <wp:posOffset>0</wp:posOffset>
                  </wp:positionV>
                  <wp:extent cx="82550" cy="403225"/>
                  <wp:effectExtent l="0" t="0" r="0" b="0"/>
                  <wp:wrapNone/>
                  <wp:docPr id="917" name="Text_Box_41_SpCnt_68"/>
                  <wp:cNvGraphicFramePr/>
                  <a:graphic xmlns:a="http://schemas.openxmlformats.org/drawingml/2006/main">
                    <a:graphicData uri="http://schemas.openxmlformats.org/drawingml/2006/picture">
                      <pic:pic xmlns:pic="http://schemas.openxmlformats.org/drawingml/2006/picture">
                        <pic:nvPicPr>
                          <pic:cNvPr id="917" name="Text_Box_41_SpCnt_68"/>
                          <pic:cNvPicPr/>
                        </pic:nvPicPr>
                        <pic:blipFill>
                          <a:blip r:embed="rId40"/>
                          <a:stretch>
                            <a:fillRect/>
                          </a:stretch>
                        </pic:blipFill>
                        <pic:spPr>
                          <a:xfrm>
                            <a:off x="0" y="0"/>
                            <a:ext cx="82550" cy="40322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690245</wp:posOffset>
                  </wp:positionH>
                  <wp:positionV relativeFrom="paragraph">
                    <wp:posOffset>0</wp:posOffset>
                  </wp:positionV>
                  <wp:extent cx="82550" cy="403225"/>
                  <wp:effectExtent l="0" t="0" r="0" b="0"/>
                  <wp:wrapNone/>
                  <wp:docPr id="918" name="Text_Box_41_SpCnt_69"/>
                  <wp:cNvGraphicFramePr/>
                  <a:graphic xmlns:a="http://schemas.openxmlformats.org/drawingml/2006/main">
                    <a:graphicData uri="http://schemas.openxmlformats.org/drawingml/2006/picture">
                      <pic:pic xmlns:pic="http://schemas.openxmlformats.org/drawingml/2006/picture">
                        <pic:nvPicPr>
                          <pic:cNvPr id="918" name="Text_Box_41_SpCnt_69"/>
                          <pic:cNvPicPr/>
                        </pic:nvPicPr>
                        <pic:blipFill>
                          <a:blip r:embed="rId40"/>
                          <a:stretch>
                            <a:fillRect/>
                          </a:stretch>
                        </pic:blipFill>
                        <pic:spPr>
                          <a:xfrm>
                            <a:off x="0" y="0"/>
                            <a:ext cx="82550" cy="40322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690245</wp:posOffset>
                  </wp:positionH>
                  <wp:positionV relativeFrom="paragraph">
                    <wp:posOffset>0</wp:posOffset>
                  </wp:positionV>
                  <wp:extent cx="82550" cy="403225"/>
                  <wp:effectExtent l="0" t="0" r="0" b="0"/>
                  <wp:wrapNone/>
                  <wp:docPr id="919" name="Text_Box_41_SpCnt_70"/>
                  <wp:cNvGraphicFramePr/>
                  <a:graphic xmlns:a="http://schemas.openxmlformats.org/drawingml/2006/main">
                    <a:graphicData uri="http://schemas.openxmlformats.org/drawingml/2006/picture">
                      <pic:pic xmlns:pic="http://schemas.openxmlformats.org/drawingml/2006/picture">
                        <pic:nvPicPr>
                          <pic:cNvPr id="919" name="Text_Box_41_SpCnt_70"/>
                          <pic:cNvPicPr/>
                        </pic:nvPicPr>
                        <pic:blipFill>
                          <a:blip r:embed="rId40"/>
                          <a:stretch>
                            <a:fillRect/>
                          </a:stretch>
                        </pic:blipFill>
                        <pic:spPr>
                          <a:xfrm>
                            <a:off x="0" y="0"/>
                            <a:ext cx="82550" cy="40322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690245</wp:posOffset>
                  </wp:positionH>
                  <wp:positionV relativeFrom="paragraph">
                    <wp:posOffset>0</wp:posOffset>
                  </wp:positionV>
                  <wp:extent cx="82550" cy="403225"/>
                  <wp:effectExtent l="0" t="0" r="0" b="0"/>
                  <wp:wrapNone/>
                  <wp:docPr id="920" name="Text_Box_41_SpCnt_71"/>
                  <wp:cNvGraphicFramePr/>
                  <a:graphic xmlns:a="http://schemas.openxmlformats.org/drawingml/2006/main">
                    <a:graphicData uri="http://schemas.openxmlformats.org/drawingml/2006/picture">
                      <pic:pic xmlns:pic="http://schemas.openxmlformats.org/drawingml/2006/picture">
                        <pic:nvPicPr>
                          <pic:cNvPr id="920" name="Text_Box_41_SpCnt_71"/>
                          <pic:cNvPicPr/>
                        </pic:nvPicPr>
                        <pic:blipFill>
                          <a:blip r:embed="rId40"/>
                          <a:stretch>
                            <a:fillRect/>
                          </a:stretch>
                        </pic:blipFill>
                        <pic:spPr>
                          <a:xfrm>
                            <a:off x="0" y="0"/>
                            <a:ext cx="82550" cy="40322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690245</wp:posOffset>
                  </wp:positionH>
                  <wp:positionV relativeFrom="paragraph">
                    <wp:posOffset>0</wp:posOffset>
                  </wp:positionV>
                  <wp:extent cx="82550" cy="403225"/>
                  <wp:effectExtent l="0" t="0" r="0" b="0"/>
                  <wp:wrapNone/>
                  <wp:docPr id="921" name="Text_Box_35_SpCnt_68"/>
                  <wp:cNvGraphicFramePr/>
                  <a:graphic xmlns:a="http://schemas.openxmlformats.org/drawingml/2006/main">
                    <a:graphicData uri="http://schemas.openxmlformats.org/drawingml/2006/picture">
                      <pic:pic xmlns:pic="http://schemas.openxmlformats.org/drawingml/2006/picture">
                        <pic:nvPicPr>
                          <pic:cNvPr id="921" name="Text_Box_35_SpCnt_68"/>
                          <pic:cNvPicPr/>
                        </pic:nvPicPr>
                        <pic:blipFill>
                          <a:blip r:embed="rId40"/>
                          <a:stretch>
                            <a:fillRect/>
                          </a:stretch>
                        </pic:blipFill>
                        <pic:spPr>
                          <a:xfrm>
                            <a:off x="0" y="0"/>
                            <a:ext cx="82550" cy="40322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690245</wp:posOffset>
                  </wp:positionH>
                  <wp:positionV relativeFrom="paragraph">
                    <wp:posOffset>0</wp:posOffset>
                  </wp:positionV>
                  <wp:extent cx="82550" cy="403225"/>
                  <wp:effectExtent l="0" t="0" r="0" b="0"/>
                  <wp:wrapNone/>
                  <wp:docPr id="922" name="Text_Box_41_SpCnt_72"/>
                  <wp:cNvGraphicFramePr/>
                  <a:graphic xmlns:a="http://schemas.openxmlformats.org/drawingml/2006/main">
                    <a:graphicData uri="http://schemas.openxmlformats.org/drawingml/2006/picture">
                      <pic:pic xmlns:pic="http://schemas.openxmlformats.org/drawingml/2006/picture">
                        <pic:nvPicPr>
                          <pic:cNvPr id="922" name="Text_Box_41_SpCnt_72"/>
                          <pic:cNvPicPr/>
                        </pic:nvPicPr>
                        <pic:blipFill>
                          <a:blip r:embed="rId40"/>
                          <a:stretch>
                            <a:fillRect/>
                          </a:stretch>
                        </pic:blipFill>
                        <pic:spPr>
                          <a:xfrm>
                            <a:off x="0" y="0"/>
                            <a:ext cx="82550" cy="40322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690245</wp:posOffset>
                  </wp:positionH>
                  <wp:positionV relativeFrom="paragraph">
                    <wp:posOffset>0</wp:posOffset>
                  </wp:positionV>
                  <wp:extent cx="82550" cy="403225"/>
                  <wp:effectExtent l="0" t="0" r="0" b="0"/>
                  <wp:wrapNone/>
                  <wp:docPr id="923" name="Text_Box_35_SpCnt_69"/>
                  <wp:cNvGraphicFramePr/>
                  <a:graphic xmlns:a="http://schemas.openxmlformats.org/drawingml/2006/main">
                    <a:graphicData uri="http://schemas.openxmlformats.org/drawingml/2006/picture">
                      <pic:pic xmlns:pic="http://schemas.openxmlformats.org/drawingml/2006/picture">
                        <pic:nvPicPr>
                          <pic:cNvPr id="923" name="Text_Box_35_SpCnt_69"/>
                          <pic:cNvPicPr/>
                        </pic:nvPicPr>
                        <pic:blipFill>
                          <a:blip r:embed="rId40"/>
                          <a:stretch>
                            <a:fillRect/>
                          </a:stretch>
                        </pic:blipFill>
                        <pic:spPr>
                          <a:xfrm>
                            <a:off x="0" y="0"/>
                            <a:ext cx="82550" cy="40322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690245</wp:posOffset>
                  </wp:positionH>
                  <wp:positionV relativeFrom="paragraph">
                    <wp:posOffset>0</wp:posOffset>
                  </wp:positionV>
                  <wp:extent cx="82550" cy="403225"/>
                  <wp:effectExtent l="0" t="0" r="0" b="0"/>
                  <wp:wrapNone/>
                  <wp:docPr id="924" name="Text_Box_35_SpCnt_70"/>
                  <wp:cNvGraphicFramePr/>
                  <a:graphic xmlns:a="http://schemas.openxmlformats.org/drawingml/2006/main">
                    <a:graphicData uri="http://schemas.openxmlformats.org/drawingml/2006/picture">
                      <pic:pic xmlns:pic="http://schemas.openxmlformats.org/drawingml/2006/picture">
                        <pic:nvPicPr>
                          <pic:cNvPr id="924" name="Text_Box_35_SpCnt_70"/>
                          <pic:cNvPicPr/>
                        </pic:nvPicPr>
                        <pic:blipFill>
                          <a:blip r:embed="rId40"/>
                          <a:stretch>
                            <a:fillRect/>
                          </a:stretch>
                        </pic:blipFill>
                        <pic:spPr>
                          <a:xfrm>
                            <a:off x="0" y="0"/>
                            <a:ext cx="82550" cy="40322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690245</wp:posOffset>
                  </wp:positionH>
                  <wp:positionV relativeFrom="paragraph">
                    <wp:posOffset>0</wp:posOffset>
                  </wp:positionV>
                  <wp:extent cx="82550" cy="403225"/>
                  <wp:effectExtent l="0" t="0" r="0" b="0"/>
                  <wp:wrapNone/>
                  <wp:docPr id="925" name="Text_Box_41_SpCnt_73"/>
                  <wp:cNvGraphicFramePr/>
                  <a:graphic xmlns:a="http://schemas.openxmlformats.org/drawingml/2006/main">
                    <a:graphicData uri="http://schemas.openxmlformats.org/drawingml/2006/picture">
                      <pic:pic xmlns:pic="http://schemas.openxmlformats.org/drawingml/2006/picture">
                        <pic:nvPicPr>
                          <pic:cNvPr id="925" name="Text_Box_41_SpCnt_73"/>
                          <pic:cNvPicPr/>
                        </pic:nvPicPr>
                        <pic:blipFill>
                          <a:blip r:embed="rId40"/>
                          <a:stretch>
                            <a:fillRect/>
                          </a:stretch>
                        </pic:blipFill>
                        <pic:spPr>
                          <a:xfrm>
                            <a:off x="0" y="0"/>
                            <a:ext cx="82550" cy="40322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690245</wp:posOffset>
                  </wp:positionH>
                  <wp:positionV relativeFrom="paragraph">
                    <wp:posOffset>0</wp:posOffset>
                  </wp:positionV>
                  <wp:extent cx="82550" cy="403225"/>
                  <wp:effectExtent l="0" t="0" r="0" b="0"/>
                  <wp:wrapNone/>
                  <wp:docPr id="926" name="Text_Box_35_SpCnt_71"/>
                  <wp:cNvGraphicFramePr/>
                  <a:graphic xmlns:a="http://schemas.openxmlformats.org/drawingml/2006/main">
                    <a:graphicData uri="http://schemas.openxmlformats.org/drawingml/2006/picture">
                      <pic:pic xmlns:pic="http://schemas.openxmlformats.org/drawingml/2006/picture">
                        <pic:nvPicPr>
                          <pic:cNvPr id="926" name="Text_Box_35_SpCnt_71"/>
                          <pic:cNvPicPr/>
                        </pic:nvPicPr>
                        <pic:blipFill>
                          <a:blip r:embed="rId40"/>
                          <a:stretch>
                            <a:fillRect/>
                          </a:stretch>
                        </pic:blipFill>
                        <pic:spPr>
                          <a:xfrm>
                            <a:off x="0" y="0"/>
                            <a:ext cx="82550" cy="40322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690245</wp:posOffset>
                  </wp:positionH>
                  <wp:positionV relativeFrom="paragraph">
                    <wp:posOffset>0</wp:posOffset>
                  </wp:positionV>
                  <wp:extent cx="82550" cy="403225"/>
                  <wp:effectExtent l="0" t="0" r="0" b="0"/>
                  <wp:wrapNone/>
                  <wp:docPr id="927" name="Text_Box_41_SpCnt_74"/>
                  <wp:cNvGraphicFramePr/>
                  <a:graphic xmlns:a="http://schemas.openxmlformats.org/drawingml/2006/main">
                    <a:graphicData uri="http://schemas.openxmlformats.org/drawingml/2006/picture">
                      <pic:pic xmlns:pic="http://schemas.openxmlformats.org/drawingml/2006/picture">
                        <pic:nvPicPr>
                          <pic:cNvPr id="927" name="Text_Box_41_SpCnt_74"/>
                          <pic:cNvPicPr/>
                        </pic:nvPicPr>
                        <pic:blipFill>
                          <a:blip r:embed="rId40"/>
                          <a:stretch>
                            <a:fillRect/>
                          </a:stretch>
                        </pic:blipFill>
                        <pic:spPr>
                          <a:xfrm>
                            <a:off x="0" y="0"/>
                            <a:ext cx="82550" cy="40322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690245</wp:posOffset>
                  </wp:positionH>
                  <wp:positionV relativeFrom="paragraph">
                    <wp:posOffset>0</wp:posOffset>
                  </wp:positionV>
                  <wp:extent cx="82550" cy="403225"/>
                  <wp:effectExtent l="0" t="0" r="0" b="0"/>
                  <wp:wrapNone/>
                  <wp:docPr id="928" name="Text_Box_41_SpCnt_75"/>
                  <wp:cNvGraphicFramePr/>
                  <a:graphic xmlns:a="http://schemas.openxmlformats.org/drawingml/2006/main">
                    <a:graphicData uri="http://schemas.openxmlformats.org/drawingml/2006/picture">
                      <pic:pic xmlns:pic="http://schemas.openxmlformats.org/drawingml/2006/picture">
                        <pic:nvPicPr>
                          <pic:cNvPr id="928" name="Text_Box_41_SpCnt_75"/>
                          <pic:cNvPicPr/>
                        </pic:nvPicPr>
                        <pic:blipFill>
                          <a:blip r:embed="rId40"/>
                          <a:stretch>
                            <a:fillRect/>
                          </a:stretch>
                        </pic:blipFill>
                        <pic:spPr>
                          <a:xfrm>
                            <a:off x="0" y="0"/>
                            <a:ext cx="82550" cy="40322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690245</wp:posOffset>
                  </wp:positionH>
                  <wp:positionV relativeFrom="paragraph">
                    <wp:posOffset>0</wp:posOffset>
                  </wp:positionV>
                  <wp:extent cx="82550" cy="403225"/>
                  <wp:effectExtent l="0" t="0" r="0" b="0"/>
                  <wp:wrapNone/>
                  <wp:docPr id="929" name="Text_Box_35_SpCnt_72"/>
                  <wp:cNvGraphicFramePr/>
                  <a:graphic xmlns:a="http://schemas.openxmlformats.org/drawingml/2006/main">
                    <a:graphicData uri="http://schemas.openxmlformats.org/drawingml/2006/picture">
                      <pic:pic xmlns:pic="http://schemas.openxmlformats.org/drawingml/2006/picture">
                        <pic:nvPicPr>
                          <pic:cNvPr id="929" name="Text_Box_35_SpCnt_72"/>
                          <pic:cNvPicPr/>
                        </pic:nvPicPr>
                        <pic:blipFill>
                          <a:blip r:embed="rId40"/>
                          <a:stretch>
                            <a:fillRect/>
                          </a:stretch>
                        </pic:blipFill>
                        <pic:spPr>
                          <a:xfrm>
                            <a:off x="0" y="0"/>
                            <a:ext cx="82550" cy="40322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690245</wp:posOffset>
                  </wp:positionH>
                  <wp:positionV relativeFrom="paragraph">
                    <wp:posOffset>0</wp:posOffset>
                  </wp:positionV>
                  <wp:extent cx="82550" cy="403225"/>
                  <wp:effectExtent l="0" t="0" r="0" b="0"/>
                  <wp:wrapNone/>
                  <wp:docPr id="930" name="Text_Box_35_SpCnt_73"/>
                  <wp:cNvGraphicFramePr/>
                  <a:graphic xmlns:a="http://schemas.openxmlformats.org/drawingml/2006/main">
                    <a:graphicData uri="http://schemas.openxmlformats.org/drawingml/2006/picture">
                      <pic:pic xmlns:pic="http://schemas.openxmlformats.org/drawingml/2006/picture">
                        <pic:nvPicPr>
                          <pic:cNvPr id="930" name="Text_Box_35_SpCnt_73"/>
                          <pic:cNvPicPr/>
                        </pic:nvPicPr>
                        <pic:blipFill>
                          <a:blip r:embed="rId40"/>
                          <a:stretch>
                            <a:fillRect/>
                          </a:stretch>
                        </pic:blipFill>
                        <pic:spPr>
                          <a:xfrm>
                            <a:off x="0" y="0"/>
                            <a:ext cx="82550" cy="40322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690245</wp:posOffset>
                  </wp:positionH>
                  <wp:positionV relativeFrom="paragraph">
                    <wp:posOffset>0</wp:posOffset>
                  </wp:positionV>
                  <wp:extent cx="82550" cy="403225"/>
                  <wp:effectExtent l="0" t="0" r="0" b="0"/>
                  <wp:wrapNone/>
                  <wp:docPr id="931" name="Text_Box_41_SpCnt_76"/>
                  <wp:cNvGraphicFramePr/>
                  <a:graphic xmlns:a="http://schemas.openxmlformats.org/drawingml/2006/main">
                    <a:graphicData uri="http://schemas.openxmlformats.org/drawingml/2006/picture">
                      <pic:pic xmlns:pic="http://schemas.openxmlformats.org/drawingml/2006/picture">
                        <pic:nvPicPr>
                          <pic:cNvPr id="931" name="Text_Box_41_SpCnt_76"/>
                          <pic:cNvPicPr/>
                        </pic:nvPicPr>
                        <pic:blipFill>
                          <a:blip r:embed="rId40"/>
                          <a:stretch>
                            <a:fillRect/>
                          </a:stretch>
                        </pic:blipFill>
                        <pic:spPr>
                          <a:xfrm>
                            <a:off x="0" y="0"/>
                            <a:ext cx="82550" cy="40322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690245</wp:posOffset>
                  </wp:positionH>
                  <wp:positionV relativeFrom="paragraph">
                    <wp:posOffset>0</wp:posOffset>
                  </wp:positionV>
                  <wp:extent cx="82550" cy="403225"/>
                  <wp:effectExtent l="0" t="0" r="0" b="0"/>
                  <wp:wrapNone/>
                  <wp:docPr id="932" name="Text_Box_35_SpCnt_74"/>
                  <wp:cNvGraphicFramePr/>
                  <a:graphic xmlns:a="http://schemas.openxmlformats.org/drawingml/2006/main">
                    <a:graphicData uri="http://schemas.openxmlformats.org/drawingml/2006/picture">
                      <pic:pic xmlns:pic="http://schemas.openxmlformats.org/drawingml/2006/picture">
                        <pic:nvPicPr>
                          <pic:cNvPr id="932" name="Text_Box_35_SpCnt_74"/>
                          <pic:cNvPicPr/>
                        </pic:nvPicPr>
                        <pic:blipFill>
                          <a:blip r:embed="rId40"/>
                          <a:stretch>
                            <a:fillRect/>
                          </a:stretch>
                        </pic:blipFill>
                        <pic:spPr>
                          <a:xfrm>
                            <a:off x="0" y="0"/>
                            <a:ext cx="82550" cy="40322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690245</wp:posOffset>
                  </wp:positionH>
                  <wp:positionV relativeFrom="paragraph">
                    <wp:posOffset>0</wp:posOffset>
                  </wp:positionV>
                  <wp:extent cx="82550" cy="403225"/>
                  <wp:effectExtent l="0" t="0" r="0" b="0"/>
                  <wp:wrapNone/>
                  <wp:docPr id="933" name="Text_Box_35_SpCnt_75"/>
                  <wp:cNvGraphicFramePr/>
                  <a:graphic xmlns:a="http://schemas.openxmlformats.org/drawingml/2006/main">
                    <a:graphicData uri="http://schemas.openxmlformats.org/drawingml/2006/picture">
                      <pic:pic xmlns:pic="http://schemas.openxmlformats.org/drawingml/2006/picture">
                        <pic:nvPicPr>
                          <pic:cNvPr id="933" name="Text_Box_35_SpCnt_75"/>
                          <pic:cNvPicPr/>
                        </pic:nvPicPr>
                        <pic:blipFill>
                          <a:blip r:embed="rId40"/>
                          <a:stretch>
                            <a:fillRect/>
                          </a:stretch>
                        </pic:blipFill>
                        <pic:spPr>
                          <a:xfrm>
                            <a:off x="0" y="0"/>
                            <a:ext cx="82550" cy="40322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690245</wp:posOffset>
                  </wp:positionH>
                  <wp:positionV relativeFrom="paragraph">
                    <wp:posOffset>0</wp:posOffset>
                  </wp:positionV>
                  <wp:extent cx="82550" cy="403225"/>
                  <wp:effectExtent l="0" t="0" r="0" b="0"/>
                  <wp:wrapNone/>
                  <wp:docPr id="934" name="Text_Box_41_SpCnt_77"/>
                  <wp:cNvGraphicFramePr/>
                  <a:graphic xmlns:a="http://schemas.openxmlformats.org/drawingml/2006/main">
                    <a:graphicData uri="http://schemas.openxmlformats.org/drawingml/2006/picture">
                      <pic:pic xmlns:pic="http://schemas.openxmlformats.org/drawingml/2006/picture">
                        <pic:nvPicPr>
                          <pic:cNvPr id="934" name="Text_Box_41_SpCnt_77"/>
                          <pic:cNvPicPr/>
                        </pic:nvPicPr>
                        <pic:blipFill>
                          <a:blip r:embed="rId40"/>
                          <a:stretch>
                            <a:fillRect/>
                          </a:stretch>
                        </pic:blipFill>
                        <pic:spPr>
                          <a:xfrm>
                            <a:off x="0" y="0"/>
                            <a:ext cx="82550" cy="40322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690245</wp:posOffset>
                  </wp:positionH>
                  <wp:positionV relativeFrom="paragraph">
                    <wp:posOffset>0</wp:posOffset>
                  </wp:positionV>
                  <wp:extent cx="82550" cy="403225"/>
                  <wp:effectExtent l="0" t="0" r="0" b="0"/>
                  <wp:wrapNone/>
                  <wp:docPr id="935" name="Text_Box_41_SpCnt_78"/>
                  <wp:cNvGraphicFramePr/>
                  <a:graphic xmlns:a="http://schemas.openxmlformats.org/drawingml/2006/main">
                    <a:graphicData uri="http://schemas.openxmlformats.org/drawingml/2006/picture">
                      <pic:pic xmlns:pic="http://schemas.openxmlformats.org/drawingml/2006/picture">
                        <pic:nvPicPr>
                          <pic:cNvPr id="935" name="Text_Box_41_SpCnt_78"/>
                          <pic:cNvPicPr/>
                        </pic:nvPicPr>
                        <pic:blipFill>
                          <a:blip r:embed="rId40"/>
                          <a:stretch>
                            <a:fillRect/>
                          </a:stretch>
                        </pic:blipFill>
                        <pic:spPr>
                          <a:xfrm>
                            <a:off x="0" y="0"/>
                            <a:ext cx="82550" cy="40322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690245</wp:posOffset>
                  </wp:positionH>
                  <wp:positionV relativeFrom="paragraph">
                    <wp:posOffset>0</wp:posOffset>
                  </wp:positionV>
                  <wp:extent cx="82550" cy="403225"/>
                  <wp:effectExtent l="0" t="0" r="0" b="0"/>
                  <wp:wrapNone/>
                  <wp:docPr id="936" name="Text_Box_35_SpCnt_76"/>
                  <wp:cNvGraphicFramePr/>
                  <a:graphic xmlns:a="http://schemas.openxmlformats.org/drawingml/2006/main">
                    <a:graphicData uri="http://schemas.openxmlformats.org/drawingml/2006/picture">
                      <pic:pic xmlns:pic="http://schemas.openxmlformats.org/drawingml/2006/picture">
                        <pic:nvPicPr>
                          <pic:cNvPr id="936" name="Text_Box_35_SpCnt_76"/>
                          <pic:cNvPicPr/>
                        </pic:nvPicPr>
                        <pic:blipFill>
                          <a:blip r:embed="rId40"/>
                          <a:stretch>
                            <a:fillRect/>
                          </a:stretch>
                        </pic:blipFill>
                        <pic:spPr>
                          <a:xfrm>
                            <a:off x="0" y="0"/>
                            <a:ext cx="82550" cy="40322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690245</wp:posOffset>
                  </wp:positionH>
                  <wp:positionV relativeFrom="paragraph">
                    <wp:posOffset>0</wp:posOffset>
                  </wp:positionV>
                  <wp:extent cx="82550" cy="403225"/>
                  <wp:effectExtent l="0" t="0" r="0" b="0"/>
                  <wp:wrapNone/>
                  <wp:docPr id="937" name="Text_Box_35_SpCnt_77"/>
                  <wp:cNvGraphicFramePr/>
                  <a:graphic xmlns:a="http://schemas.openxmlformats.org/drawingml/2006/main">
                    <a:graphicData uri="http://schemas.openxmlformats.org/drawingml/2006/picture">
                      <pic:pic xmlns:pic="http://schemas.openxmlformats.org/drawingml/2006/picture">
                        <pic:nvPicPr>
                          <pic:cNvPr id="937" name="Text_Box_35_SpCnt_77"/>
                          <pic:cNvPicPr/>
                        </pic:nvPicPr>
                        <pic:blipFill>
                          <a:blip r:embed="rId40"/>
                          <a:stretch>
                            <a:fillRect/>
                          </a:stretch>
                        </pic:blipFill>
                        <pic:spPr>
                          <a:xfrm>
                            <a:off x="0" y="0"/>
                            <a:ext cx="82550" cy="40322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690245</wp:posOffset>
                  </wp:positionH>
                  <wp:positionV relativeFrom="paragraph">
                    <wp:posOffset>0</wp:posOffset>
                  </wp:positionV>
                  <wp:extent cx="82550" cy="403225"/>
                  <wp:effectExtent l="0" t="0" r="0" b="0"/>
                  <wp:wrapNone/>
                  <wp:docPr id="938" name="Text_Box_41_SpCnt_79"/>
                  <wp:cNvGraphicFramePr/>
                  <a:graphic xmlns:a="http://schemas.openxmlformats.org/drawingml/2006/main">
                    <a:graphicData uri="http://schemas.openxmlformats.org/drawingml/2006/picture">
                      <pic:pic xmlns:pic="http://schemas.openxmlformats.org/drawingml/2006/picture">
                        <pic:nvPicPr>
                          <pic:cNvPr id="938" name="Text_Box_41_SpCnt_79"/>
                          <pic:cNvPicPr/>
                        </pic:nvPicPr>
                        <pic:blipFill>
                          <a:blip r:embed="rId40"/>
                          <a:stretch>
                            <a:fillRect/>
                          </a:stretch>
                        </pic:blipFill>
                        <pic:spPr>
                          <a:xfrm>
                            <a:off x="0" y="0"/>
                            <a:ext cx="82550" cy="40322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690245</wp:posOffset>
                  </wp:positionH>
                  <wp:positionV relativeFrom="paragraph">
                    <wp:posOffset>0</wp:posOffset>
                  </wp:positionV>
                  <wp:extent cx="82550" cy="403225"/>
                  <wp:effectExtent l="0" t="0" r="0" b="0"/>
                  <wp:wrapNone/>
                  <wp:docPr id="939" name="Text_Box_35_SpCnt_78"/>
                  <wp:cNvGraphicFramePr/>
                  <a:graphic xmlns:a="http://schemas.openxmlformats.org/drawingml/2006/main">
                    <a:graphicData uri="http://schemas.openxmlformats.org/drawingml/2006/picture">
                      <pic:pic xmlns:pic="http://schemas.openxmlformats.org/drawingml/2006/picture">
                        <pic:nvPicPr>
                          <pic:cNvPr id="939" name="Text_Box_35_SpCnt_78"/>
                          <pic:cNvPicPr/>
                        </pic:nvPicPr>
                        <pic:blipFill>
                          <a:blip r:embed="rId40"/>
                          <a:stretch>
                            <a:fillRect/>
                          </a:stretch>
                        </pic:blipFill>
                        <pic:spPr>
                          <a:xfrm>
                            <a:off x="0" y="0"/>
                            <a:ext cx="82550" cy="40322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drawing>
                <wp:anchor distT="0" distB="0" distL="114300" distR="114300" simplePos="0" relativeHeight="251661312" behindDoc="0" locked="0" layoutInCell="1" allowOverlap="1">
                  <wp:simplePos x="0" y="0"/>
                  <wp:positionH relativeFrom="column">
                    <wp:posOffset>690245</wp:posOffset>
                  </wp:positionH>
                  <wp:positionV relativeFrom="paragraph">
                    <wp:posOffset>0</wp:posOffset>
                  </wp:positionV>
                  <wp:extent cx="82550" cy="403225"/>
                  <wp:effectExtent l="0" t="0" r="0" b="0"/>
                  <wp:wrapNone/>
                  <wp:docPr id="940" name="Text_Box_35_SpCnt_79"/>
                  <wp:cNvGraphicFramePr/>
                  <a:graphic xmlns:a="http://schemas.openxmlformats.org/drawingml/2006/main">
                    <a:graphicData uri="http://schemas.openxmlformats.org/drawingml/2006/picture">
                      <pic:pic xmlns:pic="http://schemas.openxmlformats.org/drawingml/2006/picture">
                        <pic:nvPicPr>
                          <pic:cNvPr id="940" name="Text_Box_35_SpCnt_79"/>
                          <pic:cNvPicPr/>
                        </pic:nvPicPr>
                        <pic:blipFill>
                          <a:blip r:embed="rId40"/>
                          <a:stretch>
                            <a:fillRect/>
                          </a:stretch>
                        </pic:blipFill>
                        <pic:spPr>
                          <a:xfrm>
                            <a:off x="0" y="0"/>
                            <a:ext cx="82550" cy="403225"/>
                          </a:xfrm>
                          <a:prstGeom prst="rect">
                            <a:avLst/>
                          </a:prstGeom>
                          <a:noFill/>
                          <a:ln>
                            <a:noFill/>
                          </a:ln>
                        </pic:spPr>
                      </pic:pic>
                    </a:graphicData>
                  </a:graphic>
                </wp:anchor>
              </w:drawing>
            </w:r>
            <w:r>
              <w:rPr>
                <w:rFonts w:hint="eastAsia" w:ascii="Times New Roman" w:hAnsi="Times New Roman" w:eastAsia="仿宋" w:cs="Times New Roman"/>
                <w:color w:val="auto"/>
                <w:kern w:val="0"/>
                <w:sz w:val="21"/>
                <w:szCs w:val="21"/>
                <w:lang w:val="en-US" w:eastAsia="zh-CN" w:bidi="ar"/>
              </w:rPr>
              <w:t>在戛洒集镇面山造林5000亩，造林树种：凤凰木、小叶榕、攀枝花。新化乡造林5000亩，造林树种：旱冬瓜、青香木、小叶榕等。</w:t>
            </w:r>
          </w:p>
        </w:tc>
        <w:tc>
          <w:tcPr>
            <w:tcW w:w="408" w:type="pct"/>
            <w:vAlign w:val="center"/>
          </w:tcPr>
          <w:p w14:paraId="78757825">
            <w:pPr>
              <w:widowControl/>
              <w:spacing w:line="240" w:lineRule="auto"/>
              <w:jc w:val="center"/>
              <w:textAlignment w:val="center"/>
              <w:rPr>
                <w:rFonts w:ascii="Times New Roman" w:hAnsi="Times New Roman" w:eastAsia="仿宋" w:cs="Times New Roman"/>
                <w:color w:val="auto"/>
                <w:kern w:val="0"/>
                <w:sz w:val="21"/>
                <w:szCs w:val="21"/>
                <w:lang w:bidi="ar"/>
              </w:rPr>
            </w:pPr>
            <w:r>
              <w:rPr>
                <w:rFonts w:hint="eastAsia" w:ascii="Times New Roman" w:hAnsi="Times New Roman" w:eastAsia="仿宋" w:cs="Times New Roman"/>
                <w:color w:val="auto"/>
                <w:kern w:val="0"/>
                <w:sz w:val="21"/>
                <w:szCs w:val="21"/>
                <w:lang w:val="en-US" w:eastAsia="zh-CN" w:bidi="ar"/>
              </w:rPr>
              <w:t>2022-2024</w:t>
            </w:r>
          </w:p>
        </w:tc>
        <w:tc>
          <w:tcPr>
            <w:tcW w:w="413" w:type="pct"/>
            <w:vAlign w:val="center"/>
          </w:tcPr>
          <w:p w14:paraId="03974F72">
            <w:pPr>
              <w:widowControl/>
              <w:spacing w:line="240" w:lineRule="auto"/>
              <w:jc w:val="center"/>
              <w:textAlignment w:val="center"/>
              <w:rPr>
                <w:rFonts w:ascii="Times New Roman" w:hAnsi="Times New Roman" w:eastAsia="仿宋" w:cs="Times New Roman"/>
                <w:color w:val="auto"/>
                <w:kern w:val="0"/>
                <w:sz w:val="21"/>
                <w:szCs w:val="21"/>
                <w:lang w:bidi="ar"/>
              </w:rPr>
            </w:pPr>
            <w:r>
              <w:rPr>
                <w:rFonts w:hint="eastAsia" w:ascii="Times New Roman" w:hAnsi="Times New Roman" w:eastAsia="仿宋" w:cs="Times New Roman"/>
                <w:color w:val="auto"/>
                <w:kern w:val="0"/>
                <w:sz w:val="21"/>
                <w:szCs w:val="21"/>
                <w:lang w:val="en-US" w:eastAsia="zh-CN" w:bidi="ar"/>
              </w:rPr>
              <w:t>10000</w:t>
            </w:r>
          </w:p>
        </w:tc>
        <w:tc>
          <w:tcPr>
            <w:tcW w:w="413" w:type="pct"/>
            <w:vAlign w:val="center"/>
          </w:tcPr>
          <w:p w14:paraId="29D5634C">
            <w:pPr>
              <w:spacing w:line="240" w:lineRule="auto"/>
              <w:jc w:val="center"/>
              <w:rPr>
                <w:rFonts w:ascii="Times New Roman" w:hAnsi="Times New Roman" w:eastAsia="仿宋" w:cs="Times New Roman"/>
                <w:color w:val="auto"/>
                <w:kern w:val="0"/>
                <w:sz w:val="21"/>
                <w:szCs w:val="21"/>
                <w:lang w:bidi="ar"/>
              </w:rPr>
            </w:pPr>
            <w:r>
              <w:rPr>
                <w:rFonts w:hint="eastAsia" w:ascii="Times New Roman" w:hAnsi="Times New Roman" w:eastAsia="仿宋" w:cs="Times New Roman"/>
                <w:color w:val="auto"/>
                <w:kern w:val="0"/>
                <w:sz w:val="21"/>
                <w:szCs w:val="21"/>
                <w:lang w:val="en-US" w:eastAsia="zh-CN" w:bidi="ar"/>
              </w:rPr>
              <w:t>县林业和草原局</w:t>
            </w:r>
          </w:p>
        </w:tc>
        <w:tc>
          <w:tcPr>
            <w:tcW w:w="320" w:type="pct"/>
            <w:vAlign w:val="center"/>
          </w:tcPr>
          <w:p w14:paraId="198E5117">
            <w:pPr>
              <w:spacing w:line="240" w:lineRule="auto"/>
              <w:jc w:val="center"/>
              <w:rPr>
                <w:rFonts w:ascii="Times New Roman" w:hAnsi="Times New Roman" w:eastAsia="仿宋" w:cs="Times New Roman"/>
                <w:color w:val="auto"/>
                <w:kern w:val="0"/>
                <w:sz w:val="21"/>
                <w:szCs w:val="21"/>
                <w:lang w:bidi="ar"/>
              </w:rPr>
            </w:pPr>
            <w:r>
              <w:rPr>
                <w:rFonts w:hint="eastAsia" w:ascii="Times New Roman" w:hAnsi="Times New Roman" w:eastAsia="仿宋" w:cs="Times New Roman"/>
                <w:color w:val="auto"/>
                <w:kern w:val="0"/>
                <w:sz w:val="21"/>
                <w:szCs w:val="21"/>
                <w:lang w:val="en-US" w:eastAsia="zh-CN" w:bidi="ar"/>
              </w:rPr>
              <w:t>政府投入</w:t>
            </w:r>
          </w:p>
        </w:tc>
        <w:tc>
          <w:tcPr>
            <w:tcW w:w="569" w:type="pct"/>
            <w:vAlign w:val="center"/>
          </w:tcPr>
          <w:p w14:paraId="0386A077">
            <w:pPr>
              <w:spacing w:line="240" w:lineRule="auto"/>
              <w:jc w:val="center"/>
              <w:rPr>
                <w:rFonts w:ascii="Times New Roman" w:hAnsi="Times New Roman" w:eastAsia="仿宋" w:cs="Times New Roman"/>
                <w:color w:val="auto"/>
                <w:kern w:val="0"/>
                <w:sz w:val="21"/>
                <w:szCs w:val="21"/>
                <w:lang w:bidi="ar"/>
              </w:rPr>
            </w:pPr>
            <w:r>
              <w:rPr>
                <w:rFonts w:hint="eastAsia" w:ascii="Times New Roman" w:hAnsi="Times New Roman" w:eastAsia="仿宋" w:cs="Times New Roman"/>
                <w:color w:val="auto"/>
                <w:kern w:val="0"/>
                <w:sz w:val="21"/>
                <w:szCs w:val="21"/>
                <w:lang w:val="en-US" w:eastAsia="zh-CN" w:bidi="ar"/>
              </w:rPr>
              <w:t>自然生态空间</w:t>
            </w:r>
          </w:p>
        </w:tc>
      </w:tr>
      <w:tr w14:paraId="2EA74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70" w:type="pct"/>
            <w:vMerge w:val="continue"/>
            <w:vAlign w:val="center"/>
          </w:tcPr>
          <w:p w14:paraId="118038BE">
            <w:pPr>
              <w:widowControl/>
              <w:spacing w:line="240" w:lineRule="auto"/>
              <w:jc w:val="center"/>
              <w:textAlignment w:val="center"/>
              <w:rPr>
                <w:rFonts w:ascii="Times New Roman" w:hAnsi="Times New Roman" w:eastAsia="仿宋" w:cs="Times New Roman"/>
                <w:color w:val="auto"/>
                <w:kern w:val="0"/>
                <w:sz w:val="21"/>
                <w:szCs w:val="21"/>
                <w:lang w:bidi="ar"/>
              </w:rPr>
            </w:pPr>
          </w:p>
        </w:tc>
        <w:tc>
          <w:tcPr>
            <w:tcW w:w="255" w:type="pct"/>
            <w:vAlign w:val="center"/>
          </w:tcPr>
          <w:p w14:paraId="55907A7E">
            <w:pPr>
              <w:widowControl/>
              <w:spacing w:line="240" w:lineRule="auto"/>
              <w:jc w:val="center"/>
              <w:textAlignment w:val="center"/>
              <w:rPr>
                <w:rFonts w:ascii="Times New Roman" w:hAnsi="Times New Roman" w:eastAsia="仿宋" w:cs="Times New Roman"/>
                <w:color w:val="auto"/>
                <w:kern w:val="0"/>
                <w:sz w:val="21"/>
                <w:szCs w:val="21"/>
                <w:lang w:bidi="ar"/>
              </w:rPr>
            </w:pPr>
            <w:r>
              <w:rPr>
                <w:rFonts w:hint="eastAsia" w:ascii="Times New Roman" w:hAnsi="Times New Roman" w:eastAsia="仿宋" w:cs="Times New Roman"/>
                <w:color w:val="auto"/>
                <w:kern w:val="0"/>
                <w:sz w:val="21"/>
                <w:szCs w:val="21"/>
                <w:lang w:val="en-US" w:eastAsia="zh-CN" w:bidi="ar"/>
              </w:rPr>
              <w:t>5</w:t>
            </w:r>
          </w:p>
        </w:tc>
        <w:tc>
          <w:tcPr>
            <w:tcW w:w="631" w:type="pct"/>
            <w:vAlign w:val="center"/>
          </w:tcPr>
          <w:p w14:paraId="2C22EAE0">
            <w:pPr>
              <w:widowControl/>
              <w:spacing w:line="240" w:lineRule="auto"/>
              <w:jc w:val="left"/>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推进重点河湖水域岸线管控</w:t>
            </w:r>
          </w:p>
        </w:tc>
        <w:tc>
          <w:tcPr>
            <w:tcW w:w="1816" w:type="pct"/>
            <w:vAlign w:val="center"/>
          </w:tcPr>
          <w:p w14:paraId="59D26860">
            <w:pPr>
              <w:widowControl/>
              <w:spacing w:line="240" w:lineRule="auto"/>
              <w:jc w:val="left"/>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完成云南省下达的河湖管理保护范围划定。以建设美丽乡村、宜居乡村为目标，各乡（镇）按照上级要求开展农村河湖管理保护工作，有效防止农村河湖被侵占、破坏。</w:t>
            </w:r>
          </w:p>
        </w:tc>
        <w:tc>
          <w:tcPr>
            <w:tcW w:w="408" w:type="pct"/>
            <w:vAlign w:val="center"/>
          </w:tcPr>
          <w:p w14:paraId="7B0FD754">
            <w:pPr>
              <w:widowControl/>
              <w:spacing w:line="240" w:lineRule="auto"/>
              <w:jc w:val="center"/>
              <w:textAlignment w:val="center"/>
              <w:rPr>
                <w:rFonts w:ascii="Times New Roman" w:hAnsi="Times New Roman" w:eastAsia="仿宋" w:cs="Times New Roman"/>
                <w:color w:val="auto"/>
                <w:kern w:val="0"/>
                <w:sz w:val="21"/>
                <w:szCs w:val="21"/>
                <w:lang w:bidi="ar"/>
              </w:rPr>
            </w:pPr>
            <w:r>
              <w:rPr>
                <w:rFonts w:hint="eastAsia" w:ascii="Times New Roman" w:hAnsi="Times New Roman" w:eastAsia="仿宋" w:cs="Times New Roman"/>
                <w:color w:val="auto"/>
                <w:kern w:val="0"/>
                <w:sz w:val="21"/>
                <w:szCs w:val="21"/>
                <w:lang w:val="en-US" w:eastAsia="zh-CN" w:bidi="ar"/>
              </w:rPr>
              <w:t>2022-2030</w:t>
            </w:r>
          </w:p>
        </w:tc>
        <w:tc>
          <w:tcPr>
            <w:tcW w:w="413" w:type="pct"/>
            <w:vAlign w:val="center"/>
          </w:tcPr>
          <w:p w14:paraId="75BDC98A">
            <w:pPr>
              <w:widowControl/>
              <w:spacing w:line="240" w:lineRule="auto"/>
              <w:jc w:val="center"/>
              <w:textAlignment w:val="center"/>
              <w:rPr>
                <w:rFonts w:ascii="Times New Roman" w:hAnsi="Times New Roman" w:eastAsia="仿宋" w:cs="Times New Roman"/>
                <w:color w:val="auto"/>
                <w:kern w:val="0"/>
                <w:sz w:val="21"/>
                <w:szCs w:val="21"/>
                <w:lang w:bidi="ar"/>
              </w:rPr>
            </w:pPr>
            <w:r>
              <w:rPr>
                <w:rFonts w:hint="eastAsia" w:ascii="Times New Roman" w:hAnsi="Times New Roman" w:eastAsia="仿宋" w:cs="Times New Roman"/>
                <w:color w:val="auto"/>
                <w:kern w:val="0"/>
                <w:sz w:val="21"/>
                <w:szCs w:val="21"/>
                <w:lang w:val="en-US" w:eastAsia="zh-CN" w:bidi="ar"/>
              </w:rPr>
              <w:t>60</w:t>
            </w:r>
          </w:p>
        </w:tc>
        <w:tc>
          <w:tcPr>
            <w:tcW w:w="413" w:type="pct"/>
            <w:vAlign w:val="center"/>
          </w:tcPr>
          <w:p w14:paraId="01613BDF">
            <w:pPr>
              <w:spacing w:line="240" w:lineRule="auto"/>
              <w:jc w:val="center"/>
              <w:rPr>
                <w:rFonts w:ascii="Times New Roman" w:hAnsi="Times New Roman" w:eastAsia="仿宋" w:cs="Times New Roman"/>
                <w:color w:val="auto"/>
                <w:kern w:val="0"/>
                <w:sz w:val="21"/>
                <w:szCs w:val="21"/>
                <w:lang w:bidi="ar"/>
              </w:rPr>
            </w:pPr>
            <w:r>
              <w:rPr>
                <w:rFonts w:hint="eastAsia" w:ascii="Times New Roman" w:hAnsi="Times New Roman" w:eastAsia="仿宋" w:cs="Times New Roman"/>
                <w:color w:val="auto"/>
                <w:kern w:val="0"/>
                <w:sz w:val="21"/>
                <w:szCs w:val="21"/>
                <w:lang w:val="en-US" w:eastAsia="zh-CN" w:bidi="ar"/>
              </w:rPr>
              <w:t>县水利局</w:t>
            </w:r>
          </w:p>
        </w:tc>
        <w:tc>
          <w:tcPr>
            <w:tcW w:w="320" w:type="pct"/>
            <w:vAlign w:val="center"/>
          </w:tcPr>
          <w:p w14:paraId="335A4F1B">
            <w:pPr>
              <w:spacing w:line="240" w:lineRule="auto"/>
              <w:jc w:val="center"/>
              <w:rPr>
                <w:rFonts w:ascii="Times New Roman" w:hAnsi="Times New Roman" w:eastAsia="仿宋" w:cs="Times New Roman"/>
                <w:color w:val="auto"/>
                <w:kern w:val="0"/>
                <w:sz w:val="21"/>
                <w:szCs w:val="21"/>
                <w:lang w:bidi="ar"/>
              </w:rPr>
            </w:pPr>
            <w:r>
              <w:rPr>
                <w:rFonts w:hint="eastAsia" w:ascii="Times New Roman" w:hAnsi="Times New Roman" w:eastAsia="仿宋" w:cs="Times New Roman"/>
                <w:color w:val="auto"/>
                <w:kern w:val="0"/>
                <w:sz w:val="21"/>
                <w:szCs w:val="21"/>
                <w:lang w:val="en-US" w:eastAsia="zh-CN" w:bidi="ar"/>
              </w:rPr>
              <w:t>政府投入</w:t>
            </w:r>
          </w:p>
        </w:tc>
        <w:tc>
          <w:tcPr>
            <w:tcW w:w="569" w:type="pct"/>
            <w:vAlign w:val="center"/>
          </w:tcPr>
          <w:p w14:paraId="5D36E41B">
            <w:pPr>
              <w:spacing w:line="240" w:lineRule="auto"/>
              <w:jc w:val="center"/>
              <w:rPr>
                <w:rFonts w:ascii="Times New Roman" w:hAnsi="Times New Roman" w:eastAsia="仿宋" w:cs="Times New Roman"/>
                <w:color w:val="auto"/>
                <w:kern w:val="0"/>
                <w:sz w:val="21"/>
                <w:szCs w:val="21"/>
                <w:lang w:bidi="ar"/>
              </w:rPr>
            </w:pPr>
            <w:r>
              <w:rPr>
                <w:rFonts w:hint="eastAsia" w:ascii="Times New Roman" w:hAnsi="Times New Roman" w:eastAsia="仿宋" w:cs="Times New Roman"/>
                <w:color w:val="auto"/>
                <w:kern w:val="0"/>
                <w:sz w:val="21"/>
                <w:szCs w:val="21"/>
                <w:lang w:val="en-US" w:eastAsia="zh-CN" w:bidi="ar"/>
              </w:rPr>
              <w:t>河湖岸线保护率</w:t>
            </w:r>
          </w:p>
        </w:tc>
      </w:tr>
      <w:tr w14:paraId="5630E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170" w:type="pct"/>
            <w:vMerge w:val="continue"/>
            <w:vAlign w:val="center"/>
          </w:tcPr>
          <w:p w14:paraId="22A9ACA1">
            <w:pPr>
              <w:spacing w:line="240" w:lineRule="auto"/>
              <w:jc w:val="center"/>
              <w:rPr>
                <w:rFonts w:ascii="Times New Roman" w:hAnsi="Times New Roman" w:eastAsia="仿宋" w:cs="Times New Roman"/>
                <w:color w:val="auto"/>
                <w:sz w:val="21"/>
                <w:szCs w:val="21"/>
              </w:rPr>
            </w:pPr>
          </w:p>
        </w:tc>
        <w:tc>
          <w:tcPr>
            <w:tcW w:w="255" w:type="pct"/>
            <w:vAlign w:val="center"/>
          </w:tcPr>
          <w:p w14:paraId="28D1421E">
            <w:pPr>
              <w:widowControl/>
              <w:spacing w:line="240" w:lineRule="auto"/>
              <w:jc w:val="center"/>
              <w:textAlignment w:val="center"/>
              <w:rPr>
                <w:rFonts w:ascii="Times New Roman" w:hAnsi="Times New Roman" w:eastAsia="仿宋" w:cs="Times New Roman"/>
                <w:color w:val="auto"/>
                <w:kern w:val="0"/>
                <w:sz w:val="21"/>
                <w:szCs w:val="21"/>
                <w:lang w:bidi="ar"/>
              </w:rPr>
            </w:pPr>
            <w:r>
              <w:rPr>
                <w:rFonts w:ascii="Times New Roman" w:hAnsi="Times New Roman" w:eastAsia="仿宋" w:cs="Times New Roman"/>
                <w:color w:val="auto"/>
                <w:kern w:val="0"/>
                <w:sz w:val="21"/>
                <w:szCs w:val="21"/>
                <w:lang w:bidi="ar"/>
              </w:rPr>
              <w:t>小计</w:t>
            </w:r>
          </w:p>
        </w:tc>
        <w:tc>
          <w:tcPr>
            <w:tcW w:w="2856" w:type="pct"/>
            <w:gridSpan w:val="3"/>
            <w:vAlign w:val="center"/>
          </w:tcPr>
          <w:p w14:paraId="493900E6">
            <w:pPr>
              <w:widowControl/>
              <w:spacing w:line="240" w:lineRule="auto"/>
              <w:jc w:val="center"/>
              <w:textAlignment w:val="center"/>
              <w:rPr>
                <w:rFonts w:ascii="Times New Roman" w:hAnsi="Times New Roman" w:eastAsia="仿宋" w:cs="Times New Roman"/>
                <w:color w:val="auto"/>
                <w:kern w:val="0"/>
                <w:sz w:val="21"/>
                <w:szCs w:val="21"/>
                <w:lang w:bidi="ar"/>
              </w:rPr>
            </w:pPr>
            <w:r>
              <w:rPr>
                <w:rFonts w:ascii="Times New Roman" w:hAnsi="Times New Roman" w:eastAsia="仿宋" w:cs="Times New Roman"/>
                <w:color w:val="auto"/>
                <w:kern w:val="0"/>
                <w:sz w:val="21"/>
                <w:szCs w:val="21"/>
                <w:lang w:bidi="ar"/>
              </w:rPr>
              <w:t>/</w:t>
            </w:r>
          </w:p>
        </w:tc>
        <w:tc>
          <w:tcPr>
            <w:tcW w:w="413" w:type="pct"/>
            <w:vAlign w:val="center"/>
          </w:tcPr>
          <w:p w14:paraId="29716C7F">
            <w:pPr>
              <w:widowControl/>
              <w:spacing w:line="240" w:lineRule="auto"/>
              <w:jc w:val="center"/>
              <w:textAlignment w:val="center"/>
              <w:rPr>
                <w:rFonts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b/>
                <w:bCs/>
                <w:color w:val="auto"/>
                <w:kern w:val="0"/>
                <w:sz w:val="21"/>
                <w:szCs w:val="21"/>
                <w:lang w:val="en-US" w:eastAsia="zh-CN" w:bidi="ar"/>
              </w:rPr>
              <w:t>15960</w:t>
            </w:r>
          </w:p>
        </w:tc>
        <w:tc>
          <w:tcPr>
            <w:tcW w:w="413" w:type="pct"/>
            <w:vAlign w:val="center"/>
          </w:tcPr>
          <w:p w14:paraId="4D417B90">
            <w:pPr>
              <w:spacing w:line="240" w:lineRule="auto"/>
              <w:jc w:val="center"/>
              <w:rPr>
                <w:rFonts w:ascii="Times New Roman" w:hAnsi="Times New Roman" w:eastAsia="仿宋" w:cs="Times New Roman"/>
                <w:color w:val="auto"/>
                <w:sz w:val="21"/>
                <w:szCs w:val="21"/>
              </w:rPr>
            </w:pPr>
          </w:p>
        </w:tc>
        <w:tc>
          <w:tcPr>
            <w:tcW w:w="320" w:type="pct"/>
            <w:vAlign w:val="center"/>
          </w:tcPr>
          <w:p w14:paraId="0C078DFF">
            <w:pPr>
              <w:spacing w:line="240" w:lineRule="auto"/>
              <w:jc w:val="center"/>
              <w:rPr>
                <w:rFonts w:ascii="Times New Roman" w:hAnsi="Times New Roman" w:eastAsia="仿宋" w:cs="Times New Roman"/>
                <w:color w:val="auto"/>
                <w:sz w:val="21"/>
                <w:szCs w:val="21"/>
              </w:rPr>
            </w:pPr>
          </w:p>
        </w:tc>
        <w:tc>
          <w:tcPr>
            <w:tcW w:w="569" w:type="pct"/>
            <w:vAlign w:val="center"/>
          </w:tcPr>
          <w:p w14:paraId="7A6B946B">
            <w:pPr>
              <w:spacing w:line="240" w:lineRule="auto"/>
              <w:jc w:val="center"/>
              <w:rPr>
                <w:rFonts w:ascii="Times New Roman" w:hAnsi="Times New Roman" w:eastAsia="仿宋" w:cs="Times New Roman"/>
                <w:color w:val="auto"/>
                <w:sz w:val="21"/>
                <w:szCs w:val="21"/>
              </w:rPr>
            </w:pPr>
          </w:p>
        </w:tc>
      </w:tr>
      <w:tr w14:paraId="05194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70" w:type="pct"/>
            <w:vMerge w:val="restart"/>
            <w:vAlign w:val="center"/>
          </w:tcPr>
          <w:p w14:paraId="569A049C">
            <w:pPr>
              <w:spacing w:line="240" w:lineRule="auto"/>
              <w:jc w:val="center"/>
              <w:rPr>
                <w:rFonts w:ascii="Times New Roman" w:hAnsi="Times New Roman" w:eastAsia="仿宋" w:cs="Times New Roman"/>
                <w:color w:val="auto"/>
                <w:sz w:val="21"/>
                <w:szCs w:val="21"/>
              </w:rPr>
            </w:pPr>
            <w:r>
              <w:rPr>
                <w:rFonts w:ascii="Times New Roman" w:hAnsi="Times New Roman" w:eastAsia="仿宋" w:cs="Times New Roman"/>
                <w:color w:val="auto"/>
                <w:sz w:val="21"/>
                <w:szCs w:val="21"/>
              </w:rPr>
              <w:t>生态经济</w:t>
            </w:r>
          </w:p>
        </w:tc>
        <w:tc>
          <w:tcPr>
            <w:tcW w:w="255" w:type="pct"/>
            <w:noWrap/>
            <w:vAlign w:val="center"/>
          </w:tcPr>
          <w:p w14:paraId="2A65BBD9">
            <w:pPr>
              <w:widowControl/>
              <w:spacing w:line="240" w:lineRule="auto"/>
              <w:jc w:val="center"/>
              <w:textAlignment w:val="center"/>
              <w:rPr>
                <w:rFonts w:ascii="Times New Roman" w:hAnsi="Times New Roman" w:eastAsia="仿宋" w:cs="Times New Roman"/>
                <w:color w:val="auto"/>
                <w:kern w:val="0"/>
                <w:sz w:val="21"/>
                <w:szCs w:val="21"/>
                <w:lang w:bidi="ar"/>
              </w:rPr>
            </w:pPr>
            <w:r>
              <w:rPr>
                <w:rFonts w:ascii="Times New Roman" w:hAnsi="Times New Roman" w:eastAsia="仿宋" w:cs="Times New Roman"/>
                <w:color w:val="auto"/>
                <w:kern w:val="0"/>
                <w:sz w:val="21"/>
                <w:szCs w:val="21"/>
                <w:lang w:bidi="ar"/>
              </w:rPr>
              <w:t>1</w:t>
            </w:r>
          </w:p>
        </w:tc>
        <w:tc>
          <w:tcPr>
            <w:tcW w:w="631" w:type="pct"/>
            <w:vAlign w:val="center"/>
          </w:tcPr>
          <w:p w14:paraId="4B9FD700">
            <w:pPr>
              <w:widowControl/>
              <w:spacing w:line="240" w:lineRule="auto"/>
              <w:jc w:val="left"/>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云南玉溪仙福钢铁（集团）有限公司产能置换升级改造项目</w:t>
            </w:r>
          </w:p>
        </w:tc>
        <w:tc>
          <w:tcPr>
            <w:tcW w:w="1816" w:type="pct"/>
            <w:vAlign w:val="center"/>
          </w:tcPr>
          <w:p w14:paraId="7B25E184">
            <w:pPr>
              <w:widowControl/>
              <w:spacing w:line="240" w:lineRule="auto"/>
              <w:jc w:val="left"/>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对公司原有生产装备及设施进行升级改造，拆除现有炼铁高炉四座（450m³、580m³各一座，630m³二座）及氧气顶吹转炉五座（35吨三座，50吨一座、60吨一座）；建成1350m³炼铁高炉两座、100吨转炉两座、52吨合金钢电炉一座及相关配套设施。</w:t>
            </w:r>
          </w:p>
        </w:tc>
        <w:tc>
          <w:tcPr>
            <w:tcW w:w="408" w:type="pct"/>
            <w:vAlign w:val="center"/>
          </w:tcPr>
          <w:p w14:paraId="4D73CF06">
            <w:pPr>
              <w:widowControl/>
              <w:spacing w:line="240" w:lineRule="auto"/>
              <w:jc w:val="center"/>
              <w:textAlignment w:val="center"/>
              <w:rPr>
                <w:rFonts w:ascii="Times New Roman" w:hAnsi="Times New Roman" w:eastAsia="仿宋" w:cs="Times New Roman"/>
                <w:color w:val="auto"/>
                <w:kern w:val="0"/>
                <w:sz w:val="21"/>
                <w:szCs w:val="21"/>
                <w:lang w:bidi="ar"/>
              </w:rPr>
            </w:pPr>
            <w:r>
              <w:rPr>
                <w:rFonts w:ascii="Times New Roman" w:hAnsi="Times New Roman" w:eastAsia="仿宋" w:cs="Times New Roman"/>
                <w:color w:val="auto"/>
                <w:kern w:val="0"/>
                <w:sz w:val="21"/>
                <w:szCs w:val="21"/>
                <w:lang w:bidi="ar"/>
              </w:rPr>
              <w:t>2022-2023</w:t>
            </w:r>
          </w:p>
        </w:tc>
        <w:tc>
          <w:tcPr>
            <w:tcW w:w="413" w:type="pct"/>
            <w:vAlign w:val="center"/>
          </w:tcPr>
          <w:p w14:paraId="0AD8540A">
            <w:pPr>
              <w:spacing w:line="240" w:lineRule="auto"/>
              <w:jc w:val="center"/>
              <w:rPr>
                <w:rFonts w:ascii="Times New Roman" w:hAnsi="Times New Roman" w:eastAsia="仿宋" w:cs="Times New Roman"/>
                <w:color w:val="auto"/>
                <w:kern w:val="0"/>
                <w:sz w:val="21"/>
                <w:szCs w:val="21"/>
                <w:lang w:bidi="ar"/>
              </w:rPr>
            </w:pPr>
            <w:r>
              <w:rPr>
                <w:rFonts w:ascii="Times New Roman" w:hAnsi="Times New Roman" w:eastAsia="仿宋" w:cs="Times New Roman"/>
                <w:color w:val="auto"/>
                <w:kern w:val="0"/>
                <w:sz w:val="21"/>
                <w:szCs w:val="21"/>
                <w:lang w:bidi="ar"/>
              </w:rPr>
              <w:t>480000</w:t>
            </w:r>
          </w:p>
        </w:tc>
        <w:tc>
          <w:tcPr>
            <w:tcW w:w="413" w:type="pct"/>
            <w:vAlign w:val="center"/>
          </w:tcPr>
          <w:p w14:paraId="7A50DEC9">
            <w:pPr>
              <w:widowControl/>
              <w:spacing w:line="240" w:lineRule="auto"/>
              <w:jc w:val="center"/>
              <w:rPr>
                <w:rFonts w:ascii="Times New Roman" w:hAnsi="Times New Roman" w:eastAsia="仿宋" w:cs="Times New Roman"/>
                <w:color w:val="auto"/>
                <w:kern w:val="0"/>
                <w:sz w:val="21"/>
                <w:szCs w:val="21"/>
                <w:lang w:bidi="ar"/>
              </w:rPr>
            </w:pPr>
            <w:r>
              <w:rPr>
                <w:rFonts w:ascii="Times New Roman" w:hAnsi="Times New Roman" w:eastAsia="仿宋" w:cs="Times New Roman"/>
                <w:color w:val="auto"/>
                <w:kern w:val="0"/>
                <w:sz w:val="21"/>
                <w:szCs w:val="21"/>
              </w:rPr>
              <w:t>云南玉溪仙福钢铁（集团）有限公司</w:t>
            </w:r>
          </w:p>
        </w:tc>
        <w:tc>
          <w:tcPr>
            <w:tcW w:w="320" w:type="pct"/>
            <w:vAlign w:val="center"/>
          </w:tcPr>
          <w:p w14:paraId="0283D6B5">
            <w:pPr>
              <w:widowControl/>
              <w:spacing w:line="240" w:lineRule="auto"/>
              <w:rPr>
                <w:rFonts w:ascii="Times New Roman" w:hAnsi="Times New Roman" w:eastAsia="仿宋" w:cs="Times New Roman"/>
                <w:color w:val="auto"/>
                <w:kern w:val="0"/>
                <w:sz w:val="21"/>
                <w:szCs w:val="21"/>
                <w:lang w:bidi="ar"/>
              </w:rPr>
            </w:pPr>
            <w:r>
              <w:rPr>
                <w:rFonts w:ascii="Times New Roman" w:hAnsi="Times New Roman" w:eastAsia="仿宋" w:cs="Times New Roman"/>
                <w:color w:val="auto"/>
                <w:kern w:val="0"/>
                <w:sz w:val="21"/>
                <w:szCs w:val="21"/>
              </w:rPr>
              <w:t>企业自筹</w:t>
            </w:r>
          </w:p>
        </w:tc>
        <w:tc>
          <w:tcPr>
            <w:tcW w:w="569" w:type="pct"/>
            <w:vAlign w:val="center"/>
          </w:tcPr>
          <w:p w14:paraId="294A2FCB">
            <w:pPr>
              <w:widowControl/>
              <w:spacing w:line="240" w:lineRule="auto"/>
              <w:jc w:val="center"/>
              <w:textAlignment w:val="center"/>
              <w:rPr>
                <w:rFonts w:ascii="Times New Roman" w:hAnsi="Times New Roman" w:eastAsia="仿宋" w:cs="Times New Roman"/>
                <w:color w:val="auto"/>
                <w:kern w:val="0"/>
                <w:sz w:val="21"/>
                <w:szCs w:val="21"/>
                <w:lang w:bidi="ar"/>
              </w:rPr>
            </w:pPr>
            <w:r>
              <w:rPr>
                <w:rFonts w:ascii="Times New Roman" w:hAnsi="Times New Roman" w:eastAsia="仿宋" w:cs="Times New Roman"/>
                <w:color w:val="auto"/>
                <w:kern w:val="0"/>
                <w:sz w:val="21"/>
                <w:szCs w:val="21"/>
                <w:lang w:bidi="ar"/>
              </w:rPr>
              <w:t>单位地区生产总值能耗</w:t>
            </w:r>
          </w:p>
        </w:tc>
      </w:tr>
      <w:tr w14:paraId="1146C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70" w:type="pct"/>
            <w:vMerge w:val="continue"/>
            <w:vAlign w:val="center"/>
          </w:tcPr>
          <w:p w14:paraId="75342F0B">
            <w:pPr>
              <w:spacing w:line="240" w:lineRule="auto"/>
              <w:jc w:val="center"/>
              <w:rPr>
                <w:rFonts w:ascii="Times New Roman" w:hAnsi="Times New Roman" w:eastAsia="仿宋" w:cs="Times New Roman"/>
                <w:color w:val="auto"/>
                <w:sz w:val="21"/>
                <w:szCs w:val="21"/>
              </w:rPr>
            </w:pPr>
          </w:p>
        </w:tc>
        <w:tc>
          <w:tcPr>
            <w:tcW w:w="255" w:type="pct"/>
            <w:noWrap/>
            <w:vAlign w:val="center"/>
          </w:tcPr>
          <w:p w14:paraId="7509AD66">
            <w:pPr>
              <w:widowControl/>
              <w:spacing w:line="240" w:lineRule="auto"/>
              <w:jc w:val="center"/>
              <w:textAlignment w:val="center"/>
              <w:rPr>
                <w:rFonts w:ascii="Times New Roman" w:hAnsi="Times New Roman" w:eastAsia="仿宋" w:cs="Times New Roman"/>
                <w:color w:val="auto"/>
                <w:kern w:val="0"/>
                <w:sz w:val="21"/>
                <w:szCs w:val="21"/>
                <w:lang w:bidi="ar"/>
              </w:rPr>
            </w:pPr>
            <w:r>
              <w:rPr>
                <w:rFonts w:ascii="Times New Roman" w:hAnsi="Times New Roman" w:eastAsia="仿宋" w:cs="Times New Roman"/>
                <w:color w:val="auto"/>
                <w:kern w:val="0"/>
                <w:sz w:val="21"/>
                <w:szCs w:val="21"/>
                <w:lang w:bidi="ar"/>
              </w:rPr>
              <w:t>2</w:t>
            </w:r>
          </w:p>
        </w:tc>
        <w:tc>
          <w:tcPr>
            <w:tcW w:w="631" w:type="pct"/>
            <w:tcBorders>
              <w:top w:val="single" w:color="auto" w:sz="4" w:space="0"/>
              <w:left w:val="single" w:color="auto" w:sz="4" w:space="0"/>
              <w:bottom w:val="single" w:color="auto" w:sz="4" w:space="0"/>
              <w:right w:val="single" w:color="auto" w:sz="4" w:space="0"/>
            </w:tcBorders>
            <w:shd w:val="clear" w:color="auto" w:fill="auto"/>
            <w:vAlign w:val="center"/>
          </w:tcPr>
          <w:p w14:paraId="251E65B8">
            <w:pPr>
              <w:widowControl/>
              <w:spacing w:line="240" w:lineRule="auto"/>
              <w:jc w:val="left"/>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新平县联兴风电场</w:t>
            </w:r>
          </w:p>
        </w:tc>
        <w:tc>
          <w:tcPr>
            <w:tcW w:w="1816" w:type="pct"/>
            <w:tcBorders>
              <w:top w:val="single" w:color="auto" w:sz="4" w:space="0"/>
              <w:left w:val="single" w:color="auto" w:sz="4" w:space="0"/>
              <w:bottom w:val="single" w:color="auto" w:sz="4" w:space="0"/>
              <w:right w:val="single" w:color="auto" w:sz="4" w:space="0"/>
            </w:tcBorders>
            <w:shd w:val="clear" w:color="auto" w:fill="auto"/>
            <w:vAlign w:val="center"/>
          </w:tcPr>
          <w:p w14:paraId="53FF032D">
            <w:pPr>
              <w:widowControl/>
              <w:spacing w:line="240" w:lineRule="auto"/>
              <w:jc w:val="left"/>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安装风机47台，总装机9.9万千瓦。</w:t>
            </w:r>
          </w:p>
        </w:tc>
        <w:tc>
          <w:tcPr>
            <w:tcW w:w="408" w:type="pct"/>
            <w:tcBorders>
              <w:top w:val="single" w:color="auto" w:sz="4" w:space="0"/>
              <w:left w:val="single" w:color="auto" w:sz="4" w:space="0"/>
              <w:bottom w:val="single" w:color="auto" w:sz="4" w:space="0"/>
              <w:right w:val="single" w:color="auto" w:sz="4" w:space="0"/>
            </w:tcBorders>
            <w:shd w:val="clear" w:color="auto" w:fill="auto"/>
            <w:vAlign w:val="center"/>
          </w:tcPr>
          <w:p w14:paraId="54200FF6">
            <w:pPr>
              <w:widowControl/>
              <w:spacing w:line="240" w:lineRule="auto"/>
              <w:jc w:val="center"/>
              <w:rPr>
                <w:rFonts w:ascii="Times New Roman" w:hAnsi="Times New Roman" w:eastAsia="宋体" w:cs="Times New Roman"/>
                <w:color w:val="000000"/>
                <w:kern w:val="0"/>
                <w:sz w:val="21"/>
                <w:szCs w:val="21"/>
              </w:rPr>
            </w:pPr>
            <w:r>
              <w:rPr>
                <w:rFonts w:ascii="Times New Roman" w:hAnsi="Times New Roman" w:cs="Times New Roman"/>
                <w:color w:val="000000"/>
                <w:sz w:val="21"/>
                <w:szCs w:val="21"/>
              </w:rPr>
              <w:t>2023-2025</w:t>
            </w:r>
          </w:p>
        </w:tc>
        <w:tc>
          <w:tcPr>
            <w:tcW w:w="413" w:type="pct"/>
            <w:tcBorders>
              <w:top w:val="single" w:color="auto" w:sz="4" w:space="0"/>
              <w:left w:val="single" w:color="auto" w:sz="4" w:space="0"/>
              <w:bottom w:val="single" w:color="auto" w:sz="4" w:space="0"/>
              <w:right w:val="single" w:color="auto" w:sz="4" w:space="0"/>
            </w:tcBorders>
            <w:shd w:val="clear" w:color="auto" w:fill="auto"/>
            <w:vAlign w:val="center"/>
          </w:tcPr>
          <w:p w14:paraId="4591879C">
            <w:pPr>
              <w:widowControl/>
              <w:spacing w:line="240" w:lineRule="auto"/>
              <w:jc w:val="center"/>
              <w:rPr>
                <w:rFonts w:ascii="Times New Roman" w:hAnsi="Times New Roman" w:eastAsia="宋体" w:cs="Times New Roman"/>
                <w:color w:val="000000"/>
                <w:kern w:val="0"/>
                <w:sz w:val="21"/>
                <w:szCs w:val="21"/>
              </w:rPr>
            </w:pPr>
            <w:r>
              <w:rPr>
                <w:rFonts w:ascii="Times New Roman" w:hAnsi="Times New Roman" w:cs="Times New Roman"/>
                <w:color w:val="000000"/>
                <w:sz w:val="21"/>
                <w:szCs w:val="21"/>
              </w:rPr>
              <w:t>69300</w:t>
            </w:r>
          </w:p>
        </w:tc>
        <w:tc>
          <w:tcPr>
            <w:tcW w:w="413" w:type="pct"/>
            <w:shd w:val="clear" w:color="auto" w:fill="auto"/>
            <w:vAlign w:val="center"/>
          </w:tcPr>
          <w:p w14:paraId="37748EE1">
            <w:pPr>
              <w:widowControl/>
              <w:spacing w:line="240" w:lineRule="auto"/>
              <w:jc w:val="center"/>
              <w:rPr>
                <w:rFonts w:ascii="Times New Roman" w:hAnsi="Times New Roman" w:eastAsia="仿宋" w:cs="Times New Roman"/>
                <w:color w:val="auto"/>
                <w:kern w:val="0"/>
                <w:sz w:val="21"/>
                <w:szCs w:val="21"/>
              </w:rPr>
            </w:pPr>
            <w:r>
              <w:rPr>
                <w:rFonts w:ascii="Times New Roman" w:hAnsi="Times New Roman" w:eastAsia="仿宋" w:cs="Times New Roman"/>
                <w:color w:val="auto"/>
                <w:kern w:val="0"/>
                <w:sz w:val="21"/>
                <w:szCs w:val="21"/>
              </w:rPr>
              <w:t>县发展局</w:t>
            </w:r>
          </w:p>
        </w:tc>
        <w:tc>
          <w:tcPr>
            <w:tcW w:w="320" w:type="pct"/>
            <w:vAlign w:val="center"/>
          </w:tcPr>
          <w:p w14:paraId="74B0C48F">
            <w:pPr>
              <w:widowControl/>
              <w:spacing w:line="240" w:lineRule="auto"/>
              <w:rPr>
                <w:rFonts w:ascii="Times New Roman" w:hAnsi="Times New Roman" w:eastAsia="仿宋" w:cs="Times New Roman"/>
                <w:color w:val="auto"/>
                <w:kern w:val="0"/>
                <w:sz w:val="21"/>
                <w:szCs w:val="21"/>
              </w:rPr>
            </w:pPr>
            <w:r>
              <w:rPr>
                <w:rFonts w:ascii="Times New Roman" w:hAnsi="Times New Roman" w:eastAsia="仿宋" w:cs="Times New Roman"/>
                <w:color w:val="auto"/>
                <w:kern w:val="0"/>
                <w:sz w:val="21"/>
                <w:szCs w:val="21"/>
              </w:rPr>
              <w:t>企业自筹、政府投入</w:t>
            </w:r>
          </w:p>
        </w:tc>
        <w:tc>
          <w:tcPr>
            <w:tcW w:w="569" w:type="pct"/>
            <w:vAlign w:val="center"/>
          </w:tcPr>
          <w:p w14:paraId="175BF59F">
            <w:pPr>
              <w:widowControl/>
              <w:spacing w:line="240" w:lineRule="auto"/>
              <w:jc w:val="center"/>
              <w:textAlignment w:val="center"/>
              <w:rPr>
                <w:rFonts w:ascii="Times New Roman" w:hAnsi="Times New Roman" w:eastAsia="仿宋" w:cs="Times New Roman"/>
                <w:color w:val="auto"/>
                <w:kern w:val="0"/>
                <w:sz w:val="21"/>
                <w:szCs w:val="21"/>
                <w:lang w:bidi="ar"/>
              </w:rPr>
            </w:pPr>
            <w:r>
              <w:rPr>
                <w:rFonts w:ascii="Times New Roman" w:hAnsi="Times New Roman" w:eastAsia="仿宋" w:cs="Times New Roman"/>
                <w:color w:val="auto"/>
                <w:kern w:val="0"/>
                <w:sz w:val="21"/>
                <w:szCs w:val="21"/>
                <w:lang w:bidi="ar"/>
              </w:rPr>
              <w:t>单位地区生产总值能耗</w:t>
            </w:r>
          </w:p>
        </w:tc>
      </w:tr>
      <w:tr w14:paraId="61303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70" w:type="pct"/>
            <w:vMerge w:val="continue"/>
            <w:vAlign w:val="center"/>
          </w:tcPr>
          <w:p w14:paraId="36F05BC2">
            <w:pPr>
              <w:spacing w:line="240" w:lineRule="auto"/>
              <w:jc w:val="center"/>
              <w:rPr>
                <w:rFonts w:ascii="Times New Roman" w:hAnsi="Times New Roman" w:eastAsia="仿宋" w:cs="Times New Roman"/>
                <w:color w:val="auto"/>
                <w:sz w:val="21"/>
                <w:szCs w:val="21"/>
              </w:rPr>
            </w:pPr>
          </w:p>
        </w:tc>
        <w:tc>
          <w:tcPr>
            <w:tcW w:w="255" w:type="pct"/>
            <w:noWrap/>
            <w:vAlign w:val="center"/>
          </w:tcPr>
          <w:p w14:paraId="7C7B500D">
            <w:pPr>
              <w:widowControl/>
              <w:spacing w:line="240" w:lineRule="auto"/>
              <w:jc w:val="center"/>
              <w:textAlignment w:val="center"/>
              <w:rPr>
                <w:rFonts w:ascii="Times New Roman" w:hAnsi="Times New Roman" w:eastAsia="仿宋" w:cs="Times New Roman"/>
                <w:color w:val="auto"/>
                <w:kern w:val="0"/>
                <w:sz w:val="21"/>
                <w:szCs w:val="21"/>
                <w:lang w:bidi="ar"/>
              </w:rPr>
            </w:pPr>
            <w:r>
              <w:rPr>
                <w:rFonts w:ascii="Times New Roman" w:hAnsi="Times New Roman" w:eastAsia="仿宋" w:cs="Times New Roman"/>
                <w:color w:val="auto"/>
                <w:kern w:val="0"/>
                <w:sz w:val="21"/>
                <w:szCs w:val="21"/>
                <w:lang w:bidi="ar"/>
              </w:rPr>
              <w:t>3</w:t>
            </w:r>
          </w:p>
        </w:tc>
        <w:tc>
          <w:tcPr>
            <w:tcW w:w="631" w:type="pct"/>
            <w:tcBorders>
              <w:top w:val="nil"/>
              <w:left w:val="single" w:color="auto" w:sz="4" w:space="0"/>
              <w:bottom w:val="single" w:color="auto" w:sz="4" w:space="0"/>
              <w:right w:val="single" w:color="auto" w:sz="4" w:space="0"/>
            </w:tcBorders>
            <w:shd w:val="clear" w:color="auto" w:fill="auto"/>
            <w:vAlign w:val="center"/>
          </w:tcPr>
          <w:p w14:paraId="114A93EB">
            <w:pPr>
              <w:widowControl/>
              <w:spacing w:line="240" w:lineRule="auto"/>
              <w:jc w:val="left"/>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新平县鲁奎山风电场</w:t>
            </w:r>
          </w:p>
        </w:tc>
        <w:tc>
          <w:tcPr>
            <w:tcW w:w="1816" w:type="pct"/>
            <w:tcBorders>
              <w:top w:val="nil"/>
              <w:left w:val="single" w:color="auto" w:sz="4" w:space="0"/>
              <w:bottom w:val="single" w:color="auto" w:sz="4" w:space="0"/>
              <w:right w:val="single" w:color="auto" w:sz="4" w:space="0"/>
            </w:tcBorders>
            <w:shd w:val="clear" w:color="auto" w:fill="auto"/>
            <w:vAlign w:val="center"/>
          </w:tcPr>
          <w:p w14:paraId="4917FEE0">
            <w:pPr>
              <w:widowControl/>
              <w:spacing w:line="240" w:lineRule="auto"/>
              <w:jc w:val="left"/>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安装风机18台，总装机5万千瓦。</w:t>
            </w:r>
          </w:p>
        </w:tc>
        <w:tc>
          <w:tcPr>
            <w:tcW w:w="408" w:type="pct"/>
            <w:tcBorders>
              <w:top w:val="nil"/>
              <w:left w:val="single" w:color="auto" w:sz="4" w:space="0"/>
              <w:bottom w:val="single" w:color="auto" w:sz="4" w:space="0"/>
              <w:right w:val="single" w:color="auto" w:sz="4" w:space="0"/>
            </w:tcBorders>
            <w:shd w:val="clear" w:color="auto" w:fill="auto"/>
            <w:vAlign w:val="center"/>
          </w:tcPr>
          <w:p w14:paraId="6D354168">
            <w:pPr>
              <w:jc w:val="center"/>
              <w:rPr>
                <w:rFonts w:ascii="Times New Roman" w:hAnsi="Times New Roman" w:cs="Times New Roman"/>
                <w:color w:val="000000"/>
                <w:sz w:val="21"/>
                <w:szCs w:val="21"/>
              </w:rPr>
            </w:pPr>
            <w:r>
              <w:rPr>
                <w:rFonts w:ascii="Times New Roman" w:hAnsi="Times New Roman" w:cs="Times New Roman"/>
                <w:color w:val="000000"/>
                <w:sz w:val="21"/>
                <w:szCs w:val="21"/>
              </w:rPr>
              <w:t>2025-2027</w:t>
            </w:r>
          </w:p>
        </w:tc>
        <w:tc>
          <w:tcPr>
            <w:tcW w:w="413" w:type="pct"/>
            <w:tcBorders>
              <w:top w:val="nil"/>
              <w:left w:val="single" w:color="auto" w:sz="4" w:space="0"/>
              <w:bottom w:val="single" w:color="auto" w:sz="4" w:space="0"/>
              <w:right w:val="single" w:color="auto" w:sz="4" w:space="0"/>
            </w:tcBorders>
            <w:shd w:val="clear" w:color="auto" w:fill="auto"/>
            <w:vAlign w:val="center"/>
          </w:tcPr>
          <w:p w14:paraId="30955EA5">
            <w:pPr>
              <w:jc w:val="center"/>
              <w:rPr>
                <w:rFonts w:ascii="Times New Roman" w:hAnsi="Times New Roman" w:cs="Times New Roman"/>
                <w:color w:val="000000"/>
                <w:sz w:val="21"/>
                <w:szCs w:val="21"/>
              </w:rPr>
            </w:pPr>
            <w:r>
              <w:rPr>
                <w:rFonts w:ascii="Times New Roman" w:hAnsi="Times New Roman" w:cs="Times New Roman"/>
                <w:color w:val="000000"/>
                <w:sz w:val="21"/>
                <w:szCs w:val="21"/>
              </w:rPr>
              <w:t>35000</w:t>
            </w:r>
          </w:p>
        </w:tc>
        <w:tc>
          <w:tcPr>
            <w:tcW w:w="413" w:type="pct"/>
            <w:shd w:val="clear" w:color="auto" w:fill="auto"/>
            <w:vAlign w:val="center"/>
          </w:tcPr>
          <w:p w14:paraId="5407CB0F">
            <w:pPr>
              <w:widowControl/>
              <w:spacing w:line="240" w:lineRule="auto"/>
              <w:jc w:val="center"/>
              <w:rPr>
                <w:rFonts w:ascii="Times New Roman" w:hAnsi="Times New Roman" w:eastAsia="仿宋" w:cs="Times New Roman"/>
                <w:color w:val="auto"/>
                <w:kern w:val="0"/>
                <w:sz w:val="21"/>
                <w:szCs w:val="21"/>
              </w:rPr>
            </w:pPr>
            <w:r>
              <w:rPr>
                <w:rFonts w:ascii="Times New Roman" w:hAnsi="Times New Roman" w:eastAsia="仿宋" w:cs="Times New Roman"/>
                <w:color w:val="auto"/>
                <w:kern w:val="0"/>
                <w:sz w:val="21"/>
                <w:szCs w:val="21"/>
              </w:rPr>
              <w:t>县发展局</w:t>
            </w:r>
          </w:p>
        </w:tc>
        <w:tc>
          <w:tcPr>
            <w:tcW w:w="320" w:type="pct"/>
            <w:vAlign w:val="center"/>
          </w:tcPr>
          <w:p w14:paraId="71399F78">
            <w:pPr>
              <w:widowControl/>
              <w:spacing w:line="240" w:lineRule="auto"/>
              <w:rPr>
                <w:rFonts w:ascii="Times New Roman" w:hAnsi="Times New Roman" w:eastAsia="仿宋" w:cs="Times New Roman"/>
                <w:color w:val="auto"/>
                <w:kern w:val="0"/>
                <w:sz w:val="21"/>
                <w:szCs w:val="21"/>
              </w:rPr>
            </w:pPr>
            <w:r>
              <w:rPr>
                <w:rFonts w:ascii="Times New Roman" w:hAnsi="Times New Roman" w:eastAsia="仿宋" w:cs="Times New Roman"/>
                <w:color w:val="auto"/>
                <w:kern w:val="0"/>
                <w:sz w:val="21"/>
                <w:szCs w:val="21"/>
              </w:rPr>
              <w:t>企业自筹、政府投入</w:t>
            </w:r>
          </w:p>
        </w:tc>
        <w:tc>
          <w:tcPr>
            <w:tcW w:w="569" w:type="pct"/>
            <w:vAlign w:val="center"/>
          </w:tcPr>
          <w:p w14:paraId="242A43C4">
            <w:pPr>
              <w:widowControl/>
              <w:spacing w:line="240" w:lineRule="auto"/>
              <w:jc w:val="center"/>
              <w:textAlignment w:val="center"/>
              <w:rPr>
                <w:rFonts w:ascii="Times New Roman" w:hAnsi="Times New Roman" w:eastAsia="仿宋" w:cs="Times New Roman"/>
                <w:color w:val="auto"/>
                <w:kern w:val="0"/>
                <w:sz w:val="21"/>
                <w:szCs w:val="21"/>
                <w:lang w:bidi="ar"/>
              </w:rPr>
            </w:pPr>
            <w:r>
              <w:rPr>
                <w:rFonts w:ascii="Times New Roman" w:hAnsi="Times New Roman" w:eastAsia="仿宋" w:cs="Times New Roman"/>
                <w:color w:val="auto"/>
                <w:kern w:val="0"/>
                <w:sz w:val="21"/>
                <w:szCs w:val="21"/>
                <w:lang w:bidi="ar"/>
              </w:rPr>
              <w:t>单位地区生产总值能耗</w:t>
            </w:r>
          </w:p>
        </w:tc>
      </w:tr>
      <w:tr w14:paraId="78E87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70" w:type="pct"/>
            <w:vMerge w:val="continue"/>
            <w:vAlign w:val="center"/>
          </w:tcPr>
          <w:p w14:paraId="631359C6">
            <w:pPr>
              <w:spacing w:line="240" w:lineRule="auto"/>
              <w:jc w:val="center"/>
              <w:rPr>
                <w:rFonts w:ascii="Times New Roman" w:hAnsi="Times New Roman" w:eastAsia="仿宋" w:cs="Times New Roman"/>
                <w:color w:val="auto"/>
                <w:sz w:val="21"/>
                <w:szCs w:val="21"/>
              </w:rPr>
            </w:pPr>
          </w:p>
        </w:tc>
        <w:tc>
          <w:tcPr>
            <w:tcW w:w="255" w:type="pct"/>
            <w:noWrap/>
            <w:vAlign w:val="center"/>
          </w:tcPr>
          <w:p w14:paraId="133FB134">
            <w:pPr>
              <w:widowControl/>
              <w:spacing w:line="240" w:lineRule="auto"/>
              <w:jc w:val="center"/>
              <w:textAlignment w:val="center"/>
              <w:rPr>
                <w:rFonts w:ascii="Times New Roman" w:hAnsi="Times New Roman" w:eastAsia="仿宋" w:cs="Times New Roman"/>
                <w:color w:val="auto"/>
                <w:kern w:val="0"/>
                <w:sz w:val="21"/>
                <w:szCs w:val="21"/>
                <w:lang w:bidi="ar"/>
              </w:rPr>
            </w:pPr>
            <w:r>
              <w:rPr>
                <w:rFonts w:ascii="Times New Roman" w:hAnsi="Times New Roman" w:eastAsia="仿宋" w:cs="Times New Roman"/>
                <w:color w:val="auto"/>
                <w:kern w:val="0"/>
                <w:sz w:val="21"/>
                <w:szCs w:val="21"/>
                <w:lang w:bidi="ar"/>
              </w:rPr>
              <w:t>4</w:t>
            </w:r>
          </w:p>
        </w:tc>
        <w:tc>
          <w:tcPr>
            <w:tcW w:w="631" w:type="pct"/>
            <w:tcBorders>
              <w:top w:val="nil"/>
              <w:left w:val="single" w:color="auto" w:sz="4" w:space="0"/>
              <w:bottom w:val="single" w:color="auto" w:sz="4" w:space="0"/>
              <w:right w:val="single" w:color="auto" w:sz="4" w:space="0"/>
            </w:tcBorders>
            <w:shd w:val="clear" w:color="auto" w:fill="auto"/>
            <w:vAlign w:val="center"/>
          </w:tcPr>
          <w:p w14:paraId="17186893">
            <w:pPr>
              <w:widowControl/>
              <w:spacing w:line="240" w:lineRule="auto"/>
              <w:jc w:val="left"/>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新平县哈科迪二期风电场</w:t>
            </w:r>
          </w:p>
        </w:tc>
        <w:tc>
          <w:tcPr>
            <w:tcW w:w="1816" w:type="pct"/>
            <w:tcBorders>
              <w:top w:val="nil"/>
              <w:left w:val="single" w:color="auto" w:sz="4" w:space="0"/>
              <w:bottom w:val="single" w:color="auto" w:sz="4" w:space="0"/>
              <w:right w:val="single" w:color="auto" w:sz="4" w:space="0"/>
            </w:tcBorders>
            <w:shd w:val="clear" w:color="auto" w:fill="auto"/>
            <w:vAlign w:val="center"/>
          </w:tcPr>
          <w:p w14:paraId="7E0BE98A">
            <w:pPr>
              <w:widowControl/>
              <w:spacing w:line="240" w:lineRule="auto"/>
              <w:jc w:val="left"/>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安装风机30台，总装机8万千瓦。</w:t>
            </w:r>
          </w:p>
        </w:tc>
        <w:tc>
          <w:tcPr>
            <w:tcW w:w="408" w:type="pct"/>
            <w:tcBorders>
              <w:top w:val="nil"/>
              <w:left w:val="single" w:color="auto" w:sz="4" w:space="0"/>
              <w:bottom w:val="single" w:color="auto" w:sz="4" w:space="0"/>
              <w:right w:val="single" w:color="auto" w:sz="4" w:space="0"/>
            </w:tcBorders>
            <w:shd w:val="clear" w:color="auto" w:fill="auto"/>
            <w:vAlign w:val="center"/>
          </w:tcPr>
          <w:p w14:paraId="1E93812D">
            <w:pPr>
              <w:jc w:val="center"/>
              <w:rPr>
                <w:rFonts w:ascii="Times New Roman" w:hAnsi="Times New Roman" w:cs="Times New Roman"/>
                <w:color w:val="000000"/>
                <w:sz w:val="21"/>
                <w:szCs w:val="21"/>
              </w:rPr>
            </w:pPr>
            <w:r>
              <w:rPr>
                <w:rFonts w:ascii="Times New Roman" w:hAnsi="Times New Roman" w:cs="Times New Roman"/>
                <w:color w:val="000000"/>
                <w:sz w:val="21"/>
                <w:szCs w:val="21"/>
              </w:rPr>
              <w:t>2024-2026</w:t>
            </w:r>
          </w:p>
        </w:tc>
        <w:tc>
          <w:tcPr>
            <w:tcW w:w="413" w:type="pct"/>
            <w:tcBorders>
              <w:top w:val="nil"/>
              <w:left w:val="single" w:color="auto" w:sz="4" w:space="0"/>
              <w:bottom w:val="single" w:color="auto" w:sz="4" w:space="0"/>
              <w:right w:val="single" w:color="auto" w:sz="4" w:space="0"/>
            </w:tcBorders>
            <w:shd w:val="clear" w:color="auto" w:fill="auto"/>
            <w:vAlign w:val="center"/>
          </w:tcPr>
          <w:p w14:paraId="13F2B039">
            <w:pPr>
              <w:jc w:val="center"/>
              <w:rPr>
                <w:rFonts w:ascii="Times New Roman" w:hAnsi="Times New Roman" w:cs="Times New Roman"/>
                <w:color w:val="000000"/>
                <w:sz w:val="21"/>
                <w:szCs w:val="21"/>
              </w:rPr>
            </w:pPr>
            <w:r>
              <w:rPr>
                <w:rFonts w:ascii="Times New Roman" w:hAnsi="Times New Roman" w:cs="Times New Roman"/>
                <w:color w:val="000000"/>
                <w:sz w:val="21"/>
                <w:szCs w:val="21"/>
              </w:rPr>
              <w:t>56000</w:t>
            </w:r>
          </w:p>
        </w:tc>
        <w:tc>
          <w:tcPr>
            <w:tcW w:w="413" w:type="pct"/>
            <w:shd w:val="clear" w:color="auto" w:fill="auto"/>
            <w:vAlign w:val="center"/>
          </w:tcPr>
          <w:p w14:paraId="042E350C">
            <w:pPr>
              <w:widowControl/>
              <w:spacing w:line="240" w:lineRule="auto"/>
              <w:jc w:val="center"/>
              <w:rPr>
                <w:rFonts w:ascii="Times New Roman" w:hAnsi="Times New Roman" w:eastAsia="仿宋" w:cs="Times New Roman"/>
                <w:color w:val="auto"/>
                <w:kern w:val="0"/>
                <w:sz w:val="21"/>
                <w:szCs w:val="21"/>
              </w:rPr>
            </w:pPr>
            <w:r>
              <w:rPr>
                <w:rFonts w:ascii="Times New Roman" w:hAnsi="Times New Roman" w:eastAsia="仿宋" w:cs="Times New Roman"/>
                <w:color w:val="auto"/>
                <w:kern w:val="0"/>
                <w:sz w:val="21"/>
                <w:szCs w:val="21"/>
              </w:rPr>
              <w:t>县发展局</w:t>
            </w:r>
          </w:p>
        </w:tc>
        <w:tc>
          <w:tcPr>
            <w:tcW w:w="320" w:type="pct"/>
            <w:vAlign w:val="center"/>
          </w:tcPr>
          <w:p w14:paraId="4FC1A4BE">
            <w:pPr>
              <w:widowControl/>
              <w:spacing w:line="240" w:lineRule="auto"/>
              <w:rPr>
                <w:rFonts w:ascii="Times New Roman" w:hAnsi="Times New Roman" w:eastAsia="仿宋" w:cs="Times New Roman"/>
                <w:color w:val="auto"/>
                <w:kern w:val="0"/>
                <w:sz w:val="21"/>
                <w:szCs w:val="21"/>
              </w:rPr>
            </w:pPr>
            <w:r>
              <w:rPr>
                <w:rFonts w:ascii="Times New Roman" w:hAnsi="Times New Roman" w:eastAsia="仿宋" w:cs="Times New Roman"/>
                <w:color w:val="auto"/>
                <w:kern w:val="0"/>
                <w:sz w:val="21"/>
                <w:szCs w:val="21"/>
              </w:rPr>
              <w:t>企业自筹、政府投入</w:t>
            </w:r>
          </w:p>
        </w:tc>
        <w:tc>
          <w:tcPr>
            <w:tcW w:w="569" w:type="pct"/>
            <w:vAlign w:val="center"/>
          </w:tcPr>
          <w:p w14:paraId="641A8A43">
            <w:pPr>
              <w:widowControl/>
              <w:spacing w:line="240" w:lineRule="auto"/>
              <w:jc w:val="center"/>
              <w:textAlignment w:val="center"/>
              <w:rPr>
                <w:rFonts w:ascii="Times New Roman" w:hAnsi="Times New Roman" w:eastAsia="仿宋" w:cs="Times New Roman"/>
                <w:color w:val="auto"/>
                <w:kern w:val="0"/>
                <w:sz w:val="21"/>
                <w:szCs w:val="21"/>
                <w:lang w:bidi="ar"/>
              </w:rPr>
            </w:pPr>
            <w:r>
              <w:rPr>
                <w:rFonts w:ascii="Times New Roman" w:hAnsi="Times New Roman" w:eastAsia="仿宋" w:cs="Times New Roman"/>
                <w:color w:val="auto"/>
                <w:kern w:val="0"/>
                <w:sz w:val="21"/>
                <w:szCs w:val="21"/>
                <w:lang w:bidi="ar"/>
              </w:rPr>
              <w:t>单位地区生产总值能耗</w:t>
            </w:r>
          </w:p>
        </w:tc>
      </w:tr>
      <w:tr w14:paraId="7B2C1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70" w:type="pct"/>
            <w:vMerge w:val="continue"/>
            <w:vAlign w:val="center"/>
          </w:tcPr>
          <w:p w14:paraId="3857DC4F">
            <w:pPr>
              <w:spacing w:line="240" w:lineRule="auto"/>
              <w:jc w:val="center"/>
              <w:rPr>
                <w:rFonts w:ascii="Times New Roman" w:hAnsi="Times New Roman" w:eastAsia="仿宋" w:cs="Times New Roman"/>
                <w:color w:val="auto"/>
                <w:sz w:val="21"/>
                <w:szCs w:val="21"/>
              </w:rPr>
            </w:pPr>
          </w:p>
        </w:tc>
        <w:tc>
          <w:tcPr>
            <w:tcW w:w="255" w:type="pct"/>
            <w:noWrap/>
            <w:vAlign w:val="center"/>
          </w:tcPr>
          <w:p w14:paraId="239E8760">
            <w:pPr>
              <w:widowControl/>
              <w:spacing w:line="240" w:lineRule="auto"/>
              <w:jc w:val="center"/>
              <w:textAlignment w:val="center"/>
              <w:rPr>
                <w:rFonts w:ascii="Times New Roman" w:hAnsi="Times New Roman" w:eastAsia="仿宋" w:cs="Times New Roman"/>
                <w:color w:val="auto"/>
                <w:kern w:val="0"/>
                <w:sz w:val="21"/>
                <w:szCs w:val="21"/>
                <w:lang w:bidi="ar"/>
              </w:rPr>
            </w:pPr>
            <w:r>
              <w:rPr>
                <w:rFonts w:ascii="Times New Roman" w:hAnsi="Times New Roman" w:eastAsia="仿宋" w:cs="Times New Roman"/>
                <w:color w:val="auto"/>
                <w:kern w:val="0"/>
                <w:sz w:val="21"/>
                <w:szCs w:val="21"/>
                <w:lang w:bidi="ar"/>
              </w:rPr>
              <w:t>5</w:t>
            </w:r>
          </w:p>
        </w:tc>
        <w:tc>
          <w:tcPr>
            <w:tcW w:w="631" w:type="pct"/>
            <w:tcBorders>
              <w:top w:val="nil"/>
              <w:left w:val="single" w:color="auto" w:sz="4" w:space="0"/>
              <w:bottom w:val="single" w:color="auto" w:sz="4" w:space="0"/>
              <w:right w:val="single" w:color="auto" w:sz="4" w:space="0"/>
            </w:tcBorders>
            <w:shd w:val="clear" w:color="auto" w:fill="auto"/>
            <w:vAlign w:val="center"/>
          </w:tcPr>
          <w:p w14:paraId="16D4ED5F">
            <w:pPr>
              <w:widowControl/>
              <w:spacing w:line="240" w:lineRule="auto"/>
              <w:jc w:val="left"/>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新平县建兴磨味分散式风电建设项目</w:t>
            </w:r>
          </w:p>
        </w:tc>
        <w:tc>
          <w:tcPr>
            <w:tcW w:w="1816" w:type="pct"/>
            <w:tcBorders>
              <w:top w:val="nil"/>
              <w:left w:val="single" w:color="auto" w:sz="4" w:space="0"/>
              <w:bottom w:val="single" w:color="auto" w:sz="4" w:space="0"/>
              <w:right w:val="single" w:color="auto" w:sz="4" w:space="0"/>
            </w:tcBorders>
            <w:shd w:val="clear" w:color="auto" w:fill="auto"/>
            <w:vAlign w:val="center"/>
          </w:tcPr>
          <w:p w14:paraId="5FE1204D">
            <w:pPr>
              <w:widowControl/>
              <w:spacing w:line="240" w:lineRule="auto"/>
              <w:jc w:val="left"/>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单机容量3000千瓦风机4台，总装机12000千瓦。</w:t>
            </w:r>
          </w:p>
        </w:tc>
        <w:tc>
          <w:tcPr>
            <w:tcW w:w="408" w:type="pct"/>
            <w:tcBorders>
              <w:top w:val="nil"/>
              <w:left w:val="single" w:color="auto" w:sz="4" w:space="0"/>
              <w:bottom w:val="single" w:color="auto" w:sz="4" w:space="0"/>
              <w:right w:val="single" w:color="auto" w:sz="4" w:space="0"/>
            </w:tcBorders>
            <w:shd w:val="clear" w:color="auto" w:fill="auto"/>
            <w:vAlign w:val="center"/>
          </w:tcPr>
          <w:p w14:paraId="1CF69C4B">
            <w:pPr>
              <w:jc w:val="center"/>
              <w:rPr>
                <w:rFonts w:ascii="Times New Roman" w:hAnsi="Times New Roman" w:cs="Times New Roman"/>
                <w:color w:val="000000"/>
                <w:sz w:val="21"/>
                <w:szCs w:val="21"/>
              </w:rPr>
            </w:pPr>
            <w:r>
              <w:rPr>
                <w:rFonts w:ascii="Times New Roman" w:hAnsi="Times New Roman" w:cs="Times New Roman"/>
                <w:color w:val="000000"/>
                <w:sz w:val="21"/>
                <w:szCs w:val="21"/>
              </w:rPr>
              <w:t>2023-2024</w:t>
            </w:r>
          </w:p>
        </w:tc>
        <w:tc>
          <w:tcPr>
            <w:tcW w:w="413" w:type="pct"/>
            <w:tcBorders>
              <w:top w:val="nil"/>
              <w:left w:val="single" w:color="auto" w:sz="4" w:space="0"/>
              <w:bottom w:val="single" w:color="auto" w:sz="4" w:space="0"/>
              <w:right w:val="single" w:color="auto" w:sz="4" w:space="0"/>
            </w:tcBorders>
            <w:shd w:val="clear" w:color="auto" w:fill="auto"/>
            <w:vAlign w:val="center"/>
          </w:tcPr>
          <w:p w14:paraId="1864B9D6">
            <w:pPr>
              <w:jc w:val="center"/>
              <w:rPr>
                <w:rFonts w:ascii="Times New Roman" w:hAnsi="Times New Roman" w:cs="Times New Roman"/>
                <w:color w:val="000000"/>
                <w:sz w:val="21"/>
                <w:szCs w:val="21"/>
              </w:rPr>
            </w:pPr>
            <w:r>
              <w:rPr>
                <w:rFonts w:ascii="Times New Roman" w:hAnsi="Times New Roman" w:cs="Times New Roman"/>
                <w:color w:val="000000"/>
                <w:sz w:val="21"/>
                <w:szCs w:val="21"/>
              </w:rPr>
              <w:t>8400</w:t>
            </w:r>
          </w:p>
        </w:tc>
        <w:tc>
          <w:tcPr>
            <w:tcW w:w="413" w:type="pct"/>
            <w:shd w:val="clear" w:color="auto" w:fill="auto"/>
            <w:vAlign w:val="center"/>
          </w:tcPr>
          <w:p w14:paraId="22D46AB9">
            <w:pPr>
              <w:widowControl/>
              <w:spacing w:line="240" w:lineRule="auto"/>
              <w:jc w:val="center"/>
              <w:rPr>
                <w:rFonts w:ascii="Times New Roman" w:hAnsi="Times New Roman" w:eastAsia="仿宋" w:cs="Times New Roman"/>
                <w:color w:val="auto"/>
                <w:kern w:val="0"/>
                <w:sz w:val="21"/>
                <w:szCs w:val="21"/>
              </w:rPr>
            </w:pPr>
            <w:r>
              <w:rPr>
                <w:rFonts w:ascii="Times New Roman" w:hAnsi="Times New Roman" w:eastAsia="仿宋" w:cs="Times New Roman"/>
                <w:color w:val="auto"/>
                <w:kern w:val="0"/>
                <w:sz w:val="21"/>
                <w:szCs w:val="21"/>
              </w:rPr>
              <w:t>县发展局</w:t>
            </w:r>
          </w:p>
        </w:tc>
        <w:tc>
          <w:tcPr>
            <w:tcW w:w="320" w:type="pct"/>
            <w:vAlign w:val="center"/>
          </w:tcPr>
          <w:p w14:paraId="1EA32140">
            <w:pPr>
              <w:widowControl/>
              <w:spacing w:line="240" w:lineRule="auto"/>
              <w:rPr>
                <w:rFonts w:ascii="Times New Roman" w:hAnsi="Times New Roman" w:eastAsia="仿宋" w:cs="Times New Roman"/>
                <w:color w:val="auto"/>
                <w:kern w:val="0"/>
                <w:sz w:val="21"/>
                <w:szCs w:val="21"/>
              </w:rPr>
            </w:pPr>
            <w:r>
              <w:rPr>
                <w:rFonts w:ascii="Times New Roman" w:hAnsi="Times New Roman" w:eastAsia="仿宋" w:cs="Times New Roman"/>
                <w:color w:val="auto"/>
                <w:kern w:val="0"/>
                <w:sz w:val="21"/>
                <w:szCs w:val="21"/>
              </w:rPr>
              <w:t>企业自筹、政府投入</w:t>
            </w:r>
          </w:p>
        </w:tc>
        <w:tc>
          <w:tcPr>
            <w:tcW w:w="569" w:type="pct"/>
            <w:vAlign w:val="center"/>
          </w:tcPr>
          <w:p w14:paraId="081D8555">
            <w:pPr>
              <w:widowControl/>
              <w:spacing w:line="240" w:lineRule="auto"/>
              <w:jc w:val="center"/>
              <w:textAlignment w:val="center"/>
              <w:rPr>
                <w:rFonts w:ascii="Times New Roman" w:hAnsi="Times New Roman" w:eastAsia="仿宋" w:cs="Times New Roman"/>
                <w:color w:val="auto"/>
                <w:kern w:val="0"/>
                <w:sz w:val="21"/>
                <w:szCs w:val="21"/>
                <w:lang w:bidi="ar"/>
              </w:rPr>
            </w:pPr>
            <w:r>
              <w:rPr>
                <w:rFonts w:ascii="Times New Roman" w:hAnsi="Times New Roman" w:eastAsia="仿宋" w:cs="Times New Roman"/>
                <w:color w:val="auto"/>
                <w:kern w:val="0"/>
                <w:sz w:val="21"/>
                <w:szCs w:val="21"/>
                <w:lang w:bidi="ar"/>
              </w:rPr>
              <w:t>单位地区生产总值能耗</w:t>
            </w:r>
          </w:p>
        </w:tc>
      </w:tr>
      <w:tr w14:paraId="6AB51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70" w:type="pct"/>
            <w:vMerge w:val="continue"/>
            <w:vAlign w:val="center"/>
          </w:tcPr>
          <w:p w14:paraId="5B6A97EA">
            <w:pPr>
              <w:spacing w:line="240" w:lineRule="auto"/>
              <w:jc w:val="center"/>
              <w:rPr>
                <w:rFonts w:ascii="Times New Roman" w:hAnsi="Times New Roman" w:eastAsia="仿宋" w:cs="Times New Roman"/>
                <w:color w:val="auto"/>
                <w:sz w:val="21"/>
                <w:szCs w:val="21"/>
              </w:rPr>
            </w:pPr>
          </w:p>
        </w:tc>
        <w:tc>
          <w:tcPr>
            <w:tcW w:w="255" w:type="pct"/>
            <w:noWrap/>
            <w:vAlign w:val="center"/>
          </w:tcPr>
          <w:p w14:paraId="333389F8">
            <w:pPr>
              <w:widowControl/>
              <w:spacing w:line="240" w:lineRule="auto"/>
              <w:jc w:val="center"/>
              <w:textAlignment w:val="center"/>
              <w:rPr>
                <w:rFonts w:ascii="Times New Roman" w:hAnsi="Times New Roman" w:eastAsia="仿宋" w:cs="Times New Roman"/>
                <w:color w:val="auto"/>
                <w:kern w:val="0"/>
                <w:sz w:val="21"/>
                <w:szCs w:val="21"/>
                <w:lang w:bidi="ar"/>
              </w:rPr>
            </w:pPr>
            <w:r>
              <w:rPr>
                <w:rFonts w:ascii="Times New Roman" w:hAnsi="Times New Roman" w:eastAsia="仿宋" w:cs="Times New Roman"/>
                <w:color w:val="auto"/>
                <w:kern w:val="0"/>
                <w:sz w:val="21"/>
                <w:szCs w:val="21"/>
                <w:lang w:bidi="ar"/>
              </w:rPr>
              <w:t>6</w:t>
            </w:r>
          </w:p>
        </w:tc>
        <w:tc>
          <w:tcPr>
            <w:tcW w:w="631" w:type="pct"/>
            <w:tcBorders>
              <w:top w:val="nil"/>
              <w:left w:val="single" w:color="auto" w:sz="4" w:space="0"/>
              <w:bottom w:val="single" w:color="auto" w:sz="4" w:space="0"/>
              <w:right w:val="single" w:color="auto" w:sz="4" w:space="0"/>
            </w:tcBorders>
            <w:shd w:val="clear" w:color="auto" w:fill="auto"/>
            <w:vAlign w:val="center"/>
          </w:tcPr>
          <w:p w14:paraId="451C604C">
            <w:pPr>
              <w:widowControl/>
              <w:spacing w:line="240" w:lineRule="auto"/>
              <w:jc w:val="left"/>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新平县建兴帽合分散式风电建设项目</w:t>
            </w:r>
          </w:p>
        </w:tc>
        <w:tc>
          <w:tcPr>
            <w:tcW w:w="1816" w:type="pct"/>
            <w:tcBorders>
              <w:top w:val="nil"/>
              <w:left w:val="single" w:color="auto" w:sz="4" w:space="0"/>
              <w:bottom w:val="single" w:color="auto" w:sz="4" w:space="0"/>
              <w:right w:val="single" w:color="auto" w:sz="4" w:space="0"/>
            </w:tcBorders>
            <w:shd w:val="clear" w:color="auto" w:fill="auto"/>
            <w:vAlign w:val="center"/>
          </w:tcPr>
          <w:p w14:paraId="78DB4C0C">
            <w:pPr>
              <w:widowControl/>
              <w:spacing w:line="240" w:lineRule="auto"/>
              <w:jc w:val="left"/>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单机容量3000千瓦风机2台，总装机6000千瓦。</w:t>
            </w:r>
          </w:p>
        </w:tc>
        <w:tc>
          <w:tcPr>
            <w:tcW w:w="408" w:type="pct"/>
            <w:tcBorders>
              <w:top w:val="nil"/>
              <w:left w:val="single" w:color="auto" w:sz="4" w:space="0"/>
              <w:bottom w:val="single" w:color="auto" w:sz="4" w:space="0"/>
              <w:right w:val="single" w:color="auto" w:sz="4" w:space="0"/>
            </w:tcBorders>
            <w:shd w:val="clear" w:color="auto" w:fill="auto"/>
            <w:vAlign w:val="center"/>
          </w:tcPr>
          <w:p w14:paraId="7104A9AF">
            <w:pPr>
              <w:jc w:val="center"/>
              <w:rPr>
                <w:rFonts w:ascii="Times New Roman" w:hAnsi="Times New Roman" w:cs="Times New Roman"/>
                <w:color w:val="000000"/>
                <w:sz w:val="21"/>
                <w:szCs w:val="21"/>
              </w:rPr>
            </w:pPr>
            <w:r>
              <w:rPr>
                <w:rFonts w:ascii="Times New Roman" w:hAnsi="Times New Roman" w:cs="Times New Roman"/>
                <w:color w:val="000000"/>
                <w:sz w:val="21"/>
                <w:szCs w:val="21"/>
              </w:rPr>
              <w:t>2023-2024</w:t>
            </w:r>
          </w:p>
        </w:tc>
        <w:tc>
          <w:tcPr>
            <w:tcW w:w="413" w:type="pct"/>
            <w:tcBorders>
              <w:top w:val="nil"/>
              <w:left w:val="single" w:color="auto" w:sz="4" w:space="0"/>
              <w:bottom w:val="single" w:color="auto" w:sz="4" w:space="0"/>
              <w:right w:val="single" w:color="auto" w:sz="4" w:space="0"/>
            </w:tcBorders>
            <w:shd w:val="clear" w:color="auto" w:fill="auto"/>
            <w:vAlign w:val="center"/>
          </w:tcPr>
          <w:p w14:paraId="77C2D27A">
            <w:pPr>
              <w:jc w:val="center"/>
              <w:rPr>
                <w:rFonts w:ascii="Times New Roman" w:hAnsi="Times New Roman" w:cs="Times New Roman"/>
                <w:color w:val="000000"/>
                <w:sz w:val="21"/>
                <w:szCs w:val="21"/>
              </w:rPr>
            </w:pPr>
            <w:r>
              <w:rPr>
                <w:rFonts w:ascii="Times New Roman" w:hAnsi="Times New Roman" w:cs="Times New Roman"/>
                <w:color w:val="000000"/>
                <w:sz w:val="21"/>
                <w:szCs w:val="21"/>
              </w:rPr>
              <w:t>4200</w:t>
            </w:r>
          </w:p>
        </w:tc>
        <w:tc>
          <w:tcPr>
            <w:tcW w:w="413" w:type="pct"/>
            <w:shd w:val="clear" w:color="auto" w:fill="auto"/>
            <w:vAlign w:val="center"/>
          </w:tcPr>
          <w:p w14:paraId="2BCC6CD0">
            <w:pPr>
              <w:widowControl/>
              <w:spacing w:line="240" w:lineRule="auto"/>
              <w:jc w:val="center"/>
              <w:rPr>
                <w:rFonts w:ascii="Times New Roman" w:hAnsi="Times New Roman" w:eastAsia="仿宋" w:cs="Times New Roman"/>
                <w:color w:val="auto"/>
                <w:kern w:val="0"/>
                <w:sz w:val="21"/>
                <w:szCs w:val="21"/>
              </w:rPr>
            </w:pPr>
            <w:r>
              <w:rPr>
                <w:rFonts w:ascii="Times New Roman" w:hAnsi="Times New Roman" w:eastAsia="仿宋" w:cs="Times New Roman"/>
                <w:color w:val="auto"/>
                <w:kern w:val="0"/>
                <w:sz w:val="21"/>
                <w:szCs w:val="21"/>
              </w:rPr>
              <w:t>县发展局</w:t>
            </w:r>
          </w:p>
        </w:tc>
        <w:tc>
          <w:tcPr>
            <w:tcW w:w="320" w:type="pct"/>
            <w:vAlign w:val="center"/>
          </w:tcPr>
          <w:p w14:paraId="396B1857">
            <w:pPr>
              <w:widowControl/>
              <w:spacing w:line="240" w:lineRule="auto"/>
              <w:rPr>
                <w:rFonts w:ascii="Times New Roman" w:hAnsi="Times New Roman" w:eastAsia="仿宋" w:cs="Times New Roman"/>
                <w:color w:val="auto"/>
                <w:kern w:val="0"/>
                <w:sz w:val="21"/>
                <w:szCs w:val="21"/>
              </w:rPr>
            </w:pPr>
            <w:r>
              <w:rPr>
                <w:rFonts w:ascii="Times New Roman" w:hAnsi="Times New Roman" w:eastAsia="仿宋" w:cs="Times New Roman"/>
                <w:color w:val="auto"/>
                <w:kern w:val="0"/>
                <w:sz w:val="21"/>
                <w:szCs w:val="21"/>
              </w:rPr>
              <w:t>企业自筹、政府投入</w:t>
            </w:r>
          </w:p>
        </w:tc>
        <w:tc>
          <w:tcPr>
            <w:tcW w:w="569" w:type="pct"/>
            <w:vAlign w:val="center"/>
          </w:tcPr>
          <w:p w14:paraId="4A34C452">
            <w:pPr>
              <w:widowControl/>
              <w:spacing w:line="240" w:lineRule="auto"/>
              <w:jc w:val="center"/>
              <w:textAlignment w:val="center"/>
              <w:rPr>
                <w:rFonts w:ascii="Times New Roman" w:hAnsi="Times New Roman" w:eastAsia="仿宋" w:cs="Times New Roman"/>
                <w:color w:val="auto"/>
                <w:kern w:val="0"/>
                <w:sz w:val="21"/>
                <w:szCs w:val="21"/>
                <w:lang w:bidi="ar"/>
              </w:rPr>
            </w:pPr>
            <w:r>
              <w:rPr>
                <w:rFonts w:ascii="Times New Roman" w:hAnsi="Times New Roman" w:eastAsia="仿宋" w:cs="Times New Roman"/>
                <w:color w:val="auto"/>
                <w:kern w:val="0"/>
                <w:sz w:val="21"/>
                <w:szCs w:val="21"/>
                <w:lang w:bidi="ar"/>
              </w:rPr>
              <w:t>单位地区生产总值能耗</w:t>
            </w:r>
          </w:p>
        </w:tc>
      </w:tr>
      <w:tr w14:paraId="30D62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70" w:type="pct"/>
            <w:vMerge w:val="continue"/>
            <w:vAlign w:val="center"/>
          </w:tcPr>
          <w:p w14:paraId="31FE8B9E">
            <w:pPr>
              <w:spacing w:line="240" w:lineRule="auto"/>
              <w:jc w:val="center"/>
              <w:rPr>
                <w:rFonts w:ascii="Times New Roman" w:hAnsi="Times New Roman" w:eastAsia="仿宋" w:cs="Times New Roman"/>
                <w:color w:val="auto"/>
                <w:sz w:val="21"/>
                <w:szCs w:val="21"/>
              </w:rPr>
            </w:pPr>
          </w:p>
        </w:tc>
        <w:tc>
          <w:tcPr>
            <w:tcW w:w="255" w:type="pct"/>
            <w:noWrap/>
            <w:vAlign w:val="center"/>
          </w:tcPr>
          <w:p w14:paraId="37153446">
            <w:pPr>
              <w:widowControl/>
              <w:spacing w:line="240" w:lineRule="auto"/>
              <w:jc w:val="center"/>
              <w:textAlignment w:val="center"/>
              <w:rPr>
                <w:rFonts w:ascii="Times New Roman" w:hAnsi="Times New Roman" w:eastAsia="仿宋" w:cs="Times New Roman"/>
                <w:color w:val="auto"/>
                <w:kern w:val="0"/>
                <w:sz w:val="21"/>
                <w:szCs w:val="21"/>
                <w:lang w:bidi="ar"/>
              </w:rPr>
            </w:pPr>
            <w:r>
              <w:rPr>
                <w:rFonts w:ascii="Times New Roman" w:hAnsi="Times New Roman" w:eastAsia="仿宋" w:cs="Times New Roman"/>
                <w:color w:val="auto"/>
                <w:kern w:val="0"/>
                <w:sz w:val="21"/>
                <w:szCs w:val="21"/>
                <w:lang w:bidi="ar"/>
              </w:rPr>
              <w:t>7</w:t>
            </w:r>
          </w:p>
        </w:tc>
        <w:tc>
          <w:tcPr>
            <w:tcW w:w="631" w:type="pct"/>
            <w:tcBorders>
              <w:top w:val="nil"/>
              <w:left w:val="single" w:color="auto" w:sz="4" w:space="0"/>
              <w:bottom w:val="single" w:color="auto" w:sz="4" w:space="0"/>
              <w:right w:val="single" w:color="auto" w:sz="4" w:space="0"/>
            </w:tcBorders>
            <w:shd w:val="clear" w:color="auto" w:fill="auto"/>
            <w:vAlign w:val="center"/>
          </w:tcPr>
          <w:p w14:paraId="03A36440">
            <w:pPr>
              <w:widowControl/>
              <w:spacing w:line="240" w:lineRule="auto"/>
              <w:jc w:val="left"/>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新平县冒合山光伏电站</w:t>
            </w:r>
          </w:p>
        </w:tc>
        <w:tc>
          <w:tcPr>
            <w:tcW w:w="1816" w:type="pct"/>
            <w:tcBorders>
              <w:top w:val="nil"/>
              <w:left w:val="single" w:color="auto" w:sz="4" w:space="0"/>
              <w:bottom w:val="single" w:color="auto" w:sz="4" w:space="0"/>
              <w:right w:val="single" w:color="auto" w:sz="4" w:space="0"/>
            </w:tcBorders>
            <w:shd w:val="clear" w:color="auto" w:fill="auto"/>
            <w:vAlign w:val="center"/>
          </w:tcPr>
          <w:p w14:paraId="26B4EBFB">
            <w:pPr>
              <w:widowControl/>
              <w:spacing w:line="240" w:lineRule="auto"/>
              <w:jc w:val="left"/>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占地约3000亩，总装机10万千瓦。</w:t>
            </w:r>
          </w:p>
        </w:tc>
        <w:tc>
          <w:tcPr>
            <w:tcW w:w="408" w:type="pct"/>
            <w:tcBorders>
              <w:top w:val="nil"/>
              <w:left w:val="single" w:color="auto" w:sz="4" w:space="0"/>
              <w:bottom w:val="single" w:color="auto" w:sz="4" w:space="0"/>
              <w:right w:val="single" w:color="auto" w:sz="4" w:space="0"/>
            </w:tcBorders>
            <w:shd w:val="clear" w:color="auto" w:fill="auto"/>
            <w:vAlign w:val="center"/>
          </w:tcPr>
          <w:p w14:paraId="1BE23F6B">
            <w:pPr>
              <w:jc w:val="center"/>
              <w:rPr>
                <w:rFonts w:ascii="Times New Roman" w:hAnsi="Times New Roman" w:cs="Times New Roman"/>
                <w:color w:val="000000"/>
                <w:sz w:val="21"/>
                <w:szCs w:val="21"/>
              </w:rPr>
            </w:pPr>
            <w:r>
              <w:rPr>
                <w:rFonts w:ascii="Times New Roman" w:hAnsi="Times New Roman" w:cs="Times New Roman"/>
                <w:color w:val="000000"/>
                <w:sz w:val="21"/>
                <w:szCs w:val="21"/>
              </w:rPr>
              <w:t>2022-2023</w:t>
            </w:r>
          </w:p>
        </w:tc>
        <w:tc>
          <w:tcPr>
            <w:tcW w:w="413" w:type="pct"/>
            <w:tcBorders>
              <w:top w:val="nil"/>
              <w:left w:val="single" w:color="auto" w:sz="4" w:space="0"/>
              <w:bottom w:val="single" w:color="auto" w:sz="4" w:space="0"/>
              <w:right w:val="single" w:color="auto" w:sz="4" w:space="0"/>
            </w:tcBorders>
            <w:shd w:val="clear" w:color="auto" w:fill="auto"/>
            <w:vAlign w:val="center"/>
          </w:tcPr>
          <w:p w14:paraId="703BE4BA">
            <w:pPr>
              <w:jc w:val="center"/>
              <w:rPr>
                <w:rFonts w:ascii="Times New Roman" w:hAnsi="Times New Roman" w:cs="Times New Roman"/>
                <w:color w:val="000000"/>
                <w:sz w:val="21"/>
                <w:szCs w:val="21"/>
              </w:rPr>
            </w:pPr>
            <w:r>
              <w:rPr>
                <w:rFonts w:ascii="Times New Roman" w:hAnsi="Times New Roman" w:cs="Times New Roman"/>
                <w:color w:val="000000"/>
                <w:sz w:val="21"/>
                <w:szCs w:val="21"/>
              </w:rPr>
              <w:t>40000</w:t>
            </w:r>
          </w:p>
        </w:tc>
        <w:tc>
          <w:tcPr>
            <w:tcW w:w="413" w:type="pct"/>
            <w:shd w:val="clear" w:color="auto" w:fill="auto"/>
            <w:vAlign w:val="center"/>
          </w:tcPr>
          <w:p w14:paraId="5508B9DB">
            <w:pPr>
              <w:widowControl/>
              <w:spacing w:line="240" w:lineRule="auto"/>
              <w:jc w:val="center"/>
              <w:rPr>
                <w:rFonts w:ascii="Times New Roman" w:hAnsi="Times New Roman" w:eastAsia="仿宋" w:cs="Times New Roman"/>
                <w:color w:val="auto"/>
                <w:kern w:val="0"/>
                <w:sz w:val="21"/>
                <w:szCs w:val="21"/>
              </w:rPr>
            </w:pPr>
            <w:r>
              <w:rPr>
                <w:rFonts w:ascii="Times New Roman" w:hAnsi="Times New Roman" w:eastAsia="仿宋" w:cs="Times New Roman"/>
                <w:color w:val="auto"/>
                <w:kern w:val="0"/>
                <w:sz w:val="21"/>
                <w:szCs w:val="21"/>
              </w:rPr>
              <w:t>县发展局</w:t>
            </w:r>
          </w:p>
        </w:tc>
        <w:tc>
          <w:tcPr>
            <w:tcW w:w="320" w:type="pct"/>
            <w:vAlign w:val="center"/>
          </w:tcPr>
          <w:p w14:paraId="0C09F15E">
            <w:pPr>
              <w:widowControl/>
              <w:spacing w:line="240" w:lineRule="auto"/>
              <w:rPr>
                <w:rFonts w:ascii="Times New Roman" w:hAnsi="Times New Roman" w:eastAsia="仿宋" w:cs="Times New Roman"/>
                <w:color w:val="auto"/>
                <w:kern w:val="0"/>
                <w:sz w:val="21"/>
                <w:szCs w:val="21"/>
              </w:rPr>
            </w:pPr>
            <w:r>
              <w:rPr>
                <w:rFonts w:ascii="Times New Roman" w:hAnsi="Times New Roman" w:eastAsia="仿宋" w:cs="Times New Roman"/>
                <w:color w:val="auto"/>
                <w:kern w:val="0"/>
                <w:sz w:val="21"/>
                <w:szCs w:val="21"/>
              </w:rPr>
              <w:t>企业自筹、政府投入</w:t>
            </w:r>
          </w:p>
        </w:tc>
        <w:tc>
          <w:tcPr>
            <w:tcW w:w="569" w:type="pct"/>
            <w:vAlign w:val="center"/>
          </w:tcPr>
          <w:p w14:paraId="55EC78A3">
            <w:pPr>
              <w:widowControl/>
              <w:spacing w:line="240" w:lineRule="auto"/>
              <w:jc w:val="center"/>
              <w:textAlignment w:val="center"/>
              <w:rPr>
                <w:rFonts w:ascii="Times New Roman" w:hAnsi="Times New Roman" w:eastAsia="仿宋" w:cs="Times New Roman"/>
                <w:color w:val="auto"/>
                <w:kern w:val="0"/>
                <w:sz w:val="21"/>
                <w:szCs w:val="21"/>
                <w:lang w:bidi="ar"/>
              </w:rPr>
            </w:pPr>
            <w:r>
              <w:rPr>
                <w:rFonts w:ascii="Times New Roman" w:hAnsi="Times New Roman" w:eastAsia="仿宋" w:cs="Times New Roman"/>
                <w:color w:val="auto"/>
                <w:kern w:val="0"/>
                <w:sz w:val="21"/>
                <w:szCs w:val="21"/>
                <w:lang w:bidi="ar"/>
              </w:rPr>
              <w:t>单位地区生产总值能耗</w:t>
            </w:r>
          </w:p>
        </w:tc>
      </w:tr>
      <w:tr w14:paraId="36EE2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70" w:type="pct"/>
            <w:vMerge w:val="continue"/>
            <w:vAlign w:val="center"/>
          </w:tcPr>
          <w:p w14:paraId="723FCDBA">
            <w:pPr>
              <w:spacing w:line="240" w:lineRule="auto"/>
              <w:jc w:val="center"/>
              <w:rPr>
                <w:rFonts w:ascii="Times New Roman" w:hAnsi="Times New Roman" w:eastAsia="仿宋" w:cs="Times New Roman"/>
                <w:color w:val="auto"/>
                <w:sz w:val="21"/>
                <w:szCs w:val="21"/>
              </w:rPr>
            </w:pPr>
          </w:p>
        </w:tc>
        <w:tc>
          <w:tcPr>
            <w:tcW w:w="255" w:type="pct"/>
            <w:noWrap/>
            <w:vAlign w:val="center"/>
          </w:tcPr>
          <w:p w14:paraId="33450EB4">
            <w:pPr>
              <w:widowControl/>
              <w:spacing w:line="240" w:lineRule="auto"/>
              <w:jc w:val="center"/>
              <w:textAlignment w:val="center"/>
              <w:rPr>
                <w:rFonts w:ascii="Times New Roman" w:hAnsi="Times New Roman" w:eastAsia="仿宋" w:cs="Times New Roman"/>
                <w:color w:val="auto"/>
                <w:kern w:val="0"/>
                <w:sz w:val="21"/>
                <w:szCs w:val="21"/>
                <w:lang w:bidi="ar"/>
              </w:rPr>
            </w:pPr>
            <w:r>
              <w:rPr>
                <w:rFonts w:ascii="Times New Roman" w:hAnsi="Times New Roman" w:eastAsia="仿宋" w:cs="Times New Roman"/>
                <w:color w:val="auto"/>
                <w:kern w:val="0"/>
                <w:sz w:val="21"/>
                <w:szCs w:val="21"/>
                <w:lang w:bidi="ar"/>
              </w:rPr>
              <w:t>8</w:t>
            </w:r>
          </w:p>
        </w:tc>
        <w:tc>
          <w:tcPr>
            <w:tcW w:w="631" w:type="pct"/>
            <w:vAlign w:val="center"/>
          </w:tcPr>
          <w:p w14:paraId="6477854C">
            <w:pPr>
              <w:widowControl/>
              <w:spacing w:line="240" w:lineRule="auto"/>
              <w:jc w:val="left"/>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新平县建兴乡蛇纹石开发综合利用项目</w:t>
            </w:r>
          </w:p>
        </w:tc>
        <w:tc>
          <w:tcPr>
            <w:tcW w:w="1816" w:type="pct"/>
            <w:vAlign w:val="center"/>
          </w:tcPr>
          <w:p w14:paraId="3B0EDDCF">
            <w:pPr>
              <w:widowControl/>
              <w:spacing w:line="240" w:lineRule="auto"/>
              <w:jc w:val="left"/>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建设年处理蛇纹石矿20万吨综合选矿厂，形成年产硫酸镍、氧化镁精矿和氧化铁红等多金属5万吨生产能力；并配套一座库容69万立方米尾矿库。</w:t>
            </w:r>
          </w:p>
        </w:tc>
        <w:tc>
          <w:tcPr>
            <w:tcW w:w="408" w:type="pct"/>
            <w:vAlign w:val="center"/>
          </w:tcPr>
          <w:p w14:paraId="3FDE473F">
            <w:pPr>
              <w:widowControl/>
              <w:spacing w:line="240" w:lineRule="auto"/>
              <w:jc w:val="center"/>
              <w:textAlignment w:val="center"/>
              <w:rPr>
                <w:rFonts w:ascii="Times New Roman" w:hAnsi="Times New Roman" w:eastAsia="仿宋" w:cs="Times New Roman"/>
                <w:color w:val="auto"/>
                <w:kern w:val="0"/>
                <w:sz w:val="21"/>
                <w:szCs w:val="21"/>
                <w:lang w:bidi="ar"/>
              </w:rPr>
            </w:pPr>
            <w:r>
              <w:rPr>
                <w:rFonts w:ascii="Times New Roman" w:hAnsi="Times New Roman" w:eastAsia="仿宋" w:cs="Times New Roman"/>
                <w:color w:val="auto"/>
                <w:kern w:val="0"/>
                <w:sz w:val="21"/>
                <w:szCs w:val="21"/>
                <w:lang w:bidi="ar"/>
              </w:rPr>
              <w:t>2022-2024</w:t>
            </w:r>
          </w:p>
        </w:tc>
        <w:tc>
          <w:tcPr>
            <w:tcW w:w="413" w:type="pct"/>
            <w:vAlign w:val="center"/>
          </w:tcPr>
          <w:p w14:paraId="45B0B7A4">
            <w:pPr>
              <w:spacing w:line="240" w:lineRule="auto"/>
              <w:jc w:val="center"/>
              <w:rPr>
                <w:rFonts w:ascii="Times New Roman" w:hAnsi="Times New Roman" w:eastAsia="仿宋" w:cs="Times New Roman"/>
                <w:color w:val="auto"/>
                <w:kern w:val="0"/>
                <w:sz w:val="21"/>
                <w:szCs w:val="21"/>
                <w:lang w:bidi="ar"/>
              </w:rPr>
            </w:pPr>
            <w:r>
              <w:rPr>
                <w:rFonts w:ascii="Times New Roman" w:hAnsi="Times New Roman" w:eastAsia="仿宋" w:cs="Times New Roman"/>
                <w:color w:val="auto"/>
                <w:kern w:val="0"/>
                <w:sz w:val="21"/>
                <w:szCs w:val="21"/>
                <w:lang w:bidi="ar"/>
              </w:rPr>
              <w:t>30000</w:t>
            </w:r>
          </w:p>
        </w:tc>
        <w:tc>
          <w:tcPr>
            <w:tcW w:w="413" w:type="pct"/>
            <w:vAlign w:val="center"/>
          </w:tcPr>
          <w:p w14:paraId="14389409">
            <w:pPr>
              <w:widowControl/>
              <w:spacing w:line="240" w:lineRule="auto"/>
              <w:jc w:val="center"/>
              <w:rPr>
                <w:rFonts w:ascii="Times New Roman" w:hAnsi="Times New Roman" w:eastAsia="仿宋" w:cs="Times New Roman"/>
                <w:color w:val="auto"/>
                <w:kern w:val="0"/>
                <w:sz w:val="21"/>
                <w:szCs w:val="21"/>
              </w:rPr>
            </w:pPr>
            <w:r>
              <w:rPr>
                <w:rFonts w:ascii="Times New Roman" w:hAnsi="Times New Roman" w:eastAsia="仿宋" w:cs="Times New Roman"/>
                <w:color w:val="auto"/>
                <w:kern w:val="0"/>
                <w:sz w:val="21"/>
                <w:szCs w:val="21"/>
              </w:rPr>
              <w:t>县工信局</w:t>
            </w:r>
          </w:p>
        </w:tc>
        <w:tc>
          <w:tcPr>
            <w:tcW w:w="320" w:type="pct"/>
            <w:vAlign w:val="center"/>
          </w:tcPr>
          <w:p w14:paraId="4607491A">
            <w:pPr>
              <w:widowControl/>
              <w:spacing w:line="240" w:lineRule="auto"/>
              <w:jc w:val="center"/>
              <w:rPr>
                <w:rFonts w:ascii="Times New Roman" w:hAnsi="Times New Roman" w:eastAsia="仿宋" w:cs="Times New Roman"/>
                <w:color w:val="auto"/>
                <w:kern w:val="0"/>
                <w:sz w:val="21"/>
                <w:szCs w:val="21"/>
              </w:rPr>
            </w:pPr>
            <w:r>
              <w:rPr>
                <w:rFonts w:ascii="Times New Roman" w:hAnsi="Times New Roman" w:eastAsia="仿宋" w:cs="Times New Roman"/>
                <w:color w:val="auto"/>
                <w:kern w:val="0"/>
                <w:sz w:val="21"/>
                <w:szCs w:val="21"/>
              </w:rPr>
              <w:t>企业自筹、政府投入</w:t>
            </w:r>
          </w:p>
        </w:tc>
        <w:tc>
          <w:tcPr>
            <w:tcW w:w="569" w:type="pct"/>
            <w:vAlign w:val="center"/>
          </w:tcPr>
          <w:p w14:paraId="6249C671">
            <w:pPr>
              <w:widowControl/>
              <w:spacing w:line="240" w:lineRule="auto"/>
              <w:jc w:val="center"/>
              <w:textAlignment w:val="center"/>
              <w:rPr>
                <w:rFonts w:ascii="Times New Roman" w:hAnsi="Times New Roman" w:eastAsia="仿宋" w:cs="Times New Roman"/>
                <w:color w:val="auto"/>
                <w:kern w:val="0"/>
                <w:sz w:val="21"/>
                <w:szCs w:val="21"/>
                <w:lang w:bidi="ar"/>
              </w:rPr>
            </w:pPr>
            <w:r>
              <w:rPr>
                <w:rFonts w:ascii="Times New Roman" w:hAnsi="Times New Roman" w:eastAsia="仿宋" w:cs="Times New Roman"/>
                <w:color w:val="auto"/>
                <w:kern w:val="0"/>
                <w:sz w:val="21"/>
                <w:szCs w:val="21"/>
                <w:lang w:bidi="ar"/>
              </w:rPr>
              <w:t>一般工业固体废物综合利用率提高幅度</w:t>
            </w:r>
          </w:p>
        </w:tc>
      </w:tr>
      <w:tr w14:paraId="116AA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70" w:type="pct"/>
            <w:vMerge w:val="continue"/>
            <w:vAlign w:val="center"/>
          </w:tcPr>
          <w:p w14:paraId="2159F45E">
            <w:pPr>
              <w:spacing w:line="240" w:lineRule="auto"/>
              <w:jc w:val="center"/>
              <w:rPr>
                <w:rFonts w:ascii="Times New Roman" w:hAnsi="Times New Roman" w:eastAsia="仿宋" w:cs="Times New Roman"/>
                <w:color w:val="auto"/>
                <w:sz w:val="21"/>
                <w:szCs w:val="21"/>
              </w:rPr>
            </w:pPr>
          </w:p>
        </w:tc>
        <w:tc>
          <w:tcPr>
            <w:tcW w:w="255" w:type="pct"/>
            <w:noWrap/>
            <w:vAlign w:val="center"/>
          </w:tcPr>
          <w:p w14:paraId="3A6B5DF9">
            <w:pPr>
              <w:widowControl/>
              <w:spacing w:line="240" w:lineRule="auto"/>
              <w:jc w:val="center"/>
              <w:textAlignment w:val="center"/>
              <w:rPr>
                <w:rFonts w:ascii="Times New Roman" w:hAnsi="Times New Roman" w:eastAsia="仿宋" w:cs="Times New Roman"/>
                <w:color w:val="auto"/>
                <w:kern w:val="0"/>
                <w:sz w:val="21"/>
                <w:szCs w:val="21"/>
                <w:lang w:bidi="ar"/>
              </w:rPr>
            </w:pPr>
            <w:r>
              <w:rPr>
                <w:rFonts w:ascii="Times New Roman" w:hAnsi="Times New Roman" w:eastAsia="仿宋" w:cs="Times New Roman"/>
                <w:color w:val="auto"/>
                <w:kern w:val="0"/>
                <w:sz w:val="21"/>
                <w:szCs w:val="21"/>
                <w:lang w:bidi="ar"/>
              </w:rPr>
              <w:t>9</w:t>
            </w:r>
          </w:p>
        </w:tc>
        <w:tc>
          <w:tcPr>
            <w:tcW w:w="631" w:type="pct"/>
            <w:vAlign w:val="center"/>
          </w:tcPr>
          <w:p w14:paraId="172038E0">
            <w:pPr>
              <w:widowControl/>
              <w:spacing w:line="240" w:lineRule="auto"/>
              <w:jc w:val="left"/>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新平县固体废弃物资源再生开发利用建设项目</w:t>
            </w:r>
          </w:p>
        </w:tc>
        <w:tc>
          <w:tcPr>
            <w:tcW w:w="1816" w:type="pct"/>
            <w:vAlign w:val="center"/>
          </w:tcPr>
          <w:p w14:paraId="302F4EE8">
            <w:pPr>
              <w:widowControl/>
              <w:spacing w:line="240" w:lineRule="auto"/>
              <w:jc w:val="left"/>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年处理并生产资源再生开发利用产品50万吨。</w:t>
            </w:r>
          </w:p>
        </w:tc>
        <w:tc>
          <w:tcPr>
            <w:tcW w:w="408" w:type="pct"/>
            <w:vAlign w:val="center"/>
          </w:tcPr>
          <w:p w14:paraId="5BC43F24">
            <w:pPr>
              <w:widowControl/>
              <w:spacing w:line="240" w:lineRule="auto"/>
              <w:jc w:val="center"/>
              <w:textAlignment w:val="center"/>
              <w:rPr>
                <w:rFonts w:ascii="Times New Roman" w:hAnsi="Times New Roman" w:eastAsia="仿宋" w:cs="Times New Roman"/>
                <w:color w:val="auto"/>
                <w:kern w:val="0"/>
                <w:sz w:val="21"/>
                <w:szCs w:val="21"/>
                <w:lang w:bidi="ar"/>
              </w:rPr>
            </w:pPr>
            <w:r>
              <w:rPr>
                <w:rFonts w:ascii="Times New Roman" w:hAnsi="Times New Roman" w:eastAsia="仿宋" w:cs="Times New Roman"/>
                <w:color w:val="auto"/>
                <w:kern w:val="0"/>
                <w:sz w:val="21"/>
                <w:szCs w:val="21"/>
                <w:lang w:bidi="ar"/>
              </w:rPr>
              <w:t>2022-2025</w:t>
            </w:r>
          </w:p>
        </w:tc>
        <w:tc>
          <w:tcPr>
            <w:tcW w:w="413" w:type="pct"/>
            <w:vAlign w:val="center"/>
          </w:tcPr>
          <w:p w14:paraId="22FEC8AA">
            <w:pPr>
              <w:spacing w:line="240" w:lineRule="auto"/>
              <w:jc w:val="center"/>
              <w:rPr>
                <w:rFonts w:ascii="Times New Roman" w:hAnsi="Times New Roman" w:eastAsia="仿宋" w:cs="Times New Roman"/>
                <w:color w:val="auto"/>
                <w:kern w:val="0"/>
                <w:sz w:val="21"/>
                <w:szCs w:val="21"/>
                <w:lang w:bidi="ar"/>
              </w:rPr>
            </w:pPr>
            <w:r>
              <w:rPr>
                <w:rFonts w:ascii="Times New Roman" w:hAnsi="Times New Roman" w:eastAsia="仿宋" w:cs="Times New Roman"/>
                <w:color w:val="auto"/>
                <w:kern w:val="0"/>
                <w:sz w:val="21"/>
                <w:szCs w:val="21"/>
                <w:lang w:bidi="ar"/>
              </w:rPr>
              <w:t>6000</w:t>
            </w:r>
          </w:p>
        </w:tc>
        <w:tc>
          <w:tcPr>
            <w:tcW w:w="413" w:type="pct"/>
            <w:vAlign w:val="center"/>
          </w:tcPr>
          <w:p w14:paraId="14314CC1">
            <w:pPr>
              <w:widowControl/>
              <w:spacing w:line="240" w:lineRule="auto"/>
              <w:jc w:val="center"/>
              <w:rPr>
                <w:rFonts w:ascii="Times New Roman" w:hAnsi="Times New Roman" w:eastAsia="仿宋" w:cs="Times New Roman"/>
                <w:color w:val="auto"/>
                <w:kern w:val="0"/>
                <w:sz w:val="21"/>
                <w:szCs w:val="21"/>
              </w:rPr>
            </w:pPr>
            <w:r>
              <w:rPr>
                <w:rFonts w:ascii="Times New Roman" w:hAnsi="Times New Roman" w:eastAsia="仿宋" w:cs="Times New Roman"/>
                <w:color w:val="auto"/>
                <w:kern w:val="0"/>
                <w:sz w:val="21"/>
                <w:szCs w:val="21"/>
              </w:rPr>
              <w:t>新平工业园区</w:t>
            </w:r>
          </w:p>
        </w:tc>
        <w:tc>
          <w:tcPr>
            <w:tcW w:w="320" w:type="pct"/>
            <w:vAlign w:val="center"/>
          </w:tcPr>
          <w:p w14:paraId="6742D93F">
            <w:pPr>
              <w:widowControl/>
              <w:spacing w:line="240" w:lineRule="auto"/>
              <w:rPr>
                <w:rFonts w:ascii="Times New Roman" w:hAnsi="Times New Roman" w:eastAsia="仿宋" w:cs="Times New Roman"/>
                <w:color w:val="auto"/>
                <w:kern w:val="0"/>
                <w:sz w:val="21"/>
                <w:szCs w:val="21"/>
              </w:rPr>
            </w:pPr>
            <w:r>
              <w:rPr>
                <w:rFonts w:ascii="Times New Roman" w:hAnsi="Times New Roman" w:eastAsia="仿宋" w:cs="Times New Roman"/>
                <w:color w:val="auto"/>
                <w:kern w:val="0"/>
                <w:sz w:val="21"/>
                <w:szCs w:val="21"/>
              </w:rPr>
              <w:t>政府投入</w:t>
            </w:r>
          </w:p>
        </w:tc>
        <w:tc>
          <w:tcPr>
            <w:tcW w:w="569" w:type="pct"/>
            <w:vAlign w:val="center"/>
          </w:tcPr>
          <w:p w14:paraId="39222477">
            <w:pPr>
              <w:widowControl/>
              <w:spacing w:line="240" w:lineRule="auto"/>
              <w:jc w:val="center"/>
              <w:textAlignment w:val="center"/>
              <w:rPr>
                <w:rFonts w:ascii="Times New Roman" w:hAnsi="Times New Roman" w:eastAsia="仿宋" w:cs="Times New Roman"/>
                <w:color w:val="auto"/>
                <w:kern w:val="0"/>
                <w:sz w:val="21"/>
                <w:szCs w:val="21"/>
                <w:lang w:bidi="ar"/>
              </w:rPr>
            </w:pPr>
            <w:r>
              <w:rPr>
                <w:rFonts w:ascii="Times New Roman" w:hAnsi="Times New Roman" w:eastAsia="仿宋" w:cs="Times New Roman"/>
                <w:color w:val="auto"/>
                <w:kern w:val="0"/>
                <w:sz w:val="21"/>
                <w:szCs w:val="21"/>
                <w:lang w:bidi="ar"/>
              </w:rPr>
              <w:t>一般工业固体废物综合利用率提高幅度</w:t>
            </w:r>
          </w:p>
        </w:tc>
      </w:tr>
      <w:tr w14:paraId="253C4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170" w:type="pct"/>
            <w:vMerge w:val="continue"/>
            <w:vAlign w:val="center"/>
          </w:tcPr>
          <w:p w14:paraId="37961943">
            <w:pPr>
              <w:spacing w:line="240" w:lineRule="auto"/>
              <w:jc w:val="center"/>
              <w:rPr>
                <w:rFonts w:ascii="Times New Roman" w:hAnsi="Times New Roman" w:eastAsia="仿宋" w:cs="Times New Roman"/>
                <w:color w:val="auto"/>
                <w:sz w:val="21"/>
                <w:szCs w:val="21"/>
              </w:rPr>
            </w:pPr>
          </w:p>
        </w:tc>
        <w:tc>
          <w:tcPr>
            <w:tcW w:w="255" w:type="pct"/>
            <w:noWrap/>
            <w:vAlign w:val="center"/>
          </w:tcPr>
          <w:p w14:paraId="1085AC79">
            <w:pPr>
              <w:widowControl/>
              <w:spacing w:line="240" w:lineRule="auto"/>
              <w:jc w:val="center"/>
              <w:textAlignment w:val="center"/>
              <w:rPr>
                <w:rFonts w:ascii="Times New Roman" w:hAnsi="Times New Roman" w:eastAsia="仿宋" w:cs="Times New Roman"/>
                <w:color w:val="auto"/>
                <w:kern w:val="0"/>
                <w:sz w:val="21"/>
                <w:szCs w:val="21"/>
                <w:lang w:bidi="ar"/>
              </w:rPr>
            </w:pPr>
            <w:r>
              <w:rPr>
                <w:rFonts w:ascii="Times New Roman" w:hAnsi="Times New Roman" w:eastAsia="仿宋" w:cs="Times New Roman"/>
                <w:color w:val="auto"/>
                <w:kern w:val="0"/>
                <w:sz w:val="21"/>
                <w:szCs w:val="21"/>
                <w:lang w:bidi="ar"/>
              </w:rPr>
              <w:t>10</w:t>
            </w:r>
          </w:p>
        </w:tc>
        <w:tc>
          <w:tcPr>
            <w:tcW w:w="631" w:type="pct"/>
            <w:vAlign w:val="center"/>
          </w:tcPr>
          <w:p w14:paraId="4C472146">
            <w:pPr>
              <w:widowControl/>
              <w:spacing w:line="240" w:lineRule="auto"/>
              <w:jc w:val="left"/>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新平县生物质能源加工厂建设项目</w:t>
            </w:r>
          </w:p>
        </w:tc>
        <w:tc>
          <w:tcPr>
            <w:tcW w:w="1816" w:type="pct"/>
            <w:vAlign w:val="center"/>
          </w:tcPr>
          <w:p w14:paraId="5A8D8ACB">
            <w:pPr>
              <w:widowControl/>
              <w:spacing w:line="240" w:lineRule="auto"/>
              <w:jc w:val="left"/>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利用秸秆、修剪树枝、废旧木材生产生物质碳，年生产规模2万吨。</w:t>
            </w:r>
          </w:p>
        </w:tc>
        <w:tc>
          <w:tcPr>
            <w:tcW w:w="408" w:type="pct"/>
            <w:vAlign w:val="center"/>
          </w:tcPr>
          <w:p w14:paraId="215B8CDD">
            <w:pPr>
              <w:widowControl/>
              <w:spacing w:line="240" w:lineRule="auto"/>
              <w:jc w:val="center"/>
              <w:textAlignment w:val="center"/>
              <w:rPr>
                <w:rFonts w:ascii="Times New Roman" w:hAnsi="Times New Roman" w:eastAsia="仿宋" w:cs="Times New Roman"/>
                <w:color w:val="auto"/>
                <w:kern w:val="0"/>
                <w:sz w:val="21"/>
                <w:szCs w:val="21"/>
                <w:lang w:bidi="ar"/>
              </w:rPr>
            </w:pPr>
            <w:r>
              <w:rPr>
                <w:rFonts w:ascii="Times New Roman" w:hAnsi="Times New Roman" w:eastAsia="仿宋" w:cs="Times New Roman"/>
                <w:color w:val="auto"/>
                <w:kern w:val="0"/>
                <w:sz w:val="21"/>
                <w:szCs w:val="21"/>
                <w:lang w:bidi="ar"/>
              </w:rPr>
              <w:t>2024-2025</w:t>
            </w:r>
          </w:p>
        </w:tc>
        <w:tc>
          <w:tcPr>
            <w:tcW w:w="413" w:type="pct"/>
            <w:vAlign w:val="center"/>
          </w:tcPr>
          <w:p w14:paraId="5BD0C549">
            <w:pPr>
              <w:spacing w:line="240" w:lineRule="auto"/>
              <w:jc w:val="center"/>
              <w:rPr>
                <w:rFonts w:ascii="Times New Roman" w:hAnsi="Times New Roman" w:eastAsia="仿宋" w:cs="Times New Roman"/>
                <w:color w:val="auto"/>
                <w:kern w:val="0"/>
                <w:sz w:val="21"/>
                <w:szCs w:val="21"/>
              </w:rPr>
            </w:pPr>
            <w:r>
              <w:rPr>
                <w:rFonts w:ascii="Times New Roman" w:hAnsi="Times New Roman" w:eastAsia="仿宋" w:cs="Times New Roman"/>
                <w:color w:val="auto"/>
                <w:kern w:val="0"/>
                <w:sz w:val="21"/>
                <w:szCs w:val="21"/>
              </w:rPr>
              <w:t>1000</w:t>
            </w:r>
          </w:p>
        </w:tc>
        <w:tc>
          <w:tcPr>
            <w:tcW w:w="413" w:type="pct"/>
            <w:vAlign w:val="center"/>
          </w:tcPr>
          <w:p w14:paraId="2687C21D">
            <w:pPr>
              <w:widowControl/>
              <w:spacing w:line="240" w:lineRule="auto"/>
              <w:jc w:val="center"/>
              <w:rPr>
                <w:rFonts w:ascii="Times New Roman" w:hAnsi="Times New Roman" w:eastAsia="仿宋" w:cs="Times New Roman"/>
                <w:color w:val="auto"/>
                <w:kern w:val="0"/>
                <w:sz w:val="21"/>
                <w:szCs w:val="21"/>
              </w:rPr>
            </w:pPr>
            <w:r>
              <w:rPr>
                <w:rFonts w:ascii="Times New Roman" w:hAnsi="Times New Roman" w:eastAsia="仿宋" w:cs="Times New Roman"/>
                <w:color w:val="auto"/>
                <w:kern w:val="0"/>
                <w:sz w:val="21"/>
                <w:szCs w:val="21"/>
              </w:rPr>
              <w:t>县农业农村局</w:t>
            </w:r>
          </w:p>
        </w:tc>
        <w:tc>
          <w:tcPr>
            <w:tcW w:w="320" w:type="pct"/>
            <w:vAlign w:val="center"/>
          </w:tcPr>
          <w:p w14:paraId="628F4705">
            <w:pPr>
              <w:widowControl/>
              <w:spacing w:line="240" w:lineRule="auto"/>
              <w:jc w:val="center"/>
              <w:rPr>
                <w:rFonts w:ascii="Times New Roman" w:hAnsi="Times New Roman" w:eastAsia="仿宋" w:cs="Times New Roman"/>
                <w:color w:val="auto"/>
                <w:kern w:val="0"/>
                <w:sz w:val="21"/>
                <w:szCs w:val="21"/>
              </w:rPr>
            </w:pPr>
            <w:r>
              <w:rPr>
                <w:rFonts w:ascii="Times New Roman" w:hAnsi="Times New Roman" w:eastAsia="仿宋" w:cs="Times New Roman"/>
                <w:color w:val="auto"/>
                <w:kern w:val="0"/>
                <w:sz w:val="21"/>
                <w:szCs w:val="21"/>
              </w:rPr>
              <w:t>政府投入</w:t>
            </w:r>
          </w:p>
        </w:tc>
        <w:tc>
          <w:tcPr>
            <w:tcW w:w="569" w:type="pct"/>
            <w:vAlign w:val="center"/>
          </w:tcPr>
          <w:p w14:paraId="1DE0FF03">
            <w:pPr>
              <w:widowControl/>
              <w:spacing w:line="240" w:lineRule="auto"/>
              <w:jc w:val="center"/>
              <w:textAlignment w:val="center"/>
              <w:rPr>
                <w:rFonts w:ascii="Times New Roman" w:hAnsi="Times New Roman" w:eastAsia="仿宋" w:cs="Times New Roman"/>
                <w:color w:val="auto"/>
                <w:kern w:val="0"/>
                <w:sz w:val="21"/>
                <w:szCs w:val="21"/>
                <w:lang w:bidi="ar"/>
              </w:rPr>
            </w:pPr>
            <w:r>
              <w:rPr>
                <w:rFonts w:ascii="Times New Roman" w:hAnsi="Times New Roman" w:eastAsia="仿宋" w:cs="Times New Roman"/>
                <w:color w:val="auto"/>
                <w:kern w:val="0"/>
                <w:sz w:val="21"/>
                <w:szCs w:val="21"/>
                <w:lang w:bidi="ar"/>
              </w:rPr>
              <w:t>农业废弃物综合利用率</w:t>
            </w:r>
          </w:p>
        </w:tc>
      </w:tr>
      <w:tr w14:paraId="403E3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 w:hRule="atLeast"/>
          <w:jc w:val="center"/>
        </w:trPr>
        <w:tc>
          <w:tcPr>
            <w:tcW w:w="170" w:type="pct"/>
            <w:vMerge w:val="continue"/>
            <w:vAlign w:val="center"/>
          </w:tcPr>
          <w:p w14:paraId="053BD4E3">
            <w:pPr>
              <w:spacing w:line="240" w:lineRule="auto"/>
              <w:jc w:val="center"/>
              <w:rPr>
                <w:rFonts w:ascii="Times New Roman" w:hAnsi="Times New Roman" w:eastAsia="仿宋" w:cs="Times New Roman"/>
                <w:color w:val="auto"/>
                <w:sz w:val="21"/>
                <w:szCs w:val="21"/>
              </w:rPr>
            </w:pPr>
          </w:p>
        </w:tc>
        <w:tc>
          <w:tcPr>
            <w:tcW w:w="255" w:type="pct"/>
            <w:noWrap/>
            <w:vAlign w:val="center"/>
          </w:tcPr>
          <w:p w14:paraId="42AE5E93">
            <w:pPr>
              <w:widowControl/>
              <w:spacing w:line="240" w:lineRule="auto"/>
              <w:jc w:val="center"/>
              <w:textAlignment w:val="center"/>
              <w:rPr>
                <w:rFonts w:ascii="Times New Roman" w:hAnsi="Times New Roman" w:eastAsia="仿宋" w:cs="Times New Roman"/>
                <w:color w:val="auto"/>
                <w:sz w:val="21"/>
                <w:szCs w:val="21"/>
              </w:rPr>
            </w:pPr>
            <w:r>
              <w:rPr>
                <w:rFonts w:ascii="Times New Roman" w:hAnsi="Times New Roman" w:eastAsia="仿宋" w:cs="Times New Roman"/>
                <w:color w:val="auto"/>
                <w:sz w:val="21"/>
                <w:szCs w:val="21"/>
              </w:rPr>
              <w:t>11</w:t>
            </w:r>
          </w:p>
        </w:tc>
        <w:tc>
          <w:tcPr>
            <w:tcW w:w="631" w:type="pct"/>
            <w:vAlign w:val="center"/>
          </w:tcPr>
          <w:p w14:paraId="7E233275">
            <w:pPr>
              <w:widowControl/>
              <w:spacing w:line="240" w:lineRule="auto"/>
              <w:jc w:val="left"/>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新平县畜禽粪污资源化利用整县推进项目</w:t>
            </w:r>
          </w:p>
        </w:tc>
        <w:tc>
          <w:tcPr>
            <w:tcW w:w="1816" w:type="pct"/>
            <w:vAlign w:val="center"/>
          </w:tcPr>
          <w:p w14:paraId="2DD24E73">
            <w:pPr>
              <w:widowControl/>
              <w:spacing w:line="240" w:lineRule="auto"/>
              <w:jc w:val="left"/>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新平县畜禽粪污资源化利用整县推进项目有机肥加工厂升级改造工程（新平林丰农业科技有限公司、新平民兴蛋鸡养殖场、新平晶凯生物科技有限公司），主要建设内容原材料仓库35500平方米、有机肥生产设备3套等；另再建设3家有机肥厂，总年产有机肥21万吨。</w:t>
            </w:r>
          </w:p>
        </w:tc>
        <w:tc>
          <w:tcPr>
            <w:tcW w:w="408" w:type="pct"/>
            <w:vAlign w:val="center"/>
          </w:tcPr>
          <w:p w14:paraId="17BD90C5">
            <w:pPr>
              <w:widowControl/>
              <w:spacing w:line="240" w:lineRule="auto"/>
              <w:jc w:val="center"/>
              <w:textAlignment w:val="center"/>
              <w:rPr>
                <w:rFonts w:ascii="Times New Roman" w:hAnsi="Times New Roman" w:eastAsia="仿宋" w:cs="Times New Roman"/>
                <w:color w:val="auto"/>
                <w:sz w:val="21"/>
                <w:szCs w:val="21"/>
              </w:rPr>
            </w:pPr>
            <w:r>
              <w:rPr>
                <w:rFonts w:ascii="Times New Roman" w:hAnsi="Times New Roman" w:eastAsia="仿宋" w:cs="Times New Roman"/>
                <w:color w:val="auto"/>
                <w:kern w:val="0"/>
                <w:sz w:val="21"/>
                <w:szCs w:val="21"/>
                <w:lang w:bidi="ar"/>
              </w:rPr>
              <w:t>2021-2025</w:t>
            </w:r>
          </w:p>
        </w:tc>
        <w:tc>
          <w:tcPr>
            <w:tcW w:w="413" w:type="pct"/>
            <w:vAlign w:val="center"/>
          </w:tcPr>
          <w:p w14:paraId="00D4E203">
            <w:pPr>
              <w:widowControl/>
              <w:spacing w:line="240" w:lineRule="auto"/>
              <w:jc w:val="center"/>
              <w:textAlignment w:val="center"/>
              <w:rPr>
                <w:rFonts w:ascii="Times New Roman" w:hAnsi="Times New Roman" w:eastAsia="仿宋" w:cs="Times New Roman"/>
                <w:color w:val="auto"/>
                <w:sz w:val="21"/>
                <w:szCs w:val="21"/>
              </w:rPr>
            </w:pPr>
            <w:r>
              <w:rPr>
                <w:rFonts w:ascii="Times New Roman" w:hAnsi="Times New Roman" w:eastAsia="仿宋" w:cs="Times New Roman"/>
                <w:color w:val="auto"/>
                <w:kern w:val="0"/>
                <w:sz w:val="21"/>
                <w:szCs w:val="21"/>
                <w:lang w:bidi="ar"/>
              </w:rPr>
              <w:t>14694</w:t>
            </w:r>
          </w:p>
        </w:tc>
        <w:tc>
          <w:tcPr>
            <w:tcW w:w="413" w:type="pct"/>
            <w:vAlign w:val="center"/>
          </w:tcPr>
          <w:p w14:paraId="527C8B21">
            <w:pPr>
              <w:widowControl/>
              <w:spacing w:line="240" w:lineRule="auto"/>
              <w:jc w:val="center"/>
              <w:textAlignment w:val="center"/>
              <w:rPr>
                <w:rFonts w:ascii="Times New Roman" w:hAnsi="Times New Roman" w:eastAsia="仿宋" w:cs="Times New Roman"/>
                <w:color w:val="auto"/>
                <w:sz w:val="21"/>
                <w:szCs w:val="21"/>
              </w:rPr>
            </w:pPr>
            <w:r>
              <w:rPr>
                <w:rFonts w:hint="eastAsia" w:ascii="Times New Roman" w:hAnsi="Times New Roman" w:eastAsia="仿宋" w:cs="Times New Roman"/>
                <w:color w:val="auto"/>
                <w:kern w:val="0"/>
                <w:sz w:val="21"/>
                <w:szCs w:val="21"/>
                <w:lang w:val="en-US" w:eastAsia="zh-CN" w:bidi="ar"/>
              </w:rPr>
              <w:t>县</w:t>
            </w:r>
            <w:r>
              <w:rPr>
                <w:rFonts w:ascii="Times New Roman" w:hAnsi="Times New Roman" w:eastAsia="仿宋" w:cs="Times New Roman"/>
                <w:color w:val="auto"/>
                <w:kern w:val="0"/>
                <w:sz w:val="21"/>
                <w:szCs w:val="21"/>
                <w:lang w:bidi="ar"/>
              </w:rPr>
              <w:t>农业农村局</w:t>
            </w:r>
          </w:p>
        </w:tc>
        <w:tc>
          <w:tcPr>
            <w:tcW w:w="320" w:type="pct"/>
            <w:vAlign w:val="center"/>
          </w:tcPr>
          <w:p w14:paraId="454BDC71">
            <w:pPr>
              <w:widowControl/>
              <w:spacing w:line="240" w:lineRule="auto"/>
              <w:jc w:val="center"/>
              <w:textAlignment w:val="center"/>
              <w:rPr>
                <w:rFonts w:ascii="Times New Roman" w:hAnsi="Times New Roman" w:eastAsia="仿宋" w:cs="Times New Roman"/>
                <w:color w:val="auto"/>
                <w:sz w:val="21"/>
                <w:szCs w:val="21"/>
              </w:rPr>
            </w:pPr>
            <w:r>
              <w:rPr>
                <w:rFonts w:ascii="Times New Roman" w:hAnsi="Times New Roman" w:eastAsia="仿宋" w:cs="Times New Roman"/>
                <w:color w:val="auto"/>
                <w:kern w:val="0"/>
                <w:sz w:val="21"/>
                <w:szCs w:val="21"/>
                <w:lang w:bidi="ar"/>
              </w:rPr>
              <w:t>政府投入</w:t>
            </w:r>
          </w:p>
        </w:tc>
        <w:tc>
          <w:tcPr>
            <w:tcW w:w="569" w:type="pct"/>
            <w:vAlign w:val="center"/>
          </w:tcPr>
          <w:p w14:paraId="3C445BC6">
            <w:pPr>
              <w:widowControl/>
              <w:spacing w:line="240" w:lineRule="auto"/>
              <w:jc w:val="center"/>
              <w:textAlignment w:val="center"/>
              <w:rPr>
                <w:rFonts w:ascii="Times New Roman" w:hAnsi="Times New Roman" w:eastAsia="仿宋" w:cs="Times New Roman"/>
                <w:color w:val="auto"/>
                <w:sz w:val="21"/>
                <w:szCs w:val="21"/>
              </w:rPr>
            </w:pPr>
            <w:r>
              <w:rPr>
                <w:rFonts w:ascii="Times New Roman" w:hAnsi="Times New Roman" w:eastAsia="仿宋" w:cs="Times New Roman"/>
                <w:color w:val="auto"/>
                <w:kern w:val="0"/>
                <w:sz w:val="21"/>
                <w:szCs w:val="21"/>
                <w:lang w:bidi="ar"/>
              </w:rPr>
              <w:t>农业废弃物综合利用率</w:t>
            </w:r>
          </w:p>
        </w:tc>
      </w:tr>
      <w:tr w14:paraId="0231B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70" w:type="pct"/>
            <w:vMerge w:val="continue"/>
            <w:vAlign w:val="center"/>
          </w:tcPr>
          <w:p w14:paraId="685D0818">
            <w:pPr>
              <w:spacing w:line="240" w:lineRule="auto"/>
              <w:jc w:val="center"/>
              <w:rPr>
                <w:rFonts w:ascii="Times New Roman" w:hAnsi="Times New Roman" w:eastAsia="仿宋" w:cs="Times New Roman"/>
                <w:color w:val="auto"/>
                <w:sz w:val="21"/>
                <w:szCs w:val="21"/>
              </w:rPr>
            </w:pPr>
          </w:p>
        </w:tc>
        <w:tc>
          <w:tcPr>
            <w:tcW w:w="255" w:type="pct"/>
            <w:noWrap/>
            <w:vAlign w:val="center"/>
          </w:tcPr>
          <w:p w14:paraId="36519147">
            <w:pPr>
              <w:widowControl/>
              <w:spacing w:line="240" w:lineRule="auto"/>
              <w:jc w:val="center"/>
              <w:textAlignment w:val="center"/>
              <w:rPr>
                <w:rFonts w:ascii="Times New Roman" w:hAnsi="Times New Roman" w:eastAsia="仿宋" w:cs="Times New Roman"/>
                <w:color w:val="auto"/>
                <w:sz w:val="21"/>
                <w:szCs w:val="21"/>
              </w:rPr>
            </w:pPr>
            <w:r>
              <w:rPr>
                <w:rFonts w:ascii="Times New Roman" w:hAnsi="Times New Roman" w:eastAsia="仿宋" w:cs="Times New Roman"/>
                <w:color w:val="auto"/>
                <w:sz w:val="21"/>
                <w:szCs w:val="21"/>
              </w:rPr>
              <w:t>12</w:t>
            </w:r>
          </w:p>
        </w:tc>
        <w:tc>
          <w:tcPr>
            <w:tcW w:w="631" w:type="pct"/>
            <w:vAlign w:val="center"/>
          </w:tcPr>
          <w:p w14:paraId="52039A01">
            <w:pPr>
              <w:widowControl/>
              <w:spacing w:line="240" w:lineRule="auto"/>
              <w:jc w:val="left"/>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新平县大型沼气工程建设项目</w:t>
            </w:r>
          </w:p>
        </w:tc>
        <w:tc>
          <w:tcPr>
            <w:tcW w:w="1816" w:type="pct"/>
            <w:vAlign w:val="center"/>
          </w:tcPr>
          <w:p w14:paraId="781D98FF">
            <w:pPr>
              <w:widowControl/>
              <w:spacing w:line="240" w:lineRule="auto"/>
              <w:jc w:val="left"/>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建设反应装置为2000m31座、1500m34座、1000m310座、800m31座。</w:t>
            </w:r>
          </w:p>
        </w:tc>
        <w:tc>
          <w:tcPr>
            <w:tcW w:w="408" w:type="pct"/>
            <w:vAlign w:val="center"/>
          </w:tcPr>
          <w:p w14:paraId="5B9A5A3A">
            <w:pPr>
              <w:widowControl/>
              <w:spacing w:line="240" w:lineRule="auto"/>
              <w:jc w:val="center"/>
              <w:textAlignment w:val="center"/>
              <w:rPr>
                <w:rFonts w:ascii="Times New Roman" w:hAnsi="Times New Roman" w:eastAsia="仿宋" w:cs="Times New Roman"/>
                <w:color w:val="auto"/>
                <w:sz w:val="21"/>
                <w:szCs w:val="21"/>
              </w:rPr>
            </w:pPr>
            <w:r>
              <w:rPr>
                <w:rFonts w:ascii="Times New Roman" w:hAnsi="Times New Roman" w:eastAsia="仿宋" w:cs="Times New Roman"/>
                <w:color w:val="auto"/>
                <w:kern w:val="0"/>
                <w:sz w:val="21"/>
                <w:szCs w:val="21"/>
                <w:lang w:bidi="ar"/>
              </w:rPr>
              <w:t>2021-2025</w:t>
            </w:r>
          </w:p>
        </w:tc>
        <w:tc>
          <w:tcPr>
            <w:tcW w:w="413" w:type="pct"/>
            <w:vAlign w:val="center"/>
          </w:tcPr>
          <w:p w14:paraId="472AB8FB">
            <w:pPr>
              <w:widowControl/>
              <w:spacing w:line="240" w:lineRule="auto"/>
              <w:jc w:val="center"/>
              <w:textAlignment w:val="center"/>
              <w:rPr>
                <w:rFonts w:ascii="Times New Roman" w:hAnsi="Times New Roman" w:eastAsia="仿宋" w:cs="Times New Roman"/>
                <w:color w:val="auto"/>
                <w:sz w:val="21"/>
                <w:szCs w:val="21"/>
              </w:rPr>
            </w:pPr>
            <w:r>
              <w:rPr>
                <w:rFonts w:ascii="Times New Roman" w:hAnsi="Times New Roman" w:eastAsia="仿宋" w:cs="Times New Roman"/>
                <w:color w:val="auto"/>
                <w:kern w:val="0"/>
                <w:sz w:val="21"/>
                <w:szCs w:val="21"/>
                <w:lang w:bidi="ar"/>
              </w:rPr>
              <w:t>8000</w:t>
            </w:r>
          </w:p>
        </w:tc>
        <w:tc>
          <w:tcPr>
            <w:tcW w:w="413" w:type="pct"/>
            <w:vAlign w:val="center"/>
          </w:tcPr>
          <w:p w14:paraId="7380B1BB">
            <w:pPr>
              <w:widowControl/>
              <w:spacing w:line="240" w:lineRule="auto"/>
              <w:jc w:val="center"/>
              <w:textAlignment w:val="center"/>
              <w:rPr>
                <w:rFonts w:ascii="Times New Roman" w:hAnsi="Times New Roman" w:eastAsia="仿宋" w:cs="Times New Roman"/>
                <w:color w:val="auto"/>
                <w:sz w:val="21"/>
                <w:szCs w:val="21"/>
              </w:rPr>
            </w:pPr>
            <w:r>
              <w:rPr>
                <w:rFonts w:ascii="Times New Roman" w:hAnsi="Times New Roman" w:eastAsia="仿宋" w:cs="Times New Roman"/>
                <w:color w:val="auto"/>
                <w:kern w:val="0"/>
                <w:sz w:val="21"/>
                <w:szCs w:val="21"/>
                <w:lang w:bidi="ar"/>
              </w:rPr>
              <w:t>县农业农村局</w:t>
            </w:r>
          </w:p>
        </w:tc>
        <w:tc>
          <w:tcPr>
            <w:tcW w:w="320" w:type="pct"/>
            <w:vAlign w:val="center"/>
          </w:tcPr>
          <w:p w14:paraId="223E470F">
            <w:pPr>
              <w:widowControl/>
              <w:spacing w:line="240" w:lineRule="auto"/>
              <w:jc w:val="center"/>
              <w:textAlignment w:val="center"/>
              <w:rPr>
                <w:rFonts w:ascii="Times New Roman" w:hAnsi="Times New Roman" w:eastAsia="仿宋" w:cs="Times New Roman"/>
                <w:color w:val="auto"/>
                <w:sz w:val="21"/>
                <w:szCs w:val="21"/>
              </w:rPr>
            </w:pPr>
            <w:r>
              <w:rPr>
                <w:rFonts w:ascii="Times New Roman" w:hAnsi="Times New Roman" w:eastAsia="仿宋" w:cs="Times New Roman"/>
                <w:color w:val="auto"/>
                <w:kern w:val="0"/>
                <w:sz w:val="21"/>
                <w:szCs w:val="21"/>
                <w:lang w:bidi="ar"/>
              </w:rPr>
              <w:t>政府投入</w:t>
            </w:r>
          </w:p>
        </w:tc>
        <w:tc>
          <w:tcPr>
            <w:tcW w:w="569" w:type="pct"/>
            <w:vAlign w:val="center"/>
          </w:tcPr>
          <w:p w14:paraId="27C31336">
            <w:pPr>
              <w:widowControl/>
              <w:spacing w:line="240" w:lineRule="auto"/>
              <w:jc w:val="center"/>
              <w:textAlignment w:val="center"/>
              <w:rPr>
                <w:rFonts w:ascii="Times New Roman" w:hAnsi="Times New Roman" w:eastAsia="仿宋" w:cs="Times New Roman"/>
                <w:color w:val="auto"/>
                <w:sz w:val="21"/>
                <w:szCs w:val="21"/>
              </w:rPr>
            </w:pPr>
            <w:r>
              <w:rPr>
                <w:rFonts w:ascii="Times New Roman" w:hAnsi="Times New Roman" w:eastAsia="仿宋" w:cs="Times New Roman"/>
                <w:color w:val="auto"/>
                <w:kern w:val="0"/>
                <w:sz w:val="21"/>
                <w:szCs w:val="21"/>
                <w:lang w:bidi="ar"/>
              </w:rPr>
              <w:t>农业废弃物综合利用率</w:t>
            </w:r>
          </w:p>
        </w:tc>
      </w:tr>
      <w:tr w14:paraId="371E8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70" w:type="pct"/>
            <w:vMerge w:val="continue"/>
            <w:vAlign w:val="center"/>
          </w:tcPr>
          <w:p w14:paraId="381A6482">
            <w:pPr>
              <w:spacing w:line="240" w:lineRule="auto"/>
              <w:jc w:val="center"/>
              <w:rPr>
                <w:rFonts w:ascii="Times New Roman" w:hAnsi="Times New Roman" w:eastAsia="仿宋" w:cs="Times New Roman"/>
                <w:color w:val="auto"/>
                <w:sz w:val="21"/>
                <w:szCs w:val="21"/>
              </w:rPr>
            </w:pPr>
          </w:p>
        </w:tc>
        <w:tc>
          <w:tcPr>
            <w:tcW w:w="255" w:type="pct"/>
            <w:noWrap/>
            <w:vAlign w:val="center"/>
          </w:tcPr>
          <w:p w14:paraId="243C552F">
            <w:pPr>
              <w:widowControl/>
              <w:spacing w:line="240" w:lineRule="auto"/>
              <w:jc w:val="center"/>
              <w:textAlignment w:val="center"/>
              <w:rPr>
                <w:rFonts w:ascii="Times New Roman" w:hAnsi="Times New Roman" w:eastAsia="仿宋" w:cs="Times New Roman"/>
                <w:color w:val="auto"/>
                <w:sz w:val="21"/>
                <w:szCs w:val="21"/>
              </w:rPr>
            </w:pPr>
            <w:r>
              <w:rPr>
                <w:rFonts w:ascii="Times New Roman" w:hAnsi="Times New Roman" w:eastAsia="仿宋" w:cs="Times New Roman"/>
                <w:color w:val="auto"/>
                <w:sz w:val="21"/>
                <w:szCs w:val="21"/>
              </w:rPr>
              <w:t>13</w:t>
            </w:r>
          </w:p>
        </w:tc>
        <w:tc>
          <w:tcPr>
            <w:tcW w:w="631" w:type="pct"/>
            <w:vAlign w:val="center"/>
          </w:tcPr>
          <w:p w14:paraId="6B9A302B">
            <w:pPr>
              <w:widowControl/>
              <w:spacing w:line="240" w:lineRule="auto"/>
              <w:jc w:val="left"/>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新平县秸秆资源化利用工程项目</w:t>
            </w:r>
          </w:p>
        </w:tc>
        <w:tc>
          <w:tcPr>
            <w:tcW w:w="1816" w:type="pct"/>
            <w:vAlign w:val="center"/>
          </w:tcPr>
          <w:p w14:paraId="4598B3F2">
            <w:pPr>
              <w:widowControl/>
              <w:spacing w:line="240" w:lineRule="auto"/>
              <w:jc w:val="left"/>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通过3年时间，推行秸秆资源化利用5万亩。</w:t>
            </w:r>
          </w:p>
        </w:tc>
        <w:tc>
          <w:tcPr>
            <w:tcW w:w="408" w:type="pct"/>
            <w:vAlign w:val="center"/>
          </w:tcPr>
          <w:p w14:paraId="0D12B490">
            <w:pPr>
              <w:widowControl/>
              <w:spacing w:line="240" w:lineRule="auto"/>
              <w:jc w:val="center"/>
              <w:textAlignment w:val="center"/>
              <w:rPr>
                <w:rFonts w:ascii="Times New Roman" w:hAnsi="Times New Roman" w:eastAsia="仿宋" w:cs="Times New Roman"/>
                <w:color w:val="auto"/>
                <w:kern w:val="0"/>
                <w:sz w:val="21"/>
                <w:szCs w:val="21"/>
                <w:lang w:bidi="ar"/>
              </w:rPr>
            </w:pPr>
            <w:r>
              <w:rPr>
                <w:rFonts w:ascii="Times New Roman" w:hAnsi="Times New Roman" w:eastAsia="仿宋" w:cs="Times New Roman"/>
                <w:color w:val="auto"/>
                <w:kern w:val="0"/>
                <w:sz w:val="21"/>
                <w:szCs w:val="21"/>
                <w:lang w:bidi="ar"/>
              </w:rPr>
              <w:t>2021-2023</w:t>
            </w:r>
          </w:p>
        </w:tc>
        <w:tc>
          <w:tcPr>
            <w:tcW w:w="413" w:type="pct"/>
            <w:vAlign w:val="center"/>
          </w:tcPr>
          <w:p w14:paraId="6EFEF1F7">
            <w:pPr>
              <w:widowControl/>
              <w:spacing w:line="240" w:lineRule="auto"/>
              <w:jc w:val="center"/>
              <w:textAlignment w:val="center"/>
              <w:rPr>
                <w:rFonts w:ascii="Times New Roman" w:hAnsi="Times New Roman" w:eastAsia="仿宋" w:cs="Times New Roman"/>
                <w:color w:val="auto"/>
                <w:kern w:val="0"/>
                <w:sz w:val="21"/>
                <w:szCs w:val="21"/>
                <w:lang w:bidi="ar"/>
              </w:rPr>
            </w:pPr>
            <w:r>
              <w:rPr>
                <w:rFonts w:ascii="Times New Roman" w:hAnsi="Times New Roman" w:eastAsia="仿宋" w:cs="Times New Roman"/>
                <w:color w:val="auto"/>
                <w:kern w:val="0"/>
                <w:sz w:val="21"/>
                <w:szCs w:val="21"/>
                <w:lang w:bidi="ar"/>
              </w:rPr>
              <w:t>1000</w:t>
            </w:r>
          </w:p>
        </w:tc>
        <w:tc>
          <w:tcPr>
            <w:tcW w:w="413" w:type="pct"/>
            <w:vAlign w:val="center"/>
          </w:tcPr>
          <w:p w14:paraId="793B6AC7">
            <w:pPr>
              <w:widowControl/>
              <w:spacing w:line="240" w:lineRule="auto"/>
              <w:jc w:val="center"/>
              <w:textAlignment w:val="center"/>
              <w:rPr>
                <w:rFonts w:ascii="Times New Roman" w:hAnsi="Times New Roman" w:eastAsia="仿宋" w:cs="Times New Roman"/>
                <w:color w:val="auto"/>
                <w:sz w:val="21"/>
                <w:szCs w:val="21"/>
              </w:rPr>
            </w:pPr>
            <w:r>
              <w:rPr>
                <w:rFonts w:ascii="Times New Roman" w:hAnsi="Times New Roman" w:eastAsia="仿宋" w:cs="Times New Roman"/>
                <w:color w:val="auto"/>
                <w:kern w:val="0"/>
                <w:sz w:val="21"/>
                <w:szCs w:val="21"/>
                <w:lang w:bidi="ar"/>
              </w:rPr>
              <w:t>县农业农村局</w:t>
            </w:r>
          </w:p>
        </w:tc>
        <w:tc>
          <w:tcPr>
            <w:tcW w:w="320" w:type="pct"/>
            <w:vAlign w:val="center"/>
          </w:tcPr>
          <w:p w14:paraId="127F770E">
            <w:pPr>
              <w:widowControl/>
              <w:spacing w:line="240" w:lineRule="auto"/>
              <w:jc w:val="center"/>
              <w:textAlignment w:val="center"/>
              <w:rPr>
                <w:rFonts w:ascii="Times New Roman" w:hAnsi="Times New Roman" w:eastAsia="仿宋" w:cs="Times New Roman"/>
                <w:color w:val="auto"/>
                <w:sz w:val="21"/>
                <w:szCs w:val="21"/>
              </w:rPr>
            </w:pPr>
            <w:r>
              <w:rPr>
                <w:rFonts w:ascii="Times New Roman" w:hAnsi="Times New Roman" w:eastAsia="仿宋" w:cs="Times New Roman"/>
                <w:color w:val="auto"/>
                <w:kern w:val="0"/>
                <w:sz w:val="21"/>
                <w:szCs w:val="21"/>
                <w:lang w:bidi="ar"/>
              </w:rPr>
              <w:t>政府投入</w:t>
            </w:r>
          </w:p>
        </w:tc>
        <w:tc>
          <w:tcPr>
            <w:tcW w:w="569" w:type="pct"/>
            <w:vAlign w:val="center"/>
          </w:tcPr>
          <w:p w14:paraId="5F3CC385">
            <w:pPr>
              <w:widowControl/>
              <w:spacing w:line="240" w:lineRule="auto"/>
              <w:jc w:val="center"/>
              <w:textAlignment w:val="center"/>
              <w:rPr>
                <w:rFonts w:ascii="Times New Roman" w:hAnsi="Times New Roman" w:eastAsia="仿宋" w:cs="Times New Roman"/>
                <w:color w:val="auto"/>
                <w:sz w:val="21"/>
                <w:szCs w:val="21"/>
              </w:rPr>
            </w:pPr>
            <w:r>
              <w:rPr>
                <w:rFonts w:ascii="Times New Roman" w:hAnsi="Times New Roman" w:eastAsia="仿宋" w:cs="Times New Roman"/>
                <w:color w:val="auto"/>
                <w:kern w:val="0"/>
                <w:sz w:val="21"/>
                <w:szCs w:val="21"/>
                <w:lang w:bidi="ar"/>
              </w:rPr>
              <w:t>农业废弃物综合利用率</w:t>
            </w:r>
          </w:p>
        </w:tc>
      </w:tr>
      <w:tr w14:paraId="0FA41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70" w:type="pct"/>
            <w:vMerge w:val="continue"/>
            <w:vAlign w:val="center"/>
          </w:tcPr>
          <w:p w14:paraId="17D6B419">
            <w:pPr>
              <w:spacing w:line="240" w:lineRule="auto"/>
              <w:jc w:val="center"/>
              <w:rPr>
                <w:rFonts w:ascii="Times New Roman" w:hAnsi="Times New Roman" w:eastAsia="仿宋" w:cs="Times New Roman"/>
                <w:color w:val="auto"/>
                <w:sz w:val="21"/>
                <w:szCs w:val="21"/>
              </w:rPr>
            </w:pPr>
          </w:p>
        </w:tc>
        <w:tc>
          <w:tcPr>
            <w:tcW w:w="255" w:type="pct"/>
            <w:noWrap/>
            <w:vAlign w:val="center"/>
          </w:tcPr>
          <w:p w14:paraId="08E778E1">
            <w:pPr>
              <w:widowControl/>
              <w:spacing w:line="240" w:lineRule="auto"/>
              <w:jc w:val="center"/>
              <w:textAlignment w:val="center"/>
              <w:rPr>
                <w:rFonts w:ascii="Times New Roman" w:hAnsi="Times New Roman" w:eastAsia="仿宋" w:cs="Times New Roman"/>
                <w:color w:val="auto"/>
                <w:sz w:val="21"/>
                <w:szCs w:val="21"/>
              </w:rPr>
            </w:pPr>
            <w:r>
              <w:rPr>
                <w:rFonts w:ascii="Times New Roman" w:hAnsi="Times New Roman" w:eastAsia="仿宋" w:cs="Times New Roman"/>
                <w:color w:val="auto"/>
                <w:sz w:val="21"/>
                <w:szCs w:val="21"/>
              </w:rPr>
              <w:t>14</w:t>
            </w:r>
          </w:p>
        </w:tc>
        <w:tc>
          <w:tcPr>
            <w:tcW w:w="631" w:type="pct"/>
            <w:tcBorders>
              <w:top w:val="nil"/>
              <w:left w:val="single" w:color="auto" w:sz="4" w:space="0"/>
              <w:bottom w:val="single" w:color="auto" w:sz="4" w:space="0"/>
              <w:right w:val="single" w:color="auto" w:sz="4" w:space="0"/>
            </w:tcBorders>
            <w:shd w:val="clear" w:color="auto" w:fill="auto"/>
            <w:vAlign w:val="center"/>
          </w:tcPr>
          <w:p w14:paraId="3A8352E7">
            <w:pPr>
              <w:widowControl/>
              <w:spacing w:line="240" w:lineRule="auto"/>
              <w:jc w:val="left"/>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长江经济带面源污染治理项目</w:t>
            </w:r>
          </w:p>
        </w:tc>
        <w:tc>
          <w:tcPr>
            <w:tcW w:w="1816" w:type="pct"/>
            <w:tcBorders>
              <w:top w:val="nil"/>
              <w:left w:val="single" w:color="auto" w:sz="4" w:space="0"/>
              <w:bottom w:val="single" w:color="auto" w:sz="4" w:space="0"/>
              <w:right w:val="single" w:color="auto" w:sz="4" w:space="0"/>
            </w:tcBorders>
            <w:shd w:val="clear" w:color="auto" w:fill="auto"/>
            <w:vAlign w:val="center"/>
          </w:tcPr>
          <w:p w14:paraId="6C3725E0">
            <w:pPr>
              <w:widowControl/>
              <w:spacing w:line="240" w:lineRule="auto"/>
              <w:jc w:val="left"/>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红河断面农业面源污染治理（农业尾水截污沟建设、有机肥替代化肥实施、绿色防控实施、高效节水设施建设、推进秸秆综合利用）。</w:t>
            </w:r>
          </w:p>
        </w:tc>
        <w:tc>
          <w:tcPr>
            <w:tcW w:w="408" w:type="pct"/>
            <w:tcBorders>
              <w:top w:val="nil"/>
              <w:left w:val="single" w:color="auto" w:sz="4" w:space="0"/>
              <w:bottom w:val="single" w:color="auto" w:sz="4" w:space="0"/>
              <w:right w:val="single" w:color="auto" w:sz="4" w:space="0"/>
            </w:tcBorders>
            <w:shd w:val="clear" w:color="auto" w:fill="auto"/>
            <w:vAlign w:val="center"/>
          </w:tcPr>
          <w:p w14:paraId="38C816EE">
            <w:pPr>
              <w:jc w:val="center"/>
              <w:rPr>
                <w:rFonts w:ascii="Times New Roman" w:hAnsi="Times New Roman" w:cs="Times New Roman"/>
                <w:color w:val="000000"/>
                <w:sz w:val="21"/>
                <w:szCs w:val="21"/>
              </w:rPr>
            </w:pPr>
            <w:r>
              <w:rPr>
                <w:rFonts w:ascii="Times New Roman" w:hAnsi="Times New Roman" w:cs="Times New Roman"/>
                <w:color w:val="000000"/>
                <w:sz w:val="21"/>
                <w:szCs w:val="21"/>
              </w:rPr>
              <w:t>2021-2025</w:t>
            </w:r>
          </w:p>
        </w:tc>
        <w:tc>
          <w:tcPr>
            <w:tcW w:w="413" w:type="pct"/>
            <w:tcBorders>
              <w:top w:val="nil"/>
              <w:left w:val="single" w:color="auto" w:sz="4" w:space="0"/>
              <w:bottom w:val="single" w:color="auto" w:sz="4" w:space="0"/>
              <w:right w:val="single" w:color="auto" w:sz="4" w:space="0"/>
            </w:tcBorders>
            <w:shd w:val="clear" w:color="auto" w:fill="auto"/>
            <w:vAlign w:val="center"/>
          </w:tcPr>
          <w:p w14:paraId="2334B951">
            <w:pPr>
              <w:jc w:val="center"/>
              <w:rPr>
                <w:rFonts w:ascii="Times New Roman" w:hAnsi="Times New Roman" w:cs="Times New Roman"/>
                <w:color w:val="000000"/>
                <w:sz w:val="21"/>
                <w:szCs w:val="21"/>
              </w:rPr>
            </w:pPr>
            <w:r>
              <w:rPr>
                <w:rFonts w:ascii="Times New Roman" w:hAnsi="Times New Roman" w:cs="Times New Roman"/>
                <w:color w:val="000000"/>
                <w:sz w:val="21"/>
                <w:szCs w:val="21"/>
              </w:rPr>
              <w:t>5000</w:t>
            </w:r>
          </w:p>
        </w:tc>
        <w:tc>
          <w:tcPr>
            <w:tcW w:w="413" w:type="pct"/>
            <w:vAlign w:val="center"/>
          </w:tcPr>
          <w:p w14:paraId="3794180D">
            <w:pPr>
              <w:widowControl/>
              <w:spacing w:line="240" w:lineRule="auto"/>
              <w:jc w:val="center"/>
              <w:textAlignment w:val="center"/>
              <w:rPr>
                <w:rFonts w:ascii="Times New Roman" w:hAnsi="Times New Roman" w:eastAsia="仿宋" w:cs="Times New Roman"/>
                <w:color w:val="auto"/>
                <w:sz w:val="21"/>
                <w:szCs w:val="21"/>
              </w:rPr>
            </w:pPr>
            <w:r>
              <w:rPr>
                <w:rFonts w:ascii="Times New Roman" w:hAnsi="Times New Roman" w:eastAsia="仿宋" w:cs="Times New Roman"/>
                <w:color w:val="auto"/>
                <w:kern w:val="0"/>
                <w:sz w:val="21"/>
                <w:szCs w:val="21"/>
                <w:lang w:bidi="ar"/>
              </w:rPr>
              <w:t>县农业农村局</w:t>
            </w:r>
          </w:p>
        </w:tc>
        <w:tc>
          <w:tcPr>
            <w:tcW w:w="320" w:type="pct"/>
            <w:vAlign w:val="center"/>
          </w:tcPr>
          <w:p w14:paraId="153F4229">
            <w:pPr>
              <w:widowControl/>
              <w:spacing w:line="240" w:lineRule="auto"/>
              <w:jc w:val="center"/>
              <w:textAlignment w:val="center"/>
              <w:rPr>
                <w:rFonts w:ascii="Times New Roman" w:hAnsi="Times New Roman" w:eastAsia="仿宋" w:cs="Times New Roman"/>
                <w:color w:val="auto"/>
                <w:sz w:val="21"/>
                <w:szCs w:val="21"/>
              </w:rPr>
            </w:pPr>
            <w:r>
              <w:rPr>
                <w:rFonts w:ascii="Times New Roman" w:hAnsi="Times New Roman" w:eastAsia="仿宋" w:cs="Times New Roman"/>
                <w:color w:val="auto"/>
                <w:kern w:val="0"/>
                <w:sz w:val="21"/>
                <w:szCs w:val="21"/>
                <w:lang w:bidi="ar"/>
              </w:rPr>
              <w:t>政府投入</w:t>
            </w:r>
          </w:p>
        </w:tc>
        <w:tc>
          <w:tcPr>
            <w:tcW w:w="569" w:type="pct"/>
            <w:vAlign w:val="center"/>
          </w:tcPr>
          <w:p w14:paraId="35A5F906">
            <w:pPr>
              <w:widowControl/>
              <w:spacing w:line="240" w:lineRule="auto"/>
              <w:jc w:val="center"/>
              <w:textAlignment w:val="center"/>
              <w:rPr>
                <w:rFonts w:ascii="Times New Roman" w:hAnsi="Times New Roman" w:eastAsia="仿宋" w:cs="Times New Roman"/>
                <w:color w:val="auto"/>
                <w:sz w:val="21"/>
                <w:szCs w:val="21"/>
              </w:rPr>
            </w:pPr>
            <w:r>
              <w:rPr>
                <w:rFonts w:ascii="Times New Roman" w:hAnsi="Times New Roman" w:eastAsia="仿宋" w:cs="Times New Roman"/>
                <w:color w:val="auto"/>
                <w:kern w:val="0"/>
                <w:sz w:val="21"/>
                <w:szCs w:val="21"/>
                <w:lang w:bidi="ar"/>
              </w:rPr>
              <w:t>主要粮食作物化肥农药利用率</w:t>
            </w:r>
          </w:p>
        </w:tc>
      </w:tr>
      <w:tr w14:paraId="5E63E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170" w:type="pct"/>
            <w:vMerge w:val="continue"/>
            <w:vAlign w:val="center"/>
          </w:tcPr>
          <w:p w14:paraId="7C3A29FC">
            <w:pPr>
              <w:spacing w:line="240" w:lineRule="auto"/>
              <w:jc w:val="center"/>
              <w:rPr>
                <w:rFonts w:ascii="Times New Roman" w:hAnsi="Times New Roman" w:eastAsia="仿宋" w:cs="Times New Roman"/>
                <w:color w:val="auto"/>
                <w:sz w:val="21"/>
                <w:szCs w:val="21"/>
              </w:rPr>
            </w:pPr>
          </w:p>
        </w:tc>
        <w:tc>
          <w:tcPr>
            <w:tcW w:w="255" w:type="pct"/>
            <w:vAlign w:val="center"/>
          </w:tcPr>
          <w:p w14:paraId="339249C8">
            <w:pPr>
              <w:widowControl/>
              <w:spacing w:line="240" w:lineRule="auto"/>
              <w:jc w:val="center"/>
              <w:textAlignment w:val="center"/>
              <w:rPr>
                <w:rFonts w:ascii="Times New Roman" w:hAnsi="Times New Roman" w:eastAsia="仿宋" w:cs="Times New Roman"/>
                <w:color w:val="auto"/>
                <w:sz w:val="21"/>
                <w:szCs w:val="21"/>
              </w:rPr>
            </w:pPr>
          </w:p>
        </w:tc>
        <w:tc>
          <w:tcPr>
            <w:tcW w:w="2856" w:type="pct"/>
            <w:gridSpan w:val="3"/>
            <w:vAlign w:val="center"/>
          </w:tcPr>
          <w:p w14:paraId="2C58C9EE">
            <w:pPr>
              <w:widowControl/>
              <w:spacing w:line="240" w:lineRule="auto"/>
              <w:jc w:val="left"/>
              <w:textAlignment w:val="center"/>
              <w:rPr>
                <w:rFonts w:ascii="Times New Roman" w:hAnsi="Times New Roman" w:eastAsia="仿宋" w:cs="Times New Roman"/>
                <w:b/>
                <w:color w:val="auto"/>
                <w:sz w:val="21"/>
                <w:szCs w:val="21"/>
              </w:rPr>
            </w:pPr>
            <w:r>
              <w:rPr>
                <w:rFonts w:ascii="Times New Roman" w:hAnsi="Times New Roman" w:eastAsia="仿宋" w:cs="Times New Roman"/>
                <w:b/>
                <w:color w:val="auto"/>
                <w:kern w:val="0"/>
                <w:sz w:val="21"/>
                <w:szCs w:val="21"/>
                <w:lang w:bidi="ar"/>
              </w:rPr>
              <w:t>小计</w:t>
            </w:r>
          </w:p>
        </w:tc>
        <w:tc>
          <w:tcPr>
            <w:tcW w:w="413" w:type="pct"/>
            <w:vAlign w:val="center"/>
          </w:tcPr>
          <w:p w14:paraId="219BA9AB">
            <w:pPr>
              <w:widowControl/>
              <w:spacing w:line="240" w:lineRule="auto"/>
              <w:jc w:val="center"/>
              <w:textAlignment w:val="center"/>
              <w:rPr>
                <w:rFonts w:ascii="Times New Roman" w:hAnsi="Times New Roman" w:eastAsia="仿宋" w:cs="Times New Roman"/>
                <w:b/>
                <w:color w:val="auto"/>
                <w:sz w:val="21"/>
                <w:szCs w:val="21"/>
              </w:rPr>
            </w:pPr>
            <w:r>
              <w:rPr>
                <w:rFonts w:hint="eastAsia" w:ascii="Times New Roman" w:hAnsi="Times New Roman" w:eastAsia="仿宋" w:cs="Times New Roman"/>
                <w:b/>
                <w:color w:val="auto"/>
                <w:sz w:val="21"/>
                <w:szCs w:val="21"/>
              </w:rPr>
              <w:t>7</w:t>
            </w:r>
            <w:r>
              <w:rPr>
                <w:rFonts w:ascii="Times New Roman" w:hAnsi="Times New Roman" w:eastAsia="仿宋" w:cs="Times New Roman"/>
                <w:b/>
                <w:color w:val="auto"/>
                <w:sz w:val="21"/>
                <w:szCs w:val="21"/>
              </w:rPr>
              <w:t>58594</w:t>
            </w:r>
          </w:p>
        </w:tc>
        <w:tc>
          <w:tcPr>
            <w:tcW w:w="413" w:type="pct"/>
            <w:vAlign w:val="center"/>
          </w:tcPr>
          <w:p w14:paraId="30E7C16E">
            <w:pPr>
              <w:spacing w:line="240" w:lineRule="auto"/>
              <w:jc w:val="center"/>
              <w:rPr>
                <w:rFonts w:ascii="Times New Roman" w:hAnsi="Times New Roman" w:eastAsia="仿宋" w:cs="Times New Roman"/>
                <w:b/>
                <w:color w:val="auto"/>
                <w:sz w:val="21"/>
                <w:szCs w:val="21"/>
              </w:rPr>
            </w:pPr>
          </w:p>
        </w:tc>
        <w:tc>
          <w:tcPr>
            <w:tcW w:w="320" w:type="pct"/>
            <w:vAlign w:val="center"/>
          </w:tcPr>
          <w:p w14:paraId="22664139">
            <w:pPr>
              <w:spacing w:line="240" w:lineRule="auto"/>
              <w:jc w:val="center"/>
              <w:rPr>
                <w:rFonts w:ascii="Times New Roman" w:hAnsi="Times New Roman" w:eastAsia="仿宋" w:cs="Times New Roman"/>
                <w:color w:val="auto"/>
                <w:sz w:val="21"/>
                <w:szCs w:val="21"/>
              </w:rPr>
            </w:pPr>
          </w:p>
        </w:tc>
        <w:tc>
          <w:tcPr>
            <w:tcW w:w="569" w:type="pct"/>
            <w:vAlign w:val="center"/>
          </w:tcPr>
          <w:p w14:paraId="69D2FA75">
            <w:pPr>
              <w:spacing w:line="240" w:lineRule="auto"/>
              <w:jc w:val="center"/>
              <w:rPr>
                <w:rFonts w:ascii="Times New Roman" w:hAnsi="Times New Roman" w:eastAsia="仿宋" w:cs="Times New Roman"/>
                <w:color w:val="auto"/>
                <w:sz w:val="21"/>
                <w:szCs w:val="21"/>
              </w:rPr>
            </w:pPr>
          </w:p>
        </w:tc>
      </w:tr>
      <w:tr w14:paraId="31457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70" w:type="pct"/>
            <w:vMerge w:val="restart"/>
            <w:vAlign w:val="center"/>
          </w:tcPr>
          <w:p w14:paraId="43508718">
            <w:pPr>
              <w:spacing w:line="240" w:lineRule="auto"/>
              <w:jc w:val="center"/>
              <w:rPr>
                <w:rFonts w:ascii="Times New Roman" w:hAnsi="Times New Roman" w:eastAsia="仿宋" w:cs="Times New Roman"/>
                <w:color w:val="auto"/>
                <w:sz w:val="21"/>
                <w:szCs w:val="21"/>
              </w:rPr>
            </w:pPr>
            <w:r>
              <w:rPr>
                <w:rFonts w:ascii="Times New Roman" w:hAnsi="Times New Roman" w:eastAsia="仿宋" w:cs="Times New Roman"/>
                <w:color w:val="auto"/>
                <w:sz w:val="21"/>
                <w:szCs w:val="21"/>
              </w:rPr>
              <w:t>生态生活</w:t>
            </w:r>
          </w:p>
        </w:tc>
        <w:tc>
          <w:tcPr>
            <w:tcW w:w="255" w:type="pct"/>
            <w:vAlign w:val="center"/>
          </w:tcPr>
          <w:p w14:paraId="2447273C">
            <w:pPr>
              <w:widowControl/>
              <w:spacing w:line="240" w:lineRule="auto"/>
              <w:jc w:val="center"/>
              <w:textAlignment w:val="center"/>
              <w:rPr>
                <w:rFonts w:ascii="Times New Roman" w:hAnsi="Times New Roman" w:eastAsia="仿宋" w:cs="Times New Roman"/>
                <w:color w:val="auto"/>
                <w:kern w:val="0"/>
                <w:sz w:val="21"/>
                <w:szCs w:val="21"/>
                <w:lang w:bidi="ar"/>
              </w:rPr>
            </w:pPr>
            <w:r>
              <w:rPr>
                <w:rFonts w:hint="eastAsia" w:ascii="Times New Roman" w:hAnsi="Times New Roman" w:eastAsia="仿宋" w:cs="Times New Roman"/>
                <w:color w:val="auto"/>
                <w:kern w:val="0"/>
                <w:sz w:val="21"/>
                <w:szCs w:val="21"/>
                <w:lang w:val="en-US" w:eastAsia="zh-CN" w:bidi="ar"/>
              </w:rPr>
              <w:t>1</w:t>
            </w:r>
          </w:p>
        </w:tc>
        <w:tc>
          <w:tcPr>
            <w:tcW w:w="631" w:type="pct"/>
            <w:vAlign w:val="center"/>
          </w:tcPr>
          <w:p w14:paraId="24C79D0B">
            <w:pPr>
              <w:widowControl/>
              <w:spacing w:line="240" w:lineRule="auto"/>
              <w:jc w:val="center"/>
              <w:textAlignment w:val="center"/>
              <w:rPr>
                <w:rFonts w:ascii="Times New Roman" w:hAnsi="Times New Roman" w:eastAsia="仿宋" w:cs="Times New Roman"/>
                <w:color w:val="auto"/>
                <w:kern w:val="0"/>
                <w:sz w:val="21"/>
                <w:szCs w:val="21"/>
                <w:lang w:bidi="ar"/>
              </w:rPr>
            </w:pPr>
            <w:r>
              <w:rPr>
                <w:rFonts w:hint="eastAsia" w:ascii="Times New Roman" w:hAnsi="Times New Roman" w:eastAsia="仿宋" w:cs="Times New Roman"/>
                <w:color w:val="auto"/>
                <w:kern w:val="0"/>
                <w:sz w:val="21"/>
                <w:szCs w:val="21"/>
                <w:lang w:val="en-US" w:eastAsia="zh-CN" w:bidi="ar"/>
              </w:rPr>
              <w:t>新平县乡镇集中式饮用水水源地环境保护项目（含</w:t>
            </w:r>
            <w:r>
              <w:rPr>
                <w:rFonts w:hint="default" w:ascii="Times New Roman" w:hAnsi="Times New Roman" w:eastAsia="仿宋" w:cs="Times New Roman"/>
                <w:color w:val="auto"/>
                <w:kern w:val="0"/>
                <w:sz w:val="21"/>
                <w:szCs w:val="21"/>
                <w:lang w:val="en-US" w:eastAsia="zh-CN" w:bidi="ar"/>
              </w:rPr>
              <w:t>“</w:t>
            </w:r>
            <w:r>
              <w:rPr>
                <w:rFonts w:ascii="Times New Roman" w:hAnsi="Times New Roman" w:eastAsia="仿宋" w:cs="Times New Roman"/>
                <w:color w:val="auto"/>
                <w:kern w:val="0"/>
                <w:sz w:val="21"/>
                <w:szCs w:val="21"/>
                <w:lang w:val="en-US" w:eastAsia="zh-CN" w:bidi="ar"/>
              </w:rPr>
              <w:t>千吨万人</w:t>
            </w:r>
            <w:r>
              <w:rPr>
                <w:rFonts w:hint="default" w:ascii="Times New Roman" w:hAnsi="Times New Roman" w:eastAsia="仿宋" w:cs="Times New Roman"/>
                <w:color w:val="auto"/>
                <w:kern w:val="0"/>
                <w:sz w:val="21"/>
                <w:szCs w:val="21"/>
                <w:lang w:val="en-US" w:eastAsia="zh-CN" w:bidi="ar"/>
              </w:rPr>
              <w:t>”</w:t>
            </w:r>
            <w:r>
              <w:rPr>
                <w:rFonts w:ascii="Times New Roman" w:hAnsi="Times New Roman" w:eastAsia="仿宋" w:cs="Times New Roman"/>
                <w:color w:val="auto"/>
                <w:kern w:val="0"/>
                <w:sz w:val="21"/>
                <w:szCs w:val="21"/>
                <w:lang w:val="en-US" w:eastAsia="zh-CN" w:bidi="ar"/>
              </w:rPr>
              <w:t>饮用水水源地）</w:t>
            </w:r>
          </w:p>
        </w:tc>
        <w:tc>
          <w:tcPr>
            <w:tcW w:w="1816" w:type="pct"/>
            <w:vAlign w:val="center"/>
          </w:tcPr>
          <w:p w14:paraId="52851ADD">
            <w:pPr>
              <w:widowControl/>
              <w:spacing w:line="240" w:lineRule="auto"/>
              <w:jc w:val="center"/>
              <w:textAlignment w:val="center"/>
              <w:rPr>
                <w:rFonts w:ascii="Times New Roman" w:hAnsi="Times New Roman" w:eastAsia="仿宋" w:cs="Times New Roman"/>
                <w:color w:val="auto"/>
                <w:kern w:val="0"/>
                <w:sz w:val="21"/>
                <w:szCs w:val="21"/>
                <w:lang w:bidi="ar"/>
              </w:rPr>
            </w:pPr>
            <w:r>
              <w:rPr>
                <w:rFonts w:hint="eastAsia" w:ascii="Times New Roman" w:hAnsi="Times New Roman" w:eastAsia="仿宋" w:cs="Times New Roman"/>
                <w:color w:val="auto"/>
                <w:kern w:val="0"/>
                <w:sz w:val="21"/>
                <w:szCs w:val="21"/>
                <w:lang w:val="en-US" w:eastAsia="zh-CN" w:bidi="ar"/>
              </w:rPr>
              <w:t>（</w:t>
            </w:r>
            <w:r>
              <w:rPr>
                <w:rFonts w:hint="default" w:ascii="Times New Roman" w:hAnsi="Times New Roman" w:eastAsia="仿宋" w:cs="Times New Roman"/>
                <w:color w:val="auto"/>
                <w:kern w:val="0"/>
                <w:sz w:val="21"/>
                <w:szCs w:val="21"/>
                <w:lang w:val="en-US" w:eastAsia="zh-CN" w:bidi="ar"/>
              </w:rPr>
              <w:t>1</w:t>
            </w:r>
            <w:r>
              <w:rPr>
                <w:rFonts w:ascii="Times New Roman" w:hAnsi="Times New Roman" w:eastAsia="仿宋" w:cs="Times New Roman"/>
                <w:color w:val="auto"/>
                <w:kern w:val="0"/>
                <w:sz w:val="21"/>
                <w:szCs w:val="21"/>
                <w:lang w:val="en-US" w:eastAsia="zh-CN" w:bidi="ar"/>
              </w:rPr>
              <w:t>）标志与隔离防护工程：界标</w:t>
            </w:r>
            <w:r>
              <w:rPr>
                <w:rFonts w:hint="default" w:ascii="Times New Roman" w:hAnsi="Times New Roman" w:eastAsia="仿宋" w:cs="Times New Roman"/>
                <w:color w:val="auto"/>
                <w:kern w:val="0"/>
                <w:sz w:val="21"/>
                <w:szCs w:val="21"/>
                <w:lang w:val="en-US" w:eastAsia="zh-CN" w:bidi="ar"/>
              </w:rPr>
              <w:t>124</w:t>
            </w:r>
            <w:r>
              <w:rPr>
                <w:rFonts w:ascii="Times New Roman" w:hAnsi="Times New Roman" w:eastAsia="仿宋" w:cs="Times New Roman"/>
                <w:color w:val="auto"/>
                <w:kern w:val="0"/>
                <w:sz w:val="21"/>
                <w:szCs w:val="21"/>
                <w:lang w:val="en-US" w:eastAsia="zh-CN" w:bidi="ar"/>
              </w:rPr>
              <w:t>个，交通警示牌</w:t>
            </w:r>
            <w:r>
              <w:rPr>
                <w:rFonts w:hint="default" w:ascii="Times New Roman" w:hAnsi="Times New Roman" w:eastAsia="仿宋" w:cs="Times New Roman"/>
                <w:color w:val="auto"/>
                <w:kern w:val="0"/>
                <w:sz w:val="21"/>
                <w:szCs w:val="21"/>
                <w:lang w:val="en-US" w:eastAsia="zh-CN" w:bidi="ar"/>
              </w:rPr>
              <w:t>40</w:t>
            </w:r>
            <w:r>
              <w:rPr>
                <w:rFonts w:ascii="Times New Roman" w:hAnsi="Times New Roman" w:eastAsia="仿宋" w:cs="Times New Roman"/>
                <w:color w:val="auto"/>
                <w:kern w:val="0"/>
                <w:sz w:val="21"/>
                <w:szCs w:val="21"/>
                <w:lang w:val="en-US" w:eastAsia="zh-CN" w:bidi="ar"/>
              </w:rPr>
              <w:t>个，宣传牌</w:t>
            </w:r>
            <w:r>
              <w:rPr>
                <w:rFonts w:hint="default" w:ascii="Times New Roman" w:hAnsi="Times New Roman" w:eastAsia="仿宋" w:cs="Times New Roman"/>
                <w:color w:val="auto"/>
                <w:kern w:val="0"/>
                <w:sz w:val="21"/>
                <w:szCs w:val="21"/>
                <w:lang w:val="en-US" w:eastAsia="zh-CN" w:bidi="ar"/>
              </w:rPr>
              <w:t>84</w:t>
            </w:r>
            <w:r>
              <w:rPr>
                <w:rFonts w:ascii="Times New Roman" w:hAnsi="Times New Roman" w:eastAsia="仿宋" w:cs="Times New Roman"/>
                <w:color w:val="auto"/>
                <w:kern w:val="0"/>
                <w:sz w:val="21"/>
                <w:szCs w:val="21"/>
                <w:lang w:val="en-US" w:eastAsia="zh-CN" w:bidi="ar"/>
              </w:rPr>
              <w:t>个，禁止标示牌</w:t>
            </w:r>
            <w:r>
              <w:rPr>
                <w:rFonts w:hint="default" w:ascii="Times New Roman" w:hAnsi="Times New Roman" w:eastAsia="仿宋" w:cs="Times New Roman"/>
                <w:color w:val="auto"/>
                <w:kern w:val="0"/>
                <w:sz w:val="21"/>
                <w:szCs w:val="21"/>
                <w:lang w:val="en-US" w:eastAsia="zh-CN" w:bidi="ar"/>
              </w:rPr>
              <w:t>21</w:t>
            </w:r>
            <w:r>
              <w:rPr>
                <w:rFonts w:ascii="Times New Roman" w:hAnsi="Times New Roman" w:eastAsia="仿宋" w:cs="Times New Roman"/>
                <w:color w:val="auto"/>
                <w:kern w:val="0"/>
                <w:sz w:val="21"/>
                <w:szCs w:val="21"/>
                <w:lang w:val="en-US" w:eastAsia="zh-CN" w:bidi="ar"/>
              </w:rPr>
              <w:t>个；涂塑围网</w:t>
            </w:r>
            <w:r>
              <w:rPr>
                <w:rFonts w:hint="default" w:ascii="Times New Roman" w:hAnsi="Times New Roman" w:eastAsia="仿宋" w:cs="Times New Roman"/>
                <w:color w:val="auto"/>
                <w:kern w:val="0"/>
                <w:sz w:val="21"/>
                <w:szCs w:val="21"/>
                <w:lang w:val="en-US" w:eastAsia="zh-CN" w:bidi="ar"/>
              </w:rPr>
              <w:t>26720m</w:t>
            </w:r>
            <w:r>
              <w:rPr>
                <w:rFonts w:ascii="Times New Roman" w:hAnsi="Times New Roman" w:eastAsia="仿宋" w:cs="Times New Roman"/>
                <w:color w:val="auto"/>
                <w:kern w:val="0"/>
                <w:sz w:val="21"/>
                <w:szCs w:val="21"/>
                <w:lang w:val="en-US" w:eastAsia="zh-CN" w:bidi="ar"/>
              </w:rPr>
              <w:t>，植物篱（青刺果）</w:t>
            </w:r>
            <w:r>
              <w:rPr>
                <w:rFonts w:hint="default" w:ascii="Times New Roman" w:hAnsi="Times New Roman" w:eastAsia="仿宋" w:cs="Times New Roman"/>
                <w:color w:val="auto"/>
                <w:kern w:val="0"/>
                <w:sz w:val="21"/>
                <w:szCs w:val="21"/>
                <w:lang w:val="en-US" w:eastAsia="zh-CN" w:bidi="ar"/>
              </w:rPr>
              <w:t>17755m</w:t>
            </w:r>
            <w:r>
              <w:rPr>
                <w:rFonts w:ascii="Times New Roman" w:hAnsi="Times New Roman" w:eastAsia="仿宋" w:cs="Times New Roman"/>
                <w:color w:val="auto"/>
                <w:kern w:val="0"/>
                <w:sz w:val="21"/>
                <w:szCs w:val="21"/>
                <w:lang w:val="en-US" w:eastAsia="zh-CN" w:bidi="ar"/>
              </w:rPr>
              <w:t>；（2）重要水源地监控能力建设工程：拟对新平县乡（镇）“千吨万人”集中式饮用水水源地：南恩河、达哈河、洋发城水库和光山河水库配备水质自动在线监测站，其中岸壁式自动在线监测站2座，浮标式自动在线监测站2座，共计4座。</w:t>
            </w:r>
          </w:p>
        </w:tc>
        <w:tc>
          <w:tcPr>
            <w:tcW w:w="408" w:type="pct"/>
            <w:vAlign w:val="center"/>
          </w:tcPr>
          <w:p w14:paraId="2E0C9712">
            <w:pPr>
              <w:widowControl/>
              <w:spacing w:line="240" w:lineRule="auto"/>
              <w:jc w:val="center"/>
              <w:textAlignment w:val="center"/>
              <w:rPr>
                <w:rFonts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2022-2023</w:t>
            </w:r>
          </w:p>
        </w:tc>
        <w:tc>
          <w:tcPr>
            <w:tcW w:w="413" w:type="pct"/>
            <w:vAlign w:val="center"/>
          </w:tcPr>
          <w:p w14:paraId="01E07D33">
            <w:pPr>
              <w:widowControl/>
              <w:spacing w:line="240" w:lineRule="auto"/>
              <w:jc w:val="center"/>
              <w:rPr>
                <w:rFonts w:ascii="Times New Roman" w:hAnsi="Times New Roman" w:eastAsia="仿宋" w:cs="Times New Roman"/>
                <w:color w:val="auto"/>
                <w:kern w:val="0"/>
                <w:sz w:val="21"/>
                <w:szCs w:val="21"/>
                <w:lang w:val="en-US" w:eastAsia="zh-CN"/>
              </w:rPr>
            </w:pPr>
            <w:r>
              <w:rPr>
                <w:rFonts w:hint="eastAsia" w:ascii="Times New Roman" w:hAnsi="Times New Roman" w:eastAsia="仿宋" w:cs="Times New Roman"/>
                <w:color w:val="auto"/>
                <w:kern w:val="0"/>
                <w:sz w:val="21"/>
                <w:szCs w:val="21"/>
                <w:lang w:val="en-US" w:eastAsia="zh-CN"/>
              </w:rPr>
              <w:t>2679</w:t>
            </w:r>
          </w:p>
        </w:tc>
        <w:tc>
          <w:tcPr>
            <w:tcW w:w="413" w:type="pct"/>
            <w:vAlign w:val="center"/>
          </w:tcPr>
          <w:p w14:paraId="17941BD7">
            <w:pPr>
              <w:widowControl/>
              <w:spacing w:line="240" w:lineRule="auto"/>
              <w:jc w:val="center"/>
              <w:rPr>
                <w:rFonts w:ascii="Times New Roman" w:hAnsi="Times New Roman" w:eastAsia="仿宋" w:cs="Times New Roman"/>
                <w:color w:val="auto"/>
                <w:kern w:val="0"/>
                <w:sz w:val="21"/>
                <w:szCs w:val="21"/>
                <w:lang w:val="en-US" w:eastAsia="zh-CN"/>
              </w:rPr>
            </w:pPr>
            <w:r>
              <w:rPr>
                <w:rFonts w:hint="eastAsia" w:ascii="Times New Roman" w:hAnsi="Times New Roman" w:eastAsia="仿宋" w:cs="Times New Roman"/>
                <w:color w:val="auto"/>
                <w:kern w:val="0"/>
                <w:sz w:val="21"/>
                <w:szCs w:val="21"/>
                <w:lang w:val="en-US" w:eastAsia="zh-CN"/>
              </w:rPr>
              <w:t>市生态环境局新平分局</w:t>
            </w:r>
          </w:p>
        </w:tc>
        <w:tc>
          <w:tcPr>
            <w:tcW w:w="320" w:type="pct"/>
            <w:vAlign w:val="center"/>
          </w:tcPr>
          <w:p w14:paraId="0DA5C1B3">
            <w:pPr>
              <w:widowControl/>
              <w:spacing w:line="240" w:lineRule="auto"/>
              <w:jc w:val="center"/>
              <w:rPr>
                <w:rFonts w:hint="eastAsia" w:ascii="Times New Roman" w:hAnsi="Times New Roman" w:eastAsia="仿宋" w:cs="Times New Roman"/>
                <w:color w:val="auto"/>
                <w:kern w:val="0"/>
                <w:sz w:val="21"/>
                <w:szCs w:val="21"/>
                <w:lang w:val="en-US" w:eastAsia="zh-CN"/>
              </w:rPr>
            </w:pPr>
            <w:r>
              <w:rPr>
                <w:rFonts w:hint="eastAsia" w:ascii="Times New Roman" w:hAnsi="Times New Roman" w:eastAsia="仿宋" w:cs="Times New Roman"/>
                <w:color w:val="auto"/>
                <w:kern w:val="0"/>
                <w:sz w:val="21"/>
                <w:szCs w:val="21"/>
                <w:lang w:val="en-US" w:eastAsia="zh-CN"/>
              </w:rPr>
              <w:t>政府投资类</w:t>
            </w:r>
          </w:p>
        </w:tc>
        <w:tc>
          <w:tcPr>
            <w:tcW w:w="569" w:type="pct"/>
            <w:vAlign w:val="center"/>
          </w:tcPr>
          <w:p w14:paraId="45E8D093">
            <w:pPr>
              <w:widowControl/>
              <w:spacing w:line="240" w:lineRule="auto"/>
              <w:jc w:val="center"/>
              <w:textAlignment w:val="center"/>
              <w:rPr>
                <w:rFonts w:ascii="Times New Roman" w:hAnsi="Times New Roman" w:eastAsia="仿宋" w:cs="Times New Roman"/>
                <w:color w:val="auto"/>
                <w:sz w:val="21"/>
                <w:szCs w:val="21"/>
              </w:rPr>
            </w:pPr>
            <w:r>
              <w:rPr>
                <w:rFonts w:ascii="Times New Roman" w:hAnsi="Times New Roman" w:eastAsia="仿宋" w:cs="Times New Roman"/>
                <w:color w:val="auto"/>
                <w:kern w:val="0"/>
                <w:sz w:val="21"/>
                <w:szCs w:val="21"/>
                <w:lang w:bidi="ar"/>
              </w:rPr>
              <w:t>集中式饮用水水源地水质优良比例</w:t>
            </w:r>
          </w:p>
        </w:tc>
      </w:tr>
      <w:tr w14:paraId="5B52B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70" w:type="pct"/>
            <w:vMerge w:val="continue"/>
            <w:vAlign w:val="center"/>
          </w:tcPr>
          <w:p w14:paraId="7EA91FC5">
            <w:pPr>
              <w:spacing w:line="240" w:lineRule="auto"/>
              <w:jc w:val="center"/>
              <w:rPr>
                <w:rFonts w:ascii="Times New Roman" w:hAnsi="Times New Roman" w:eastAsia="仿宋" w:cs="Times New Roman"/>
                <w:color w:val="auto"/>
                <w:sz w:val="21"/>
                <w:szCs w:val="21"/>
              </w:rPr>
            </w:pPr>
          </w:p>
        </w:tc>
        <w:tc>
          <w:tcPr>
            <w:tcW w:w="255" w:type="pct"/>
            <w:vAlign w:val="center"/>
          </w:tcPr>
          <w:p w14:paraId="46204AA9">
            <w:pPr>
              <w:widowControl/>
              <w:spacing w:line="240" w:lineRule="auto"/>
              <w:jc w:val="center"/>
              <w:textAlignment w:val="center"/>
              <w:rPr>
                <w:rFonts w:ascii="Times New Roman" w:hAnsi="Times New Roman" w:eastAsia="仿宋" w:cs="Times New Roman"/>
                <w:color w:val="auto"/>
                <w:kern w:val="0"/>
                <w:sz w:val="21"/>
                <w:szCs w:val="21"/>
                <w:lang w:bidi="ar"/>
              </w:rPr>
            </w:pPr>
            <w:r>
              <w:rPr>
                <w:rFonts w:hint="eastAsia" w:ascii="Times New Roman" w:hAnsi="Times New Roman" w:eastAsia="仿宋" w:cs="Times New Roman"/>
                <w:color w:val="auto"/>
                <w:kern w:val="0"/>
                <w:sz w:val="21"/>
                <w:szCs w:val="21"/>
                <w:lang w:val="en-US" w:eastAsia="zh-CN" w:bidi="ar"/>
              </w:rPr>
              <w:t>2</w:t>
            </w:r>
          </w:p>
        </w:tc>
        <w:tc>
          <w:tcPr>
            <w:tcW w:w="631" w:type="pct"/>
            <w:tcBorders>
              <w:top w:val="single" w:color="auto" w:sz="4" w:space="0"/>
              <w:left w:val="single" w:color="auto" w:sz="4" w:space="0"/>
              <w:bottom w:val="single" w:color="auto" w:sz="4" w:space="0"/>
              <w:right w:val="single" w:color="auto" w:sz="4" w:space="0"/>
            </w:tcBorders>
            <w:shd w:val="clear" w:color="auto" w:fill="auto"/>
            <w:vAlign w:val="center"/>
          </w:tcPr>
          <w:p w14:paraId="51180B56">
            <w:pPr>
              <w:widowControl/>
              <w:spacing w:line="240" w:lineRule="auto"/>
              <w:jc w:val="center"/>
              <w:textAlignment w:val="center"/>
              <w:rPr>
                <w:rFonts w:ascii="Times New Roman" w:hAnsi="Times New Roman" w:eastAsia="仿宋" w:cs="Times New Roman"/>
                <w:color w:val="auto"/>
                <w:kern w:val="0"/>
                <w:sz w:val="21"/>
                <w:szCs w:val="21"/>
                <w:lang w:bidi="ar"/>
              </w:rPr>
            </w:pPr>
            <w:r>
              <w:rPr>
                <w:rFonts w:hint="eastAsia" w:ascii="Times New Roman" w:hAnsi="Times New Roman" w:eastAsia="仿宋" w:cs="Times New Roman"/>
                <w:color w:val="auto"/>
                <w:kern w:val="0"/>
                <w:sz w:val="21"/>
                <w:szCs w:val="21"/>
                <w:lang w:val="en-US" w:eastAsia="zh-CN" w:bidi="ar"/>
              </w:rPr>
              <w:t>新平县农村供水保障工程</w:t>
            </w:r>
          </w:p>
        </w:tc>
        <w:tc>
          <w:tcPr>
            <w:tcW w:w="1816" w:type="pct"/>
            <w:vAlign w:val="center"/>
          </w:tcPr>
          <w:p w14:paraId="7A5179FB">
            <w:pPr>
              <w:widowControl/>
              <w:spacing w:line="240" w:lineRule="auto"/>
              <w:jc w:val="center"/>
              <w:textAlignment w:val="center"/>
              <w:rPr>
                <w:rFonts w:ascii="Times New Roman" w:hAnsi="Times New Roman" w:eastAsia="仿宋" w:cs="Times New Roman"/>
                <w:color w:val="auto"/>
                <w:kern w:val="0"/>
                <w:sz w:val="21"/>
                <w:szCs w:val="21"/>
                <w:lang w:bidi="ar"/>
              </w:rPr>
            </w:pPr>
            <w:r>
              <w:rPr>
                <w:rFonts w:hint="eastAsia" w:ascii="Times New Roman" w:hAnsi="Times New Roman" w:eastAsia="仿宋" w:cs="Times New Roman"/>
                <w:color w:val="auto"/>
                <w:kern w:val="0"/>
                <w:sz w:val="21"/>
                <w:szCs w:val="21"/>
                <w:lang w:val="en-US" w:eastAsia="zh-CN" w:bidi="ar"/>
              </w:rPr>
              <w:t>共新建、改造配套各类农村供水工程116处，工程覆盖人口16余万人，其中新增覆盖人口15余万人，新增供水规模19569 m3/d。安装水质净化设备136套，消毒设备136套；管网配套1638km；进、出水厂水计量装置228块；规模化水厂水质化验室建设1处，规模化水厂自动化监控系统建设48处。</w:t>
            </w:r>
          </w:p>
        </w:tc>
        <w:tc>
          <w:tcPr>
            <w:tcW w:w="408" w:type="pct"/>
            <w:vAlign w:val="center"/>
          </w:tcPr>
          <w:p w14:paraId="42BF130E">
            <w:pPr>
              <w:widowControl/>
              <w:spacing w:line="240" w:lineRule="auto"/>
              <w:jc w:val="center"/>
              <w:textAlignment w:val="center"/>
              <w:rPr>
                <w:rFonts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2022-2025</w:t>
            </w:r>
          </w:p>
        </w:tc>
        <w:tc>
          <w:tcPr>
            <w:tcW w:w="413" w:type="pct"/>
            <w:vAlign w:val="center"/>
          </w:tcPr>
          <w:p w14:paraId="6C834469">
            <w:pPr>
              <w:widowControl/>
              <w:spacing w:line="240" w:lineRule="auto"/>
              <w:jc w:val="center"/>
              <w:rPr>
                <w:rFonts w:ascii="Times New Roman" w:hAnsi="Times New Roman" w:eastAsia="仿宋" w:cs="Times New Roman"/>
                <w:color w:val="auto"/>
                <w:kern w:val="0"/>
                <w:sz w:val="21"/>
                <w:szCs w:val="21"/>
                <w:lang w:val="en-US" w:eastAsia="zh-CN"/>
              </w:rPr>
            </w:pPr>
            <w:r>
              <w:rPr>
                <w:rFonts w:hint="eastAsia" w:ascii="Times New Roman" w:hAnsi="Times New Roman" w:eastAsia="仿宋" w:cs="Times New Roman"/>
                <w:color w:val="auto"/>
                <w:kern w:val="0"/>
                <w:sz w:val="21"/>
                <w:szCs w:val="21"/>
                <w:lang w:val="en-US" w:eastAsia="zh-CN"/>
              </w:rPr>
              <w:t>17422</w:t>
            </w:r>
          </w:p>
        </w:tc>
        <w:tc>
          <w:tcPr>
            <w:tcW w:w="413" w:type="pct"/>
            <w:vAlign w:val="center"/>
          </w:tcPr>
          <w:p w14:paraId="452DEFFF">
            <w:pPr>
              <w:widowControl/>
              <w:spacing w:line="240" w:lineRule="auto"/>
              <w:jc w:val="center"/>
              <w:rPr>
                <w:rFonts w:ascii="Times New Roman" w:hAnsi="Times New Roman" w:eastAsia="仿宋" w:cs="Times New Roman"/>
                <w:color w:val="auto"/>
                <w:kern w:val="0"/>
                <w:sz w:val="21"/>
                <w:szCs w:val="21"/>
                <w:lang w:val="en-US" w:eastAsia="zh-CN"/>
              </w:rPr>
            </w:pPr>
            <w:r>
              <w:rPr>
                <w:rFonts w:hint="eastAsia" w:ascii="Times New Roman" w:hAnsi="Times New Roman" w:eastAsia="仿宋" w:cs="Times New Roman"/>
                <w:color w:val="auto"/>
                <w:kern w:val="0"/>
                <w:sz w:val="21"/>
                <w:szCs w:val="21"/>
                <w:lang w:val="en-US" w:eastAsia="zh-CN"/>
              </w:rPr>
              <w:t>县水利局</w:t>
            </w:r>
          </w:p>
        </w:tc>
        <w:tc>
          <w:tcPr>
            <w:tcW w:w="320" w:type="pct"/>
            <w:vAlign w:val="center"/>
          </w:tcPr>
          <w:p w14:paraId="62DC170A">
            <w:pPr>
              <w:widowControl/>
              <w:spacing w:line="240" w:lineRule="auto"/>
              <w:jc w:val="center"/>
              <w:rPr>
                <w:rFonts w:hint="eastAsia" w:ascii="Times New Roman" w:hAnsi="Times New Roman" w:eastAsia="仿宋" w:cs="Times New Roman"/>
                <w:color w:val="auto"/>
                <w:kern w:val="0"/>
                <w:sz w:val="21"/>
                <w:szCs w:val="21"/>
                <w:lang w:val="en-US" w:eastAsia="zh-CN"/>
              </w:rPr>
            </w:pPr>
            <w:r>
              <w:rPr>
                <w:rFonts w:hint="eastAsia" w:ascii="Times New Roman" w:hAnsi="Times New Roman" w:eastAsia="仿宋" w:cs="Times New Roman"/>
                <w:color w:val="auto"/>
                <w:kern w:val="0"/>
                <w:sz w:val="21"/>
                <w:szCs w:val="21"/>
                <w:lang w:val="en-US" w:eastAsia="zh-CN"/>
              </w:rPr>
              <w:t>政府投入</w:t>
            </w:r>
          </w:p>
        </w:tc>
        <w:tc>
          <w:tcPr>
            <w:tcW w:w="569" w:type="pct"/>
            <w:vAlign w:val="center"/>
          </w:tcPr>
          <w:p w14:paraId="5333801B">
            <w:pPr>
              <w:widowControl/>
              <w:spacing w:line="240" w:lineRule="auto"/>
              <w:jc w:val="center"/>
              <w:textAlignment w:val="center"/>
              <w:rPr>
                <w:rFonts w:ascii="Times New Roman" w:hAnsi="Times New Roman" w:eastAsia="仿宋" w:cs="Times New Roman"/>
                <w:color w:val="auto"/>
                <w:kern w:val="0"/>
                <w:sz w:val="21"/>
                <w:szCs w:val="21"/>
                <w:lang w:bidi="ar"/>
              </w:rPr>
            </w:pPr>
            <w:r>
              <w:rPr>
                <w:rFonts w:ascii="Times New Roman" w:hAnsi="Times New Roman" w:eastAsia="仿宋" w:cs="Times New Roman"/>
                <w:color w:val="auto"/>
                <w:kern w:val="0"/>
                <w:sz w:val="21"/>
                <w:szCs w:val="21"/>
                <w:lang w:bidi="ar"/>
              </w:rPr>
              <w:t>城镇污水处理率</w:t>
            </w:r>
          </w:p>
        </w:tc>
      </w:tr>
      <w:tr w14:paraId="04337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70" w:type="pct"/>
            <w:vMerge w:val="continue"/>
            <w:vAlign w:val="center"/>
          </w:tcPr>
          <w:p w14:paraId="7CBA2A77">
            <w:pPr>
              <w:spacing w:line="240" w:lineRule="auto"/>
              <w:jc w:val="center"/>
              <w:rPr>
                <w:rFonts w:ascii="Times New Roman" w:hAnsi="Times New Roman" w:eastAsia="仿宋" w:cs="Times New Roman"/>
                <w:color w:val="auto"/>
                <w:sz w:val="21"/>
                <w:szCs w:val="21"/>
              </w:rPr>
            </w:pPr>
          </w:p>
        </w:tc>
        <w:tc>
          <w:tcPr>
            <w:tcW w:w="255" w:type="pct"/>
            <w:vAlign w:val="center"/>
          </w:tcPr>
          <w:p w14:paraId="21FD7820">
            <w:pPr>
              <w:widowControl/>
              <w:spacing w:line="240" w:lineRule="auto"/>
              <w:jc w:val="center"/>
              <w:textAlignment w:val="center"/>
              <w:rPr>
                <w:rFonts w:ascii="Times New Roman" w:hAnsi="Times New Roman" w:eastAsia="仿宋" w:cs="Times New Roman"/>
                <w:color w:val="auto"/>
                <w:kern w:val="0"/>
                <w:sz w:val="21"/>
                <w:szCs w:val="21"/>
                <w:lang w:bidi="ar"/>
              </w:rPr>
            </w:pPr>
            <w:r>
              <w:rPr>
                <w:rFonts w:hint="eastAsia" w:ascii="Times New Roman" w:hAnsi="Times New Roman" w:eastAsia="仿宋" w:cs="Times New Roman"/>
                <w:color w:val="auto"/>
                <w:kern w:val="0"/>
                <w:sz w:val="21"/>
                <w:szCs w:val="21"/>
                <w:lang w:val="en-US" w:eastAsia="zh-CN" w:bidi="ar"/>
              </w:rPr>
              <w:t>3</w:t>
            </w:r>
          </w:p>
        </w:tc>
        <w:tc>
          <w:tcPr>
            <w:tcW w:w="631" w:type="pct"/>
            <w:tcBorders>
              <w:top w:val="single" w:color="auto" w:sz="4" w:space="0"/>
              <w:left w:val="single" w:color="auto" w:sz="4" w:space="0"/>
              <w:bottom w:val="single" w:color="auto" w:sz="4" w:space="0"/>
              <w:right w:val="single" w:color="auto" w:sz="4" w:space="0"/>
            </w:tcBorders>
            <w:shd w:val="clear" w:color="auto" w:fill="auto"/>
            <w:vAlign w:val="center"/>
          </w:tcPr>
          <w:p w14:paraId="148A20C9">
            <w:pPr>
              <w:widowControl/>
              <w:spacing w:line="240" w:lineRule="auto"/>
              <w:jc w:val="center"/>
              <w:textAlignment w:val="center"/>
              <w:rPr>
                <w:rFonts w:ascii="Times New Roman" w:hAnsi="Times New Roman" w:eastAsia="仿宋" w:cs="Times New Roman"/>
                <w:color w:val="auto"/>
                <w:kern w:val="0"/>
                <w:sz w:val="21"/>
                <w:szCs w:val="21"/>
                <w:lang w:bidi="ar"/>
              </w:rPr>
            </w:pPr>
            <w:r>
              <w:rPr>
                <w:rFonts w:hint="eastAsia" w:ascii="Times New Roman" w:hAnsi="Times New Roman" w:eastAsia="仿宋" w:cs="Times New Roman"/>
                <w:color w:val="auto"/>
                <w:kern w:val="0"/>
                <w:sz w:val="21"/>
                <w:szCs w:val="21"/>
                <w:lang w:val="en-US" w:eastAsia="zh-CN" w:bidi="ar"/>
              </w:rPr>
              <w:t>新平县扬武集镇生活污水处理厂及配套管网工程</w:t>
            </w:r>
          </w:p>
        </w:tc>
        <w:tc>
          <w:tcPr>
            <w:tcW w:w="1816" w:type="pct"/>
            <w:tcBorders>
              <w:top w:val="single" w:color="auto" w:sz="4" w:space="0"/>
              <w:left w:val="single" w:color="auto" w:sz="4" w:space="0"/>
              <w:bottom w:val="single" w:color="auto" w:sz="4" w:space="0"/>
              <w:right w:val="single" w:color="auto" w:sz="4" w:space="0"/>
            </w:tcBorders>
            <w:shd w:val="clear" w:color="auto" w:fill="auto"/>
            <w:vAlign w:val="center"/>
          </w:tcPr>
          <w:p w14:paraId="1735ACFA">
            <w:pPr>
              <w:widowControl/>
              <w:spacing w:line="240" w:lineRule="auto"/>
              <w:jc w:val="center"/>
              <w:textAlignment w:val="center"/>
              <w:rPr>
                <w:rFonts w:ascii="Times New Roman" w:hAnsi="Times New Roman" w:eastAsia="仿宋" w:cs="Times New Roman"/>
                <w:color w:val="auto"/>
                <w:kern w:val="0"/>
                <w:sz w:val="21"/>
                <w:szCs w:val="21"/>
                <w:lang w:bidi="ar"/>
              </w:rPr>
            </w:pPr>
            <w:r>
              <w:rPr>
                <w:rFonts w:hint="eastAsia" w:ascii="Times New Roman" w:hAnsi="Times New Roman" w:eastAsia="仿宋" w:cs="Times New Roman"/>
                <w:color w:val="auto"/>
                <w:kern w:val="0"/>
                <w:sz w:val="21"/>
                <w:szCs w:val="21"/>
                <w:lang w:val="en-US" w:eastAsia="zh-CN" w:bidi="ar"/>
              </w:rPr>
              <w:t>近期处理规模</w:t>
            </w:r>
            <w:r>
              <w:rPr>
                <w:rFonts w:hint="default" w:ascii="Times New Roman" w:hAnsi="Times New Roman" w:eastAsia="仿宋" w:cs="Times New Roman"/>
                <w:color w:val="auto"/>
                <w:kern w:val="0"/>
                <w:sz w:val="21"/>
                <w:szCs w:val="21"/>
                <w:lang w:val="en-US" w:eastAsia="zh-CN" w:bidi="ar"/>
              </w:rPr>
              <w:t>1500m³/d</w:t>
            </w:r>
            <w:r>
              <w:rPr>
                <w:rFonts w:ascii="Times New Roman" w:hAnsi="Times New Roman" w:eastAsia="仿宋" w:cs="Times New Roman"/>
                <w:color w:val="auto"/>
                <w:kern w:val="0"/>
                <w:sz w:val="21"/>
                <w:szCs w:val="21"/>
                <w:lang w:val="en-US" w:eastAsia="zh-CN" w:bidi="ar"/>
              </w:rPr>
              <w:t>、远期</w:t>
            </w:r>
            <w:r>
              <w:rPr>
                <w:rFonts w:hint="default" w:ascii="Times New Roman" w:hAnsi="Times New Roman" w:eastAsia="仿宋" w:cs="Times New Roman"/>
                <w:color w:val="auto"/>
                <w:kern w:val="0"/>
                <w:sz w:val="21"/>
                <w:szCs w:val="21"/>
                <w:lang w:val="en-US" w:eastAsia="zh-CN" w:bidi="ar"/>
              </w:rPr>
              <w:t>2500m³/d</w:t>
            </w:r>
            <w:r>
              <w:rPr>
                <w:rFonts w:ascii="Times New Roman" w:hAnsi="Times New Roman" w:eastAsia="仿宋" w:cs="Times New Roman"/>
                <w:color w:val="auto"/>
                <w:kern w:val="0"/>
                <w:sz w:val="21"/>
                <w:szCs w:val="21"/>
                <w:lang w:val="en-US" w:eastAsia="zh-CN" w:bidi="ar"/>
              </w:rPr>
              <w:t>，污水处理采用</w:t>
            </w:r>
            <w:r>
              <w:rPr>
                <w:rFonts w:hint="default" w:ascii="Times New Roman" w:hAnsi="Times New Roman" w:eastAsia="仿宋" w:cs="Times New Roman"/>
                <w:color w:val="auto"/>
                <w:kern w:val="0"/>
                <w:sz w:val="21"/>
                <w:szCs w:val="21"/>
                <w:lang w:val="en-US" w:eastAsia="zh-CN" w:bidi="ar"/>
              </w:rPr>
              <w:t>A2O</w:t>
            </w:r>
            <w:r>
              <w:rPr>
                <w:rFonts w:ascii="Times New Roman" w:hAnsi="Times New Roman" w:eastAsia="仿宋" w:cs="Times New Roman"/>
                <w:color w:val="auto"/>
                <w:kern w:val="0"/>
                <w:sz w:val="21"/>
                <w:szCs w:val="21"/>
                <w:lang w:val="en-US" w:eastAsia="zh-CN" w:bidi="ar"/>
              </w:rPr>
              <w:t>工艺，铺设老城区管网</w:t>
            </w:r>
            <w:r>
              <w:rPr>
                <w:rFonts w:hint="default" w:ascii="Times New Roman" w:hAnsi="Times New Roman" w:eastAsia="仿宋" w:cs="Times New Roman"/>
                <w:color w:val="auto"/>
                <w:kern w:val="0"/>
                <w:sz w:val="21"/>
                <w:szCs w:val="21"/>
                <w:lang w:val="en-US" w:eastAsia="zh-CN" w:bidi="ar"/>
              </w:rPr>
              <w:t>10</w:t>
            </w:r>
            <w:r>
              <w:rPr>
                <w:rFonts w:ascii="Times New Roman" w:hAnsi="Times New Roman" w:eastAsia="仿宋" w:cs="Times New Roman"/>
                <w:color w:val="auto"/>
                <w:kern w:val="0"/>
                <w:sz w:val="21"/>
                <w:szCs w:val="21"/>
                <w:lang w:val="en-US" w:eastAsia="zh-CN" w:bidi="ar"/>
              </w:rPr>
              <w:t>千米</w:t>
            </w:r>
            <w:r>
              <w:rPr>
                <w:rFonts w:hint="eastAsia" w:ascii="Times New Roman" w:hAnsi="Times New Roman" w:eastAsia="仿宋" w:cs="Times New Roman"/>
                <w:color w:val="auto"/>
                <w:kern w:val="0"/>
                <w:sz w:val="21"/>
                <w:szCs w:val="21"/>
                <w:lang w:val="en-US" w:eastAsia="zh-CN" w:bidi="ar"/>
              </w:rPr>
              <w:t>，</w:t>
            </w:r>
            <w:r>
              <w:rPr>
                <w:rFonts w:ascii="Times New Roman" w:hAnsi="Times New Roman" w:eastAsia="仿宋" w:cs="Times New Roman"/>
                <w:color w:val="auto"/>
                <w:kern w:val="0"/>
                <w:sz w:val="21"/>
                <w:szCs w:val="21"/>
                <w:lang w:val="en-US" w:eastAsia="zh-CN" w:bidi="ar"/>
              </w:rPr>
              <w:t>覆盖集镇区域（包括扬武集镇、大开门片区）。</w:t>
            </w:r>
          </w:p>
        </w:tc>
        <w:tc>
          <w:tcPr>
            <w:tcW w:w="408" w:type="pct"/>
            <w:tcBorders>
              <w:top w:val="single" w:color="auto" w:sz="4" w:space="0"/>
              <w:left w:val="single" w:color="auto" w:sz="4" w:space="0"/>
              <w:bottom w:val="single" w:color="auto" w:sz="4" w:space="0"/>
              <w:right w:val="single" w:color="auto" w:sz="4" w:space="0"/>
            </w:tcBorders>
            <w:shd w:val="clear" w:color="auto" w:fill="auto"/>
            <w:vAlign w:val="center"/>
          </w:tcPr>
          <w:p w14:paraId="5B348415">
            <w:pPr>
              <w:widowControl/>
              <w:spacing w:line="240" w:lineRule="auto"/>
              <w:jc w:val="center"/>
              <w:textAlignment w:val="center"/>
              <w:rPr>
                <w:rFonts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2021-2023</w:t>
            </w:r>
          </w:p>
        </w:tc>
        <w:tc>
          <w:tcPr>
            <w:tcW w:w="413" w:type="pct"/>
            <w:tcBorders>
              <w:top w:val="single" w:color="auto" w:sz="4" w:space="0"/>
              <w:left w:val="single" w:color="auto" w:sz="4" w:space="0"/>
              <w:bottom w:val="single" w:color="auto" w:sz="4" w:space="0"/>
              <w:right w:val="single" w:color="auto" w:sz="4" w:space="0"/>
            </w:tcBorders>
            <w:shd w:val="clear" w:color="auto" w:fill="auto"/>
            <w:vAlign w:val="center"/>
          </w:tcPr>
          <w:p w14:paraId="180D76BA">
            <w:pPr>
              <w:widowControl/>
              <w:spacing w:line="240" w:lineRule="auto"/>
              <w:jc w:val="center"/>
              <w:rPr>
                <w:rFonts w:ascii="Times New Roman" w:hAnsi="Times New Roman" w:eastAsia="仿宋" w:cs="Times New Roman"/>
                <w:color w:val="auto"/>
                <w:kern w:val="0"/>
                <w:sz w:val="21"/>
                <w:szCs w:val="21"/>
                <w:lang w:val="en-US" w:eastAsia="zh-CN"/>
              </w:rPr>
            </w:pPr>
            <w:r>
              <w:rPr>
                <w:rFonts w:hint="eastAsia" w:ascii="Times New Roman" w:hAnsi="Times New Roman" w:eastAsia="仿宋" w:cs="Times New Roman"/>
                <w:color w:val="auto"/>
                <w:kern w:val="0"/>
                <w:sz w:val="21"/>
                <w:szCs w:val="21"/>
                <w:lang w:val="en-US" w:eastAsia="zh-CN"/>
              </w:rPr>
              <w:t>3373</w:t>
            </w:r>
          </w:p>
        </w:tc>
        <w:tc>
          <w:tcPr>
            <w:tcW w:w="413" w:type="pct"/>
            <w:shd w:val="clear" w:color="auto" w:fill="auto"/>
            <w:vAlign w:val="center"/>
          </w:tcPr>
          <w:p w14:paraId="04FA4367">
            <w:pPr>
              <w:widowControl/>
              <w:spacing w:line="240" w:lineRule="auto"/>
              <w:jc w:val="center"/>
              <w:rPr>
                <w:rFonts w:ascii="Times New Roman" w:hAnsi="Times New Roman" w:eastAsia="仿宋" w:cs="Times New Roman"/>
                <w:color w:val="auto"/>
                <w:kern w:val="0"/>
                <w:sz w:val="21"/>
                <w:szCs w:val="21"/>
                <w:lang w:val="en-US" w:eastAsia="zh-CN"/>
              </w:rPr>
            </w:pPr>
            <w:r>
              <w:rPr>
                <w:rFonts w:hint="eastAsia" w:ascii="Times New Roman" w:hAnsi="Times New Roman" w:eastAsia="仿宋" w:cs="Times New Roman"/>
                <w:color w:val="auto"/>
                <w:kern w:val="0"/>
                <w:sz w:val="21"/>
                <w:szCs w:val="21"/>
                <w:lang w:val="en-US" w:eastAsia="zh-CN"/>
              </w:rPr>
              <w:t>县住建局</w:t>
            </w:r>
          </w:p>
        </w:tc>
        <w:tc>
          <w:tcPr>
            <w:tcW w:w="320" w:type="pct"/>
            <w:shd w:val="clear" w:color="auto" w:fill="auto"/>
            <w:vAlign w:val="center"/>
          </w:tcPr>
          <w:p w14:paraId="14CFB273">
            <w:pPr>
              <w:widowControl/>
              <w:spacing w:line="240" w:lineRule="auto"/>
              <w:jc w:val="center"/>
              <w:rPr>
                <w:rFonts w:hint="eastAsia" w:ascii="Times New Roman" w:hAnsi="Times New Roman" w:eastAsia="仿宋" w:cs="Times New Roman"/>
                <w:color w:val="auto"/>
                <w:kern w:val="0"/>
                <w:sz w:val="21"/>
                <w:szCs w:val="21"/>
                <w:lang w:val="en-US" w:eastAsia="zh-CN"/>
              </w:rPr>
            </w:pPr>
            <w:r>
              <w:rPr>
                <w:rFonts w:hint="eastAsia" w:ascii="Times New Roman" w:hAnsi="Times New Roman" w:eastAsia="仿宋" w:cs="Times New Roman"/>
                <w:color w:val="auto"/>
                <w:kern w:val="0"/>
                <w:sz w:val="21"/>
                <w:szCs w:val="21"/>
                <w:lang w:val="en-US" w:eastAsia="zh-CN"/>
              </w:rPr>
              <w:t>政府投入</w:t>
            </w:r>
          </w:p>
        </w:tc>
        <w:tc>
          <w:tcPr>
            <w:tcW w:w="569" w:type="pct"/>
            <w:shd w:val="clear" w:color="auto" w:fill="auto"/>
            <w:vAlign w:val="center"/>
          </w:tcPr>
          <w:p w14:paraId="1649ECAE">
            <w:pPr>
              <w:widowControl/>
              <w:spacing w:line="240" w:lineRule="auto"/>
              <w:jc w:val="center"/>
              <w:textAlignment w:val="center"/>
              <w:rPr>
                <w:rFonts w:ascii="Times New Roman" w:hAnsi="Times New Roman" w:eastAsia="仿宋" w:cs="Times New Roman"/>
                <w:color w:val="auto"/>
                <w:kern w:val="0"/>
                <w:sz w:val="21"/>
                <w:szCs w:val="21"/>
                <w:lang w:bidi="ar"/>
              </w:rPr>
            </w:pPr>
            <w:r>
              <w:rPr>
                <w:rFonts w:ascii="Times New Roman" w:hAnsi="Times New Roman" w:eastAsia="仿宋" w:cs="Times New Roman"/>
                <w:color w:val="auto"/>
                <w:kern w:val="0"/>
                <w:sz w:val="21"/>
                <w:szCs w:val="21"/>
                <w:lang w:bidi="ar"/>
              </w:rPr>
              <w:t>城镇污水处理率</w:t>
            </w:r>
          </w:p>
        </w:tc>
      </w:tr>
      <w:tr w14:paraId="3129F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70" w:type="pct"/>
            <w:vMerge w:val="continue"/>
            <w:vAlign w:val="center"/>
          </w:tcPr>
          <w:p w14:paraId="6F4D78DC">
            <w:pPr>
              <w:spacing w:line="240" w:lineRule="auto"/>
              <w:jc w:val="center"/>
              <w:rPr>
                <w:rFonts w:ascii="Times New Roman" w:hAnsi="Times New Roman" w:eastAsia="仿宋" w:cs="Times New Roman"/>
                <w:color w:val="auto"/>
                <w:sz w:val="21"/>
                <w:szCs w:val="21"/>
              </w:rPr>
            </w:pPr>
          </w:p>
        </w:tc>
        <w:tc>
          <w:tcPr>
            <w:tcW w:w="255" w:type="pct"/>
            <w:vAlign w:val="center"/>
          </w:tcPr>
          <w:p w14:paraId="04A2173B">
            <w:pPr>
              <w:widowControl/>
              <w:spacing w:line="240" w:lineRule="auto"/>
              <w:jc w:val="center"/>
              <w:textAlignment w:val="center"/>
              <w:rPr>
                <w:rFonts w:ascii="Times New Roman" w:hAnsi="Times New Roman" w:eastAsia="仿宋" w:cs="Times New Roman"/>
                <w:color w:val="auto"/>
                <w:kern w:val="0"/>
                <w:sz w:val="21"/>
                <w:szCs w:val="21"/>
                <w:lang w:bidi="ar"/>
              </w:rPr>
            </w:pPr>
            <w:r>
              <w:rPr>
                <w:rFonts w:hint="eastAsia" w:ascii="Times New Roman" w:hAnsi="Times New Roman" w:eastAsia="仿宋" w:cs="Times New Roman"/>
                <w:color w:val="auto"/>
                <w:kern w:val="0"/>
                <w:sz w:val="21"/>
                <w:szCs w:val="21"/>
                <w:lang w:val="en-US" w:eastAsia="zh-CN" w:bidi="ar"/>
              </w:rPr>
              <w:t>4</w:t>
            </w:r>
          </w:p>
        </w:tc>
        <w:tc>
          <w:tcPr>
            <w:tcW w:w="631" w:type="pct"/>
            <w:tcBorders>
              <w:top w:val="nil"/>
              <w:left w:val="single" w:color="auto" w:sz="4" w:space="0"/>
              <w:bottom w:val="single" w:color="auto" w:sz="4" w:space="0"/>
              <w:right w:val="single" w:color="auto" w:sz="4" w:space="0"/>
            </w:tcBorders>
            <w:shd w:val="clear" w:color="auto" w:fill="auto"/>
            <w:vAlign w:val="center"/>
          </w:tcPr>
          <w:p w14:paraId="77A2E430">
            <w:pPr>
              <w:widowControl/>
              <w:spacing w:line="240" w:lineRule="auto"/>
              <w:jc w:val="center"/>
              <w:textAlignment w:val="center"/>
              <w:rPr>
                <w:rFonts w:ascii="Times New Roman" w:hAnsi="Times New Roman" w:eastAsia="仿宋" w:cs="Times New Roman"/>
                <w:color w:val="auto"/>
                <w:kern w:val="0"/>
                <w:sz w:val="21"/>
                <w:szCs w:val="21"/>
                <w:lang w:bidi="ar"/>
              </w:rPr>
            </w:pPr>
            <w:r>
              <w:rPr>
                <w:rFonts w:hint="eastAsia" w:ascii="Times New Roman" w:hAnsi="Times New Roman" w:eastAsia="仿宋" w:cs="Times New Roman"/>
                <w:color w:val="auto"/>
                <w:kern w:val="0"/>
                <w:sz w:val="21"/>
                <w:szCs w:val="21"/>
                <w:lang w:val="en-US" w:eastAsia="zh-CN" w:bidi="ar"/>
              </w:rPr>
              <w:t>新平县老厂乡集镇生活污水和生活垃圾处理设施</w:t>
            </w:r>
          </w:p>
        </w:tc>
        <w:tc>
          <w:tcPr>
            <w:tcW w:w="1816" w:type="pct"/>
            <w:tcBorders>
              <w:top w:val="nil"/>
              <w:left w:val="single" w:color="auto" w:sz="4" w:space="0"/>
              <w:bottom w:val="single" w:color="auto" w:sz="4" w:space="0"/>
              <w:right w:val="single" w:color="auto" w:sz="4" w:space="0"/>
            </w:tcBorders>
            <w:shd w:val="clear" w:color="auto" w:fill="auto"/>
            <w:vAlign w:val="center"/>
          </w:tcPr>
          <w:p w14:paraId="12F11785">
            <w:pPr>
              <w:widowControl/>
              <w:spacing w:line="240" w:lineRule="auto"/>
              <w:jc w:val="center"/>
              <w:textAlignment w:val="center"/>
              <w:rPr>
                <w:rFonts w:ascii="Times New Roman" w:hAnsi="Times New Roman" w:eastAsia="仿宋" w:cs="Times New Roman"/>
                <w:color w:val="auto"/>
                <w:kern w:val="0"/>
                <w:sz w:val="21"/>
                <w:szCs w:val="21"/>
                <w:lang w:bidi="ar"/>
              </w:rPr>
            </w:pPr>
            <w:r>
              <w:rPr>
                <w:rFonts w:hint="eastAsia" w:ascii="Times New Roman" w:hAnsi="Times New Roman" w:eastAsia="仿宋" w:cs="Times New Roman"/>
                <w:color w:val="auto"/>
                <w:kern w:val="0"/>
                <w:sz w:val="21"/>
                <w:szCs w:val="21"/>
                <w:lang w:val="en-US" w:eastAsia="zh-CN" w:bidi="ar"/>
              </w:rPr>
              <w:t>建设污水处理站</w:t>
            </w:r>
            <w:r>
              <w:rPr>
                <w:rFonts w:hint="default" w:ascii="Times New Roman" w:hAnsi="Times New Roman" w:eastAsia="仿宋" w:cs="Times New Roman"/>
                <w:color w:val="auto"/>
                <w:kern w:val="0"/>
                <w:sz w:val="21"/>
                <w:szCs w:val="21"/>
                <w:lang w:val="en-US" w:eastAsia="zh-CN" w:bidi="ar"/>
              </w:rPr>
              <w:t>1</w:t>
            </w:r>
            <w:r>
              <w:rPr>
                <w:rFonts w:ascii="Times New Roman" w:hAnsi="Times New Roman" w:eastAsia="仿宋" w:cs="Times New Roman"/>
                <w:color w:val="auto"/>
                <w:kern w:val="0"/>
                <w:sz w:val="21"/>
                <w:szCs w:val="21"/>
                <w:lang w:val="en-US" w:eastAsia="zh-CN" w:bidi="ar"/>
              </w:rPr>
              <w:t>座用地</w:t>
            </w:r>
            <w:r>
              <w:rPr>
                <w:rFonts w:hint="default" w:ascii="Times New Roman" w:hAnsi="Times New Roman" w:eastAsia="仿宋" w:cs="Times New Roman"/>
                <w:color w:val="auto"/>
                <w:kern w:val="0"/>
                <w:sz w:val="21"/>
                <w:szCs w:val="21"/>
                <w:lang w:val="en-US" w:eastAsia="zh-CN" w:bidi="ar"/>
              </w:rPr>
              <w:t>2.1</w:t>
            </w:r>
            <w:r>
              <w:rPr>
                <w:rFonts w:ascii="Times New Roman" w:hAnsi="Times New Roman" w:eastAsia="仿宋" w:cs="Times New Roman"/>
                <w:color w:val="auto"/>
                <w:kern w:val="0"/>
                <w:sz w:val="21"/>
                <w:szCs w:val="21"/>
                <w:lang w:val="en-US" w:eastAsia="zh-CN" w:bidi="ar"/>
              </w:rPr>
              <w:t>亩，日处理能力</w:t>
            </w:r>
            <w:r>
              <w:rPr>
                <w:rFonts w:hint="default" w:ascii="Times New Roman" w:hAnsi="Times New Roman" w:eastAsia="仿宋" w:cs="Times New Roman"/>
                <w:color w:val="auto"/>
                <w:kern w:val="0"/>
                <w:sz w:val="21"/>
                <w:szCs w:val="21"/>
                <w:lang w:val="en-US" w:eastAsia="zh-CN" w:bidi="ar"/>
              </w:rPr>
              <w:t>1440m³</w:t>
            </w:r>
            <w:r>
              <w:rPr>
                <w:rFonts w:ascii="Times New Roman" w:hAnsi="Times New Roman" w:eastAsia="仿宋" w:cs="Times New Roman"/>
                <w:color w:val="auto"/>
                <w:kern w:val="0"/>
                <w:sz w:val="21"/>
                <w:szCs w:val="21"/>
                <w:lang w:val="en-US" w:eastAsia="zh-CN" w:bidi="ar"/>
              </w:rPr>
              <w:t>，污水主干管</w:t>
            </w:r>
            <w:r>
              <w:rPr>
                <w:rFonts w:hint="default" w:ascii="Times New Roman" w:hAnsi="Times New Roman" w:eastAsia="仿宋" w:cs="Times New Roman"/>
                <w:color w:val="auto"/>
                <w:kern w:val="0"/>
                <w:sz w:val="21"/>
                <w:szCs w:val="21"/>
                <w:lang w:val="en-US" w:eastAsia="zh-CN" w:bidi="ar"/>
              </w:rPr>
              <w:t>D400—800</w:t>
            </w:r>
            <w:r>
              <w:rPr>
                <w:rFonts w:ascii="Times New Roman" w:hAnsi="Times New Roman" w:eastAsia="仿宋" w:cs="Times New Roman"/>
                <w:color w:val="auto"/>
                <w:kern w:val="0"/>
                <w:sz w:val="21"/>
                <w:szCs w:val="21"/>
                <w:lang w:val="en-US" w:eastAsia="zh-CN" w:bidi="ar"/>
              </w:rPr>
              <w:t>，支管</w:t>
            </w:r>
            <w:r>
              <w:rPr>
                <w:rFonts w:hint="default" w:ascii="Times New Roman" w:hAnsi="Times New Roman" w:eastAsia="仿宋" w:cs="Times New Roman"/>
                <w:color w:val="auto"/>
                <w:kern w:val="0"/>
                <w:sz w:val="21"/>
                <w:szCs w:val="21"/>
                <w:lang w:val="en-US" w:eastAsia="zh-CN" w:bidi="ar"/>
              </w:rPr>
              <w:t>D200</w:t>
            </w:r>
            <w:r>
              <w:rPr>
                <w:rFonts w:ascii="Times New Roman" w:hAnsi="Times New Roman" w:eastAsia="仿宋" w:cs="Times New Roman"/>
                <w:color w:val="auto"/>
                <w:kern w:val="0"/>
                <w:sz w:val="21"/>
                <w:szCs w:val="21"/>
                <w:lang w:val="en-US" w:eastAsia="zh-CN" w:bidi="ar"/>
              </w:rPr>
              <w:t>，长</w:t>
            </w:r>
            <w:r>
              <w:rPr>
                <w:rFonts w:hint="default" w:ascii="Times New Roman" w:hAnsi="Times New Roman" w:eastAsia="仿宋" w:cs="Times New Roman"/>
                <w:color w:val="auto"/>
                <w:kern w:val="0"/>
                <w:sz w:val="21"/>
                <w:szCs w:val="21"/>
                <w:lang w:val="en-US" w:eastAsia="zh-CN" w:bidi="ar"/>
              </w:rPr>
              <w:t>3km</w:t>
            </w:r>
            <w:r>
              <w:rPr>
                <w:rFonts w:ascii="Times New Roman" w:hAnsi="Times New Roman" w:eastAsia="仿宋" w:cs="Times New Roman"/>
                <w:color w:val="auto"/>
                <w:kern w:val="0"/>
                <w:sz w:val="21"/>
                <w:szCs w:val="21"/>
                <w:lang w:val="en-US" w:eastAsia="zh-CN" w:bidi="ar"/>
              </w:rPr>
              <w:t>。建设垃圾处理站</w:t>
            </w:r>
            <w:r>
              <w:rPr>
                <w:rFonts w:hint="default" w:ascii="Times New Roman" w:hAnsi="Times New Roman" w:eastAsia="仿宋" w:cs="Times New Roman"/>
                <w:color w:val="auto"/>
                <w:kern w:val="0"/>
                <w:sz w:val="21"/>
                <w:szCs w:val="21"/>
                <w:lang w:val="en-US" w:eastAsia="zh-CN" w:bidi="ar"/>
              </w:rPr>
              <w:t>1</w:t>
            </w:r>
            <w:r>
              <w:rPr>
                <w:rFonts w:ascii="Times New Roman" w:hAnsi="Times New Roman" w:eastAsia="仿宋" w:cs="Times New Roman"/>
                <w:color w:val="auto"/>
                <w:kern w:val="0"/>
                <w:sz w:val="21"/>
                <w:szCs w:val="21"/>
                <w:lang w:val="en-US" w:eastAsia="zh-CN" w:bidi="ar"/>
              </w:rPr>
              <w:t>座用地</w:t>
            </w:r>
            <w:r>
              <w:rPr>
                <w:rFonts w:hint="default" w:ascii="Times New Roman" w:hAnsi="Times New Roman" w:eastAsia="仿宋" w:cs="Times New Roman"/>
                <w:color w:val="auto"/>
                <w:kern w:val="0"/>
                <w:sz w:val="21"/>
                <w:szCs w:val="21"/>
                <w:lang w:val="en-US" w:eastAsia="zh-CN" w:bidi="ar"/>
              </w:rPr>
              <w:t>2</w:t>
            </w:r>
            <w:r>
              <w:rPr>
                <w:rFonts w:ascii="Times New Roman" w:hAnsi="Times New Roman" w:eastAsia="仿宋" w:cs="Times New Roman"/>
                <w:color w:val="auto"/>
                <w:kern w:val="0"/>
                <w:sz w:val="21"/>
                <w:szCs w:val="21"/>
                <w:lang w:val="en-US" w:eastAsia="zh-CN" w:bidi="ar"/>
              </w:rPr>
              <w:t>亩，热融解处理，日处理能力</w:t>
            </w:r>
            <w:r>
              <w:rPr>
                <w:rFonts w:hint="default" w:ascii="Times New Roman" w:hAnsi="Times New Roman" w:eastAsia="仿宋" w:cs="Times New Roman"/>
                <w:color w:val="auto"/>
                <w:kern w:val="0"/>
                <w:sz w:val="21"/>
                <w:szCs w:val="21"/>
                <w:lang w:val="en-US" w:eastAsia="zh-CN" w:bidi="ar"/>
              </w:rPr>
              <w:t>70t/d</w:t>
            </w:r>
            <w:r>
              <w:rPr>
                <w:rFonts w:ascii="Times New Roman" w:hAnsi="Times New Roman" w:eastAsia="仿宋" w:cs="Times New Roman"/>
                <w:color w:val="auto"/>
                <w:kern w:val="0"/>
                <w:sz w:val="21"/>
                <w:szCs w:val="21"/>
                <w:lang w:val="en-US" w:eastAsia="zh-CN" w:bidi="ar"/>
              </w:rPr>
              <w:t>。</w:t>
            </w:r>
          </w:p>
        </w:tc>
        <w:tc>
          <w:tcPr>
            <w:tcW w:w="408" w:type="pct"/>
            <w:tcBorders>
              <w:top w:val="nil"/>
              <w:left w:val="single" w:color="auto" w:sz="4" w:space="0"/>
              <w:bottom w:val="single" w:color="auto" w:sz="4" w:space="0"/>
              <w:right w:val="single" w:color="auto" w:sz="4" w:space="0"/>
            </w:tcBorders>
            <w:shd w:val="clear" w:color="auto" w:fill="auto"/>
            <w:vAlign w:val="center"/>
          </w:tcPr>
          <w:p w14:paraId="4EAAE793">
            <w:pPr>
              <w:widowControl/>
              <w:spacing w:line="240" w:lineRule="auto"/>
              <w:jc w:val="center"/>
              <w:textAlignment w:val="center"/>
              <w:rPr>
                <w:rFonts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2020-2025</w:t>
            </w:r>
          </w:p>
        </w:tc>
        <w:tc>
          <w:tcPr>
            <w:tcW w:w="413" w:type="pct"/>
            <w:tcBorders>
              <w:top w:val="nil"/>
              <w:left w:val="single" w:color="auto" w:sz="4" w:space="0"/>
              <w:bottom w:val="single" w:color="auto" w:sz="4" w:space="0"/>
              <w:right w:val="single" w:color="auto" w:sz="4" w:space="0"/>
            </w:tcBorders>
            <w:shd w:val="clear" w:color="auto" w:fill="auto"/>
            <w:vAlign w:val="center"/>
          </w:tcPr>
          <w:p w14:paraId="322C8016">
            <w:pPr>
              <w:widowControl/>
              <w:spacing w:line="240" w:lineRule="auto"/>
              <w:jc w:val="center"/>
              <w:rPr>
                <w:rFonts w:ascii="Times New Roman" w:hAnsi="Times New Roman" w:eastAsia="仿宋" w:cs="Times New Roman"/>
                <w:color w:val="auto"/>
                <w:kern w:val="0"/>
                <w:sz w:val="21"/>
                <w:szCs w:val="21"/>
                <w:lang w:val="en-US" w:eastAsia="zh-CN"/>
              </w:rPr>
            </w:pPr>
            <w:r>
              <w:rPr>
                <w:rFonts w:hint="eastAsia" w:ascii="Times New Roman" w:hAnsi="Times New Roman" w:eastAsia="仿宋" w:cs="Times New Roman"/>
                <w:color w:val="auto"/>
                <w:kern w:val="0"/>
                <w:sz w:val="21"/>
                <w:szCs w:val="21"/>
                <w:lang w:val="en-US" w:eastAsia="zh-CN"/>
              </w:rPr>
              <w:t>1300</w:t>
            </w:r>
          </w:p>
        </w:tc>
        <w:tc>
          <w:tcPr>
            <w:tcW w:w="413" w:type="pct"/>
            <w:shd w:val="clear" w:color="auto" w:fill="auto"/>
            <w:vAlign w:val="center"/>
          </w:tcPr>
          <w:p w14:paraId="0844916A">
            <w:pPr>
              <w:widowControl/>
              <w:spacing w:line="240" w:lineRule="auto"/>
              <w:jc w:val="center"/>
              <w:rPr>
                <w:rFonts w:ascii="Times New Roman" w:hAnsi="Times New Roman" w:eastAsia="仿宋" w:cs="Times New Roman"/>
                <w:color w:val="auto"/>
                <w:kern w:val="0"/>
                <w:sz w:val="21"/>
                <w:szCs w:val="21"/>
                <w:lang w:val="en-US" w:eastAsia="zh-CN"/>
              </w:rPr>
            </w:pPr>
            <w:r>
              <w:rPr>
                <w:rFonts w:hint="eastAsia" w:ascii="Times New Roman" w:hAnsi="Times New Roman" w:eastAsia="仿宋" w:cs="Times New Roman"/>
                <w:color w:val="auto"/>
                <w:kern w:val="0"/>
                <w:sz w:val="21"/>
                <w:szCs w:val="21"/>
                <w:lang w:val="en-US" w:eastAsia="zh-CN"/>
              </w:rPr>
              <w:t>县住建局</w:t>
            </w:r>
          </w:p>
        </w:tc>
        <w:tc>
          <w:tcPr>
            <w:tcW w:w="320" w:type="pct"/>
            <w:shd w:val="clear" w:color="auto" w:fill="auto"/>
            <w:vAlign w:val="center"/>
          </w:tcPr>
          <w:p w14:paraId="58F84944">
            <w:pPr>
              <w:widowControl/>
              <w:spacing w:line="240" w:lineRule="auto"/>
              <w:jc w:val="center"/>
              <w:rPr>
                <w:rFonts w:hint="eastAsia" w:ascii="Times New Roman" w:hAnsi="Times New Roman" w:eastAsia="仿宋" w:cs="Times New Roman"/>
                <w:color w:val="auto"/>
                <w:kern w:val="0"/>
                <w:sz w:val="21"/>
                <w:szCs w:val="21"/>
                <w:lang w:val="en-US" w:eastAsia="zh-CN"/>
              </w:rPr>
            </w:pPr>
            <w:r>
              <w:rPr>
                <w:rFonts w:hint="eastAsia" w:ascii="Times New Roman" w:hAnsi="Times New Roman" w:eastAsia="仿宋" w:cs="Times New Roman"/>
                <w:color w:val="auto"/>
                <w:kern w:val="0"/>
                <w:sz w:val="21"/>
                <w:szCs w:val="21"/>
                <w:lang w:val="en-US" w:eastAsia="zh-CN"/>
              </w:rPr>
              <w:t>政府投入</w:t>
            </w:r>
          </w:p>
        </w:tc>
        <w:tc>
          <w:tcPr>
            <w:tcW w:w="569" w:type="pct"/>
            <w:shd w:val="clear" w:color="auto" w:fill="auto"/>
            <w:vAlign w:val="center"/>
          </w:tcPr>
          <w:p w14:paraId="1E2D8CC0">
            <w:pPr>
              <w:widowControl/>
              <w:spacing w:line="240" w:lineRule="auto"/>
              <w:jc w:val="center"/>
              <w:textAlignment w:val="center"/>
              <w:rPr>
                <w:rFonts w:ascii="Times New Roman" w:hAnsi="Times New Roman" w:eastAsia="仿宋" w:cs="Times New Roman"/>
                <w:color w:val="auto"/>
                <w:kern w:val="0"/>
                <w:sz w:val="21"/>
                <w:szCs w:val="21"/>
                <w:lang w:bidi="ar"/>
              </w:rPr>
            </w:pPr>
            <w:r>
              <w:rPr>
                <w:rFonts w:ascii="Times New Roman" w:hAnsi="Times New Roman" w:eastAsia="仿宋" w:cs="Times New Roman"/>
                <w:color w:val="auto"/>
                <w:kern w:val="0"/>
                <w:sz w:val="21"/>
                <w:szCs w:val="21"/>
                <w:lang w:bidi="ar"/>
              </w:rPr>
              <w:t>城镇污水处理率</w:t>
            </w:r>
          </w:p>
        </w:tc>
      </w:tr>
      <w:tr w14:paraId="4BACD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70" w:type="pct"/>
            <w:vMerge w:val="continue"/>
            <w:vAlign w:val="center"/>
          </w:tcPr>
          <w:p w14:paraId="136EEC11">
            <w:pPr>
              <w:spacing w:line="240" w:lineRule="auto"/>
              <w:jc w:val="center"/>
              <w:rPr>
                <w:rFonts w:ascii="Times New Roman" w:hAnsi="Times New Roman" w:eastAsia="仿宋" w:cs="Times New Roman"/>
                <w:color w:val="auto"/>
                <w:sz w:val="21"/>
                <w:szCs w:val="21"/>
              </w:rPr>
            </w:pPr>
          </w:p>
        </w:tc>
        <w:tc>
          <w:tcPr>
            <w:tcW w:w="255" w:type="pct"/>
            <w:vAlign w:val="center"/>
          </w:tcPr>
          <w:p w14:paraId="56141113">
            <w:pPr>
              <w:widowControl/>
              <w:spacing w:line="240" w:lineRule="auto"/>
              <w:jc w:val="center"/>
              <w:textAlignment w:val="center"/>
              <w:rPr>
                <w:rFonts w:ascii="Times New Roman" w:hAnsi="Times New Roman" w:eastAsia="仿宋" w:cs="Times New Roman"/>
                <w:color w:val="auto"/>
                <w:kern w:val="0"/>
                <w:sz w:val="21"/>
                <w:szCs w:val="21"/>
                <w:lang w:bidi="ar"/>
              </w:rPr>
            </w:pPr>
            <w:r>
              <w:rPr>
                <w:rFonts w:hint="eastAsia" w:ascii="Times New Roman" w:hAnsi="Times New Roman" w:eastAsia="仿宋" w:cs="Times New Roman"/>
                <w:color w:val="auto"/>
                <w:kern w:val="0"/>
                <w:sz w:val="21"/>
                <w:szCs w:val="21"/>
                <w:lang w:val="en-US" w:eastAsia="zh-CN" w:bidi="ar"/>
              </w:rPr>
              <w:t>5</w:t>
            </w:r>
          </w:p>
        </w:tc>
        <w:tc>
          <w:tcPr>
            <w:tcW w:w="631" w:type="pct"/>
            <w:tcBorders>
              <w:top w:val="nil"/>
              <w:left w:val="single" w:color="auto" w:sz="4" w:space="0"/>
              <w:bottom w:val="single" w:color="auto" w:sz="4" w:space="0"/>
              <w:right w:val="single" w:color="auto" w:sz="4" w:space="0"/>
            </w:tcBorders>
            <w:shd w:val="clear" w:color="auto" w:fill="auto"/>
            <w:vAlign w:val="center"/>
          </w:tcPr>
          <w:p w14:paraId="55CB0B1C">
            <w:pPr>
              <w:widowControl/>
              <w:spacing w:line="240" w:lineRule="auto"/>
              <w:jc w:val="center"/>
              <w:textAlignment w:val="center"/>
              <w:rPr>
                <w:rFonts w:ascii="Times New Roman" w:hAnsi="Times New Roman" w:eastAsia="仿宋" w:cs="Times New Roman"/>
                <w:color w:val="auto"/>
                <w:kern w:val="0"/>
                <w:sz w:val="21"/>
                <w:szCs w:val="21"/>
                <w:lang w:bidi="ar"/>
              </w:rPr>
            </w:pPr>
            <w:r>
              <w:rPr>
                <w:rFonts w:hint="eastAsia" w:ascii="Times New Roman" w:hAnsi="Times New Roman" w:eastAsia="仿宋" w:cs="Times New Roman"/>
                <w:color w:val="auto"/>
                <w:kern w:val="0"/>
                <w:sz w:val="21"/>
                <w:szCs w:val="21"/>
                <w:lang w:val="en-US" w:eastAsia="zh-CN" w:bidi="ar"/>
              </w:rPr>
              <w:t>新平县建兴乡生活垃圾处理工程合建项目</w:t>
            </w:r>
          </w:p>
        </w:tc>
        <w:tc>
          <w:tcPr>
            <w:tcW w:w="1816" w:type="pct"/>
            <w:tcBorders>
              <w:top w:val="nil"/>
              <w:left w:val="single" w:color="auto" w:sz="4" w:space="0"/>
              <w:bottom w:val="single" w:color="auto" w:sz="4" w:space="0"/>
              <w:right w:val="single" w:color="auto" w:sz="4" w:space="0"/>
            </w:tcBorders>
            <w:shd w:val="clear" w:color="auto" w:fill="auto"/>
            <w:vAlign w:val="center"/>
          </w:tcPr>
          <w:p w14:paraId="7117ADF1">
            <w:pPr>
              <w:widowControl/>
              <w:spacing w:line="240" w:lineRule="auto"/>
              <w:jc w:val="center"/>
              <w:textAlignment w:val="center"/>
              <w:rPr>
                <w:rFonts w:ascii="Times New Roman" w:hAnsi="Times New Roman" w:eastAsia="仿宋" w:cs="Times New Roman"/>
                <w:color w:val="auto"/>
                <w:kern w:val="0"/>
                <w:sz w:val="21"/>
                <w:szCs w:val="21"/>
                <w:lang w:bidi="ar"/>
              </w:rPr>
            </w:pPr>
            <w:r>
              <w:rPr>
                <w:rFonts w:hint="eastAsia" w:ascii="Times New Roman" w:hAnsi="Times New Roman" w:eastAsia="仿宋" w:cs="Times New Roman"/>
                <w:color w:val="auto"/>
                <w:kern w:val="0"/>
                <w:sz w:val="21"/>
                <w:szCs w:val="21"/>
                <w:lang w:val="en-US" w:eastAsia="zh-CN" w:bidi="ar"/>
              </w:rPr>
              <w:t>建设生活垃圾处理工程及转运体系，包含居民生活垃圾分类丢弃点、垃圾转运车、垃圾处理站及配套设施。</w:t>
            </w:r>
          </w:p>
        </w:tc>
        <w:tc>
          <w:tcPr>
            <w:tcW w:w="408" w:type="pct"/>
            <w:tcBorders>
              <w:top w:val="nil"/>
              <w:left w:val="single" w:color="auto" w:sz="4" w:space="0"/>
              <w:bottom w:val="single" w:color="auto" w:sz="4" w:space="0"/>
              <w:right w:val="single" w:color="auto" w:sz="4" w:space="0"/>
            </w:tcBorders>
            <w:shd w:val="clear" w:color="auto" w:fill="auto"/>
            <w:vAlign w:val="center"/>
          </w:tcPr>
          <w:p w14:paraId="16F3881D">
            <w:pPr>
              <w:widowControl/>
              <w:spacing w:line="240" w:lineRule="auto"/>
              <w:jc w:val="center"/>
              <w:textAlignment w:val="center"/>
              <w:rPr>
                <w:rFonts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2021-2023</w:t>
            </w:r>
          </w:p>
        </w:tc>
        <w:tc>
          <w:tcPr>
            <w:tcW w:w="413" w:type="pct"/>
            <w:tcBorders>
              <w:top w:val="nil"/>
              <w:left w:val="single" w:color="auto" w:sz="4" w:space="0"/>
              <w:bottom w:val="single" w:color="auto" w:sz="4" w:space="0"/>
              <w:right w:val="single" w:color="auto" w:sz="4" w:space="0"/>
            </w:tcBorders>
            <w:shd w:val="clear" w:color="auto" w:fill="auto"/>
            <w:vAlign w:val="center"/>
          </w:tcPr>
          <w:p w14:paraId="20B504DF">
            <w:pPr>
              <w:widowControl/>
              <w:spacing w:line="240" w:lineRule="auto"/>
              <w:jc w:val="center"/>
              <w:rPr>
                <w:rFonts w:ascii="Times New Roman" w:hAnsi="Times New Roman" w:eastAsia="仿宋" w:cs="Times New Roman"/>
                <w:color w:val="auto"/>
                <w:kern w:val="0"/>
                <w:sz w:val="21"/>
                <w:szCs w:val="21"/>
                <w:lang w:val="en-US" w:eastAsia="zh-CN"/>
              </w:rPr>
            </w:pPr>
            <w:r>
              <w:rPr>
                <w:rFonts w:hint="eastAsia" w:ascii="Times New Roman" w:hAnsi="Times New Roman" w:eastAsia="仿宋" w:cs="Times New Roman"/>
                <w:color w:val="auto"/>
                <w:kern w:val="0"/>
                <w:sz w:val="21"/>
                <w:szCs w:val="21"/>
                <w:lang w:val="en-US" w:eastAsia="zh-CN"/>
              </w:rPr>
              <w:t>2500</w:t>
            </w:r>
          </w:p>
        </w:tc>
        <w:tc>
          <w:tcPr>
            <w:tcW w:w="413" w:type="pct"/>
            <w:shd w:val="clear" w:color="auto" w:fill="auto"/>
            <w:vAlign w:val="center"/>
          </w:tcPr>
          <w:p w14:paraId="3C5E56D2">
            <w:pPr>
              <w:widowControl/>
              <w:spacing w:line="240" w:lineRule="auto"/>
              <w:jc w:val="center"/>
              <w:rPr>
                <w:rFonts w:ascii="Times New Roman" w:hAnsi="Times New Roman" w:eastAsia="仿宋" w:cs="Times New Roman"/>
                <w:color w:val="auto"/>
                <w:kern w:val="0"/>
                <w:sz w:val="21"/>
                <w:szCs w:val="21"/>
                <w:lang w:val="en-US" w:eastAsia="zh-CN"/>
              </w:rPr>
            </w:pPr>
            <w:r>
              <w:rPr>
                <w:rFonts w:hint="eastAsia" w:ascii="Times New Roman" w:hAnsi="Times New Roman" w:eastAsia="仿宋" w:cs="Times New Roman"/>
                <w:color w:val="auto"/>
                <w:kern w:val="0"/>
                <w:sz w:val="21"/>
                <w:szCs w:val="21"/>
                <w:lang w:val="en-US" w:eastAsia="zh-CN"/>
              </w:rPr>
              <w:t>县住建局</w:t>
            </w:r>
          </w:p>
        </w:tc>
        <w:tc>
          <w:tcPr>
            <w:tcW w:w="320" w:type="pct"/>
            <w:shd w:val="clear" w:color="auto" w:fill="auto"/>
            <w:vAlign w:val="center"/>
          </w:tcPr>
          <w:p w14:paraId="700BB869">
            <w:pPr>
              <w:widowControl/>
              <w:spacing w:line="240" w:lineRule="auto"/>
              <w:jc w:val="center"/>
              <w:rPr>
                <w:rFonts w:hint="eastAsia" w:ascii="Times New Roman" w:hAnsi="Times New Roman" w:eastAsia="仿宋" w:cs="Times New Roman"/>
                <w:color w:val="auto"/>
                <w:kern w:val="0"/>
                <w:sz w:val="21"/>
                <w:szCs w:val="21"/>
                <w:lang w:val="en-US" w:eastAsia="zh-CN"/>
              </w:rPr>
            </w:pPr>
            <w:r>
              <w:rPr>
                <w:rFonts w:hint="eastAsia" w:ascii="Times New Roman" w:hAnsi="Times New Roman" w:eastAsia="仿宋" w:cs="Times New Roman"/>
                <w:color w:val="auto"/>
                <w:kern w:val="0"/>
                <w:sz w:val="21"/>
                <w:szCs w:val="21"/>
                <w:lang w:val="en-US" w:eastAsia="zh-CN"/>
              </w:rPr>
              <w:t>政府投入</w:t>
            </w:r>
          </w:p>
        </w:tc>
        <w:tc>
          <w:tcPr>
            <w:tcW w:w="569" w:type="pct"/>
            <w:shd w:val="clear" w:color="auto" w:fill="auto"/>
            <w:vAlign w:val="center"/>
          </w:tcPr>
          <w:p w14:paraId="144EE7D3">
            <w:pPr>
              <w:widowControl/>
              <w:spacing w:line="240" w:lineRule="auto"/>
              <w:jc w:val="center"/>
              <w:textAlignment w:val="center"/>
              <w:rPr>
                <w:rFonts w:ascii="Times New Roman" w:hAnsi="Times New Roman" w:eastAsia="仿宋" w:cs="Times New Roman"/>
                <w:color w:val="auto"/>
                <w:sz w:val="21"/>
                <w:szCs w:val="21"/>
              </w:rPr>
            </w:pPr>
            <w:r>
              <w:rPr>
                <w:rFonts w:ascii="Times New Roman" w:hAnsi="Times New Roman" w:eastAsia="仿宋" w:cs="Times New Roman"/>
                <w:color w:val="auto"/>
                <w:kern w:val="0"/>
                <w:sz w:val="21"/>
                <w:szCs w:val="21"/>
                <w:lang w:bidi="ar"/>
              </w:rPr>
              <w:t>城镇污水处理率</w:t>
            </w:r>
          </w:p>
        </w:tc>
      </w:tr>
      <w:tr w14:paraId="4B08F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70" w:type="pct"/>
            <w:vMerge w:val="continue"/>
            <w:vAlign w:val="center"/>
          </w:tcPr>
          <w:p w14:paraId="339ECAF7">
            <w:pPr>
              <w:spacing w:line="240" w:lineRule="auto"/>
              <w:jc w:val="center"/>
              <w:rPr>
                <w:rFonts w:ascii="Times New Roman" w:hAnsi="Times New Roman" w:eastAsia="仿宋" w:cs="Times New Roman"/>
                <w:color w:val="auto"/>
                <w:sz w:val="21"/>
                <w:szCs w:val="21"/>
              </w:rPr>
            </w:pPr>
          </w:p>
        </w:tc>
        <w:tc>
          <w:tcPr>
            <w:tcW w:w="255" w:type="pct"/>
            <w:vAlign w:val="center"/>
          </w:tcPr>
          <w:p w14:paraId="58F9C983">
            <w:pPr>
              <w:widowControl/>
              <w:spacing w:line="240" w:lineRule="auto"/>
              <w:jc w:val="center"/>
              <w:textAlignment w:val="center"/>
              <w:rPr>
                <w:rFonts w:ascii="Times New Roman" w:hAnsi="Times New Roman" w:eastAsia="仿宋" w:cs="Times New Roman"/>
                <w:color w:val="auto"/>
                <w:kern w:val="0"/>
                <w:sz w:val="21"/>
                <w:szCs w:val="21"/>
                <w:lang w:bidi="ar"/>
              </w:rPr>
            </w:pPr>
            <w:r>
              <w:rPr>
                <w:rFonts w:hint="eastAsia" w:ascii="Times New Roman" w:hAnsi="Times New Roman" w:eastAsia="仿宋" w:cs="Times New Roman"/>
                <w:color w:val="auto"/>
                <w:kern w:val="0"/>
                <w:sz w:val="21"/>
                <w:szCs w:val="21"/>
                <w:lang w:val="en-US" w:eastAsia="zh-CN" w:bidi="ar"/>
              </w:rPr>
              <w:t>6</w:t>
            </w:r>
          </w:p>
        </w:tc>
        <w:tc>
          <w:tcPr>
            <w:tcW w:w="631" w:type="pct"/>
            <w:tcBorders>
              <w:top w:val="nil"/>
              <w:left w:val="single" w:color="auto" w:sz="4" w:space="0"/>
              <w:bottom w:val="single" w:color="auto" w:sz="4" w:space="0"/>
              <w:right w:val="single" w:color="auto" w:sz="4" w:space="0"/>
            </w:tcBorders>
            <w:shd w:val="clear" w:color="auto" w:fill="auto"/>
            <w:vAlign w:val="center"/>
          </w:tcPr>
          <w:p w14:paraId="1F468882">
            <w:pPr>
              <w:widowControl/>
              <w:spacing w:line="240" w:lineRule="auto"/>
              <w:jc w:val="center"/>
              <w:textAlignment w:val="center"/>
              <w:rPr>
                <w:rFonts w:ascii="Times New Roman" w:hAnsi="Times New Roman" w:eastAsia="仿宋" w:cs="Times New Roman"/>
                <w:color w:val="auto"/>
                <w:kern w:val="0"/>
                <w:sz w:val="21"/>
                <w:szCs w:val="21"/>
                <w:lang w:bidi="ar"/>
              </w:rPr>
            </w:pPr>
            <w:r>
              <w:rPr>
                <w:rFonts w:hint="eastAsia" w:ascii="Times New Roman" w:hAnsi="Times New Roman" w:eastAsia="仿宋" w:cs="Times New Roman"/>
                <w:color w:val="auto"/>
                <w:kern w:val="0"/>
                <w:sz w:val="21"/>
                <w:szCs w:val="21"/>
                <w:lang w:val="en-US" w:eastAsia="zh-CN" w:bidi="ar"/>
              </w:rPr>
              <w:t>新平县水塘镇集镇污水排放处理及人工湿地处理系统建设项目</w:t>
            </w:r>
          </w:p>
        </w:tc>
        <w:tc>
          <w:tcPr>
            <w:tcW w:w="1816" w:type="pct"/>
            <w:tcBorders>
              <w:top w:val="nil"/>
              <w:left w:val="single" w:color="auto" w:sz="4" w:space="0"/>
              <w:bottom w:val="single" w:color="auto" w:sz="4" w:space="0"/>
              <w:right w:val="single" w:color="auto" w:sz="4" w:space="0"/>
            </w:tcBorders>
            <w:shd w:val="clear" w:color="auto" w:fill="auto"/>
            <w:vAlign w:val="center"/>
          </w:tcPr>
          <w:p w14:paraId="058B6DAF">
            <w:pPr>
              <w:widowControl/>
              <w:spacing w:line="240" w:lineRule="auto"/>
              <w:jc w:val="center"/>
              <w:textAlignment w:val="center"/>
              <w:rPr>
                <w:rFonts w:ascii="Times New Roman" w:hAnsi="Times New Roman" w:eastAsia="仿宋" w:cs="Times New Roman"/>
                <w:color w:val="auto"/>
                <w:kern w:val="0"/>
                <w:sz w:val="21"/>
                <w:szCs w:val="21"/>
                <w:lang w:bidi="ar"/>
              </w:rPr>
            </w:pPr>
            <w:r>
              <w:rPr>
                <w:rFonts w:hint="eastAsia" w:ascii="Times New Roman" w:hAnsi="Times New Roman" w:eastAsia="仿宋" w:cs="Times New Roman"/>
                <w:color w:val="auto"/>
                <w:kern w:val="0"/>
                <w:sz w:val="21"/>
                <w:szCs w:val="21"/>
                <w:lang w:val="en-US" w:eastAsia="zh-CN" w:bidi="ar"/>
              </w:rPr>
              <w:t>污水处理厂</w:t>
            </w:r>
            <w:r>
              <w:rPr>
                <w:rFonts w:hint="default" w:ascii="Times New Roman" w:hAnsi="Times New Roman" w:eastAsia="仿宋" w:cs="Times New Roman"/>
                <w:color w:val="auto"/>
                <w:kern w:val="0"/>
                <w:sz w:val="21"/>
                <w:szCs w:val="21"/>
                <w:lang w:val="en-US" w:eastAsia="zh-CN" w:bidi="ar"/>
              </w:rPr>
              <w:t>1</w:t>
            </w:r>
            <w:r>
              <w:rPr>
                <w:rFonts w:ascii="Times New Roman" w:hAnsi="Times New Roman" w:eastAsia="仿宋" w:cs="Times New Roman"/>
                <w:color w:val="auto"/>
                <w:kern w:val="0"/>
                <w:sz w:val="21"/>
                <w:szCs w:val="21"/>
                <w:lang w:val="en-US" w:eastAsia="zh-CN" w:bidi="ar"/>
              </w:rPr>
              <w:t>座占地</w:t>
            </w:r>
            <w:r>
              <w:rPr>
                <w:rFonts w:hint="default" w:ascii="Times New Roman" w:hAnsi="Times New Roman" w:eastAsia="仿宋" w:cs="Times New Roman"/>
                <w:color w:val="auto"/>
                <w:kern w:val="0"/>
                <w:sz w:val="21"/>
                <w:szCs w:val="21"/>
                <w:lang w:val="en-US" w:eastAsia="zh-CN" w:bidi="ar"/>
              </w:rPr>
              <w:t>10</w:t>
            </w:r>
            <w:r>
              <w:rPr>
                <w:rFonts w:ascii="Times New Roman" w:hAnsi="Times New Roman" w:eastAsia="仿宋" w:cs="Times New Roman"/>
                <w:color w:val="auto"/>
                <w:kern w:val="0"/>
                <w:sz w:val="21"/>
                <w:szCs w:val="21"/>
                <w:lang w:val="en-US" w:eastAsia="zh-CN" w:bidi="ar"/>
              </w:rPr>
              <w:t>亩，管网</w:t>
            </w:r>
            <w:r>
              <w:rPr>
                <w:rFonts w:hint="default" w:ascii="Times New Roman" w:hAnsi="Times New Roman" w:eastAsia="仿宋" w:cs="Times New Roman"/>
                <w:color w:val="auto"/>
                <w:kern w:val="0"/>
                <w:sz w:val="21"/>
                <w:szCs w:val="21"/>
                <w:lang w:val="en-US" w:eastAsia="zh-CN" w:bidi="ar"/>
              </w:rPr>
              <w:t>10000m</w:t>
            </w:r>
            <w:r>
              <w:rPr>
                <w:rFonts w:ascii="Times New Roman" w:hAnsi="Times New Roman" w:eastAsia="仿宋" w:cs="Times New Roman"/>
                <w:color w:val="auto"/>
                <w:kern w:val="0"/>
                <w:sz w:val="21"/>
                <w:szCs w:val="21"/>
                <w:lang w:val="en-US" w:eastAsia="zh-CN" w:bidi="ar"/>
              </w:rPr>
              <w:t>。</w:t>
            </w:r>
          </w:p>
        </w:tc>
        <w:tc>
          <w:tcPr>
            <w:tcW w:w="408" w:type="pct"/>
            <w:tcBorders>
              <w:top w:val="nil"/>
              <w:left w:val="single" w:color="auto" w:sz="4" w:space="0"/>
              <w:bottom w:val="single" w:color="auto" w:sz="4" w:space="0"/>
              <w:right w:val="single" w:color="auto" w:sz="4" w:space="0"/>
            </w:tcBorders>
            <w:shd w:val="clear" w:color="auto" w:fill="auto"/>
            <w:vAlign w:val="center"/>
          </w:tcPr>
          <w:p w14:paraId="5641239D">
            <w:pPr>
              <w:widowControl/>
              <w:spacing w:line="240" w:lineRule="auto"/>
              <w:jc w:val="center"/>
              <w:textAlignment w:val="center"/>
              <w:rPr>
                <w:rFonts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2023-2024</w:t>
            </w:r>
          </w:p>
        </w:tc>
        <w:tc>
          <w:tcPr>
            <w:tcW w:w="413" w:type="pct"/>
            <w:tcBorders>
              <w:top w:val="nil"/>
              <w:left w:val="single" w:color="auto" w:sz="4" w:space="0"/>
              <w:bottom w:val="single" w:color="auto" w:sz="4" w:space="0"/>
              <w:right w:val="single" w:color="auto" w:sz="4" w:space="0"/>
            </w:tcBorders>
            <w:shd w:val="clear" w:color="auto" w:fill="auto"/>
            <w:vAlign w:val="center"/>
          </w:tcPr>
          <w:p w14:paraId="6F2255FE">
            <w:pPr>
              <w:widowControl/>
              <w:spacing w:line="240" w:lineRule="auto"/>
              <w:jc w:val="center"/>
              <w:rPr>
                <w:rFonts w:ascii="Times New Roman" w:hAnsi="Times New Roman" w:eastAsia="仿宋" w:cs="Times New Roman"/>
                <w:color w:val="auto"/>
                <w:kern w:val="0"/>
                <w:sz w:val="21"/>
                <w:szCs w:val="21"/>
                <w:lang w:val="en-US" w:eastAsia="zh-CN"/>
              </w:rPr>
            </w:pPr>
            <w:r>
              <w:rPr>
                <w:rFonts w:hint="eastAsia" w:ascii="Times New Roman" w:hAnsi="Times New Roman" w:eastAsia="仿宋" w:cs="Times New Roman"/>
                <w:color w:val="auto"/>
                <w:kern w:val="0"/>
                <w:sz w:val="21"/>
                <w:szCs w:val="21"/>
                <w:lang w:val="en-US" w:eastAsia="zh-CN"/>
              </w:rPr>
              <w:t>1000</w:t>
            </w:r>
          </w:p>
        </w:tc>
        <w:tc>
          <w:tcPr>
            <w:tcW w:w="413" w:type="pct"/>
            <w:shd w:val="clear" w:color="auto" w:fill="auto"/>
            <w:vAlign w:val="center"/>
          </w:tcPr>
          <w:p w14:paraId="46E91C04">
            <w:pPr>
              <w:widowControl/>
              <w:spacing w:line="240" w:lineRule="auto"/>
              <w:jc w:val="center"/>
              <w:rPr>
                <w:rFonts w:ascii="Times New Roman" w:hAnsi="Times New Roman" w:eastAsia="仿宋" w:cs="Times New Roman"/>
                <w:color w:val="auto"/>
                <w:kern w:val="0"/>
                <w:sz w:val="21"/>
                <w:szCs w:val="21"/>
                <w:lang w:val="en-US" w:eastAsia="zh-CN"/>
              </w:rPr>
            </w:pPr>
            <w:r>
              <w:rPr>
                <w:rFonts w:hint="eastAsia" w:ascii="Times New Roman" w:hAnsi="Times New Roman" w:eastAsia="仿宋" w:cs="Times New Roman"/>
                <w:color w:val="auto"/>
                <w:kern w:val="0"/>
                <w:sz w:val="21"/>
                <w:szCs w:val="21"/>
                <w:lang w:val="en-US" w:eastAsia="zh-CN"/>
              </w:rPr>
              <w:t>县住建局</w:t>
            </w:r>
          </w:p>
        </w:tc>
        <w:tc>
          <w:tcPr>
            <w:tcW w:w="320" w:type="pct"/>
            <w:shd w:val="clear" w:color="auto" w:fill="auto"/>
            <w:vAlign w:val="center"/>
          </w:tcPr>
          <w:p w14:paraId="3153D1B5">
            <w:pPr>
              <w:widowControl/>
              <w:spacing w:line="240" w:lineRule="auto"/>
              <w:jc w:val="center"/>
              <w:rPr>
                <w:rFonts w:hint="eastAsia" w:ascii="Times New Roman" w:hAnsi="Times New Roman" w:eastAsia="仿宋" w:cs="Times New Roman"/>
                <w:color w:val="auto"/>
                <w:kern w:val="0"/>
                <w:sz w:val="21"/>
                <w:szCs w:val="21"/>
                <w:lang w:val="en-US" w:eastAsia="zh-CN"/>
              </w:rPr>
            </w:pPr>
            <w:r>
              <w:rPr>
                <w:rFonts w:hint="eastAsia" w:ascii="Times New Roman" w:hAnsi="Times New Roman" w:eastAsia="仿宋" w:cs="Times New Roman"/>
                <w:color w:val="auto"/>
                <w:kern w:val="0"/>
                <w:sz w:val="21"/>
                <w:szCs w:val="21"/>
                <w:lang w:val="en-US" w:eastAsia="zh-CN"/>
              </w:rPr>
              <w:t>政府投入</w:t>
            </w:r>
          </w:p>
        </w:tc>
        <w:tc>
          <w:tcPr>
            <w:tcW w:w="569" w:type="pct"/>
            <w:shd w:val="clear" w:color="auto" w:fill="auto"/>
            <w:vAlign w:val="center"/>
          </w:tcPr>
          <w:p w14:paraId="65C27404">
            <w:pPr>
              <w:widowControl/>
              <w:spacing w:line="240" w:lineRule="auto"/>
              <w:jc w:val="center"/>
              <w:textAlignment w:val="center"/>
              <w:rPr>
                <w:rFonts w:ascii="Times New Roman" w:hAnsi="Times New Roman" w:eastAsia="仿宋" w:cs="Times New Roman"/>
                <w:color w:val="auto"/>
                <w:sz w:val="21"/>
                <w:szCs w:val="21"/>
              </w:rPr>
            </w:pPr>
            <w:r>
              <w:rPr>
                <w:rFonts w:ascii="Times New Roman" w:hAnsi="Times New Roman" w:eastAsia="仿宋" w:cs="Times New Roman"/>
                <w:color w:val="auto"/>
                <w:kern w:val="0"/>
                <w:sz w:val="21"/>
                <w:szCs w:val="21"/>
                <w:lang w:bidi="ar"/>
              </w:rPr>
              <w:t>城镇污水处理率</w:t>
            </w:r>
          </w:p>
        </w:tc>
      </w:tr>
      <w:tr w14:paraId="30BC1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70" w:type="pct"/>
            <w:vMerge w:val="continue"/>
            <w:vAlign w:val="center"/>
          </w:tcPr>
          <w:p w14:paraId="30DBB983">
            <w:pPr>
              <w:spacing w:line="240" w:lineRule="auto"/>
              <w:jc w:val="center"/>
              <w:rPr>
                <w:rFonts w:ascii="Times New Roman" w:hAnsi="Times New Roman" w:eastAsia="仿宋" w:cs="Times New Roman"/>
                <w:color w:val="auto"/>
                <w:sz w:val="21"/>
                <w:szCs w:val="21"/>
              </w:rPr>
            </w:pPr>
          </w:p>
        </w:tc>
        <w:tc>
          <w:tcPr>
            <w:tcW w:w="255" w:type="pct"/>
            <w:vAlign w:val="center"/>
          </w:tcPr>
          <w:p w14:paraId="60CBBDBC">
            <w:pPr>
              <w:widowControl/>
              <w:spacing w:line="240" w:lineRule="auto"/>
              <w:jc w:val="center"/>
              <w:textAlignment w:val="center"/>
              <w:rPr>
                <w:rFonts w:ascii="Times New Roman" w:hAnsi="Times New Roman" w:eastAsia="仿宋" w:cs="Times New Roman"/>
                <w:color w:val="auto"/>
                <w:kern w:val="0"/>
                <w:sz w:val="21"/>
                <w:szCs w:val="21"/>
                <w:lang w:bidi="ar"/>
              </w:rPr>
            </w:pPr>
            <w:r>
              <w:rPr>
                <w:rFonts w:hint="eastAsia" w:ascii="Times New Roman" w:hAnsi="Times New Roman" w:eastAsia="仿宋" w:cs="Times New Roman"/>
                <w:color w:val="auto"/>
                <w:kern w:val="0"/>
                <w:sz w:val="21"/>
                <w:szCs w:val="21"/>
                <w:lang w:val="en-US" w:eastAsia="zh-CN" w:bidi="ar"/>
              </w:rPr>
              <w:t>7</w:t>
            </w:r>
          </w:p>
        </w:tc>
        <w:tc>
          <w:tcPr>
            <w:tcW w:w="631" w:type="pct"/>
            <w:tcBorders>
              <w:top w:val="nil"/>
              <w:left w:val="single" w:color="auto" w:sz="4" w:space="0"/>
              <w:bottom w:val="single" w:color="auto" w:sz="4" w:space="0"/>
              <w:right w:val="single" w:color="auto" w:sz="4" w:space="0"/>
            </w:tcBorders>
            <w:shd w:val="clear" w:color="auto" w:fill="auto"/>
            <w:vAlign w:val="center"/>
          </w:tcPr>
          <w:p w14:paraId="77EF7BDC">
            <w:pPr>
              <w:widowControl/>
              <w:spacing w:line="240" w:lineRule="auto"/>
              <w:jc w:val="center"/>
              <w:textAlignment w:val="center"/>
              <w:rPr>
                <w:rFonts w:ascii="Times New Roman" w:hAnsi="Times New Roman" w:eastAsia="仿宋" w:cs="Times New Roman"/>
                <w:color w:val="auto"/>
                <w:kern w:val="0"/>
                <w:sz w:val="21"/>
                <w:szCs w:val="21"/>
                <w:lang w:bidi="ar"/>
              </w:rPr>
            </w:pPr>
            <w:r>
              <w:rPr>
                <w:rFonts w:hint="eastAsia" w:ascii="Times New Roman" w:hAnsi="Times New Roman" w:eastAsia="仿宋" w:cs="Times New Roman"/>
                <w:color w:val="auto"/>
                <w:kern w:val="0"/>
                <w:sz w:val="21"/>
                <w:szCs w:val="21"/>
                <w:lang w:val="en-US" w:eastAsia="zh-CN" w:bidi="ar"/>
              </w:rPr>
              <w:t>新平县城市污水管网改造提升建设项目</w:t>
            </w:r>
          </w:p>
        </w:tc>
        <w:tc>
          <w:tcPr>
            <w:tcW w:w="1816" w:type="pct"/>
            <w:tcBorders>
              <w:top w:val="nil"/>
              <w:left w:val="single" w:color="auto" w:sz="4" w:space="0"/>
              <w:bottom w:val="single" w:color="auto" w:sz="4" w:space="0"/>
              <w:right w:val="single" w:color="auto" w:sz="4" w:space="0"/>
            </w:tcBorders>
            <w:shd w:val="clear" w:color="auto" w:fill="auto"/>
            <w:vAlign w:val="center"/>
          </w:tcPr>
          <w:p w14:paraId="20BF7E6B">
            <w:pPr>
              <w:widowControl/>
              <w:spacing w:line="240" w:lineRule="auto"/>
              <w:jc w:val="center"/>
              <w:textAlignment w:val="center"/>
              <w:rPr>
                <w:rFonts w:ascii="Times New Roman" w:hAnsi="Times New Roman" w:eastAsia="仿宋" w:cs="Times New Roman"/>
                <w:color w:val="auto"/>
                <w:kern w:val="0"/>
                <w:sz w:val="21"/>
                <w:szCs w:val="21"/>
                <w:lang w:bidi="ar"/>
              </w:rPr>
            </w:pPr>
            <w:r>
              <w:rPr>
                <w:rFonts w:hint="eastAsia" w:ascii="Times New Roman" w:hAnsi="Times New Roman" w:eastAsia="仿宋" w:cs="Times New Roman"/>
                <w:color w:val="auto"/>
                <w:kern w:val="0"/>
                <w:sz w:val="21"/>
                <w:szCs w:val="21"/>
                <w:lang w:val="en-US" w:eastAsia="zh-CN" w:bidi="ar"/>
              </w:rPr>
              <w:t>该项目包括两部分：现建成区管网实施雨污分流，工程内容为改造雨水管网</w:t>
            </w:r>
            <w:r>
              <w:rPr>
                <w:rFonts w:hint="default" w:ascii="Times New Roman" w:hAnsi="Times New Roman" w:eastAsia="仿宋" w:cs="Times New Roman"/>
                <w:color w:val="auto"/>
                <w:kern w:val="0"/>
                <w:sz w:val="21"/>
                <w:szCs w:val="21"/>
                <w:lang w:val="en-US" w:eastAsia="zh-CN" w:bidi="ar"/>
              </w:rPr>
              <w:t>80km</w:t>
            </w:r>
            <w:r>
              <w:rPr>
                <w:rFonts w:ascii="Times New Roman" w:hAnsi="Times New Roman" w:eastAsia="仿宋" w:cs="Times New Roman"/>
                <w:color w:val="auto"/>
                <w:kern w:val="0"/>
                <w:sz w:val="21"/>
                <w:szCs w:val="21"/>
                <w:lang w:val="en-US" w:eastAsia="zh-CN" w:bidi="ar"/>
              </w:rPr>
              <w:t>，改造污水管网</w:t>
            </w:r>
            <w:r>
              <w:rPr>
                <w:rFonts w:hint="default" w:ascii="Times New Roman" w:hAnsi="Times New Roman" w:eastAsia="仿宋" w:cs="Times New Roman"/>
                <w:color w:val="auto"/>
                <w:kern w:val="0"/>
                <w:sz w:val="21"/>
                <w:szCs w:val="21"/>
                <w:lang w:val="en-US" w:eastAsia="zh-CN" w:bidi="ar"/>
              </w:rPr>
              <w:t>60km</w:t>
            </w:r>
            <w:r>
              <w:rPr>
                <w:rFonts w:ascii="Times New Roman" w:hAnsi="Times New Roman" w:eastAsia="仿宋" w:cs="Times New Roman"/>
                <w:color w:val="auto"/>
                <w:kern w:val="0"/>
                <w:sz w:val="21"/>
                <w:szCs w:val="21"/>
                <w:lang w:val="en-US" w:eastAsia="zh-CN" w:bidi="ar"/>
              </w:rPr>
              <w:t>，补建中途提升泵</w:t>
            </w:r>
            <w:r>
              <w:rPr>
                <w:rFonts w:hint="default" w:ascii="Times New Roman" w:hAnsi="Times New Roman" w:eastAsia="仿宋" w:cs="Times New Roman"/>
                <w:color w:val="auto"/>
                <w:kern w:val="0"/>
                <w:sz w:val="21"/>
                <w:szCs w:val="21"/>
                <w:lang w:val="en-US" w:eastAsia="zh-CN" w:bidi="ar"/>
              </w:rPr>
              <w:t>10</w:t>
            </w:r>
            <w:r>
              <w:rPr>
                <w:rFonts w:ascii="Times New Roman" w:hAnsi="Times New Roman" w:eastAsia="仿宋" w:cs="Times New Roman"/>
                <w:color w:val="auto"/>
                <w:kern w:val="0"/>
                <w:sz w:val="21"/>
                <w:szCs w:val="21"/>
                <w:lang w:val="en-US" w:eastAsia="zh-CN" w:bidi="ar"/>
              </w:rPr>
              <w:t>座；县城规划区范围内雨污分流管网补全，工程内容包括：新建雨水管网</w:t>
            </w:r>
            <w:r>
              <w:rPr>
                <w:rFonts w:hint="default" w:ascii="Times New Roman" w:hAnsi="Times New Roman" w:eastAsia="仿宋" w:cs="Times New Roman"/>
                <w:color w:val="auto"/>
                <w:kern w:val="0"/>
                <w:sz w:val="21"/>
                <w:szCs w:val="21"/>
                <w:lang w:val="en-US" w:eastAsia="zh-CN" w:bidi="ar"/>
              </w:rPr>
              <w:t>60km</w:t>
            </w:r>
            <w:r>
              <w:rPr>
                <w:rFonts w:ascii="Times New Roman" w:hAnsi="Times New Roman" w:eastAsia="仿宋" w:cs="Times New Roman"/>
                <w:color w:val="auto"/>
                <w:kern w:val="0"/>
                <w:sz w:val="21"/>
                <w:szCs w:val="21"/>
                <w:lang w:val="en-US" w:eastAsia="zh-CN" w:bidi="ar"/>
              </w:rPr>
              <w:t>，新建污水管网</w:t>
            </w:r>
            <w:r>
              <w:rPr>
                <w:rFonts w:hint="default" w:ascii="Times New Roman" w:hAnsi="Times New Roman" w:eastAsia="仿宋" w:cs="Times New Roman"/>
                <w:color w:val="auto"/>
                <w:kern w:val="0"/>
                <w:sz w:val="21"/>
                <w:szCs w:val="21"/>
                <w:lang w:val="en-US" w:eastAsia="zh-CN" w:bidi="ar"/>
              </w:rPr>
              <w:t>50km</w:t>
            </w:r>
            <w:r>
              <w:rPr>
                <w:rFonts w:ascii="Times New Roman" w:hAnsi="Times New Roman" w:eastAsia="仿宋" w:cs="Times New Roman"/>
                <w:color w:val="auto"/>
                <w:kern w:val="0"/>
                <w:sz w:val="21"/>
                <w:szCs w:val="21"/>
                <w:lang w:val="en-US" w:eastAsia="zh-CN" w:bidi="ar"/>
              </w:rPr>
              <w:t>。合计雨水管网</w:t>
            </w:r>
            <w:r>
              <w:rPr>
                <w:rFonts w:hint="default" w:ascii="Times New Roman" w:hAnsi="Times New Roman" w:eastAsia="仿宋" w:cs="Times New Roman"/>
                <w:color w:val="auto"/>
                <w:kern w:val="0"/>
                <w:sz w:val="21"/>
                <w:szCs w:val="21"/>
                <w:lang w:val="en-US" w:eastAsia="zh-CN" w:bidi="ar"/>
              </w:rPr>
              <w:t>140km</w:t>
            </w:r>
            <w:r>
              <w:rPr>
                <w:rFonts w:ascii="Times New Roman" w:hAnsi="Times New Roman" w:eastAsia="仿宋" w:cs="Times New Roman"/>
                <w:color w:val="auto"/>
                <w:kern w:val="0"/>
                <w:sz w:val="21"/>
                <w:szCs w:val="21"/>
                <w:lang w:val="en-US" w:eastAsia="zh-CN" w:bidi="ar"/>
              </w:rPr>
              <w:t>，污水管网</w:t>
            </w:r>
            <w:r>
              <w:rPr>
                <w:rFonts w:hint="default" w:ascii="Times New Roman" w:hAnsi="Times New Roman" w:eastAsia="仿宋" w:cs="Times New Roman"/>
                <w:color w:val="auto"/>
                <w:kern w:val="0"/>
                <w:sz w:val="21"/>
                <w:szCs w:val="21"/>
                <w:lang w:val="en-US" w:eastAsia="zh-CN" w:bidi="ar"/>
              </w:rPr>
              <w:t>110km</w:t>
            </w:r>
            <w:r>
              <w:rPr>
                <w:rFonts w:ascii="Times New Roman" w:hAnsi="Times New Roman" w:eastAsia="仿宋" w:cs="Times New Roman"/>
                <w:color w:val="auto"/>
                <w:kern w:val="0"/>
                <w:sz w:val="21"/>
                <w:szCs w:val="21"/>
                <w:lang w:val="en-US" w:eastAsia="zh-CN" w:bidi="ar"/>
              </w:rPr>
              <w:t>，中途提升泵</w:t>
            </w:r>
            <w:r>
              <w:rPr>
                <w:rFonts w:hint="default" w:ascii="Times New Roman" w:hAnsi="Times New Roman" w:eastAsia="仿宋" w:cs="Times New Roman"/>
                <w:color w:val="auto"/>
                <w:kern w:val="0"/>
                <w:sz w:val="21"/>
                <w:szCs w:val="21"/>
                <w:lang w:val="en-US" w:eastAsia="zh-CN" w:bidi="ar"/>
              </w:rPr>
              <w:t>10</w:t>
            </w:r>
            <w:r>
              <w:rPr>
                <w:rFonts w:ascii="Times New Roman" w:hAnsi="Times New Roman" w:eastAsia="仿宋" w:cs="Times New Roman"/>
                <w:color w:val="auto"/>
                <w:kern w:val="0"/>
                <w:sz w:val="21"/>
                <w:szCs w:val="21"/>
                <w:lang w:val="en-US" w:eastAsia="zh-CN" w:bidi="ar"/>
              </w:rPr>
              <w:t>座。</w:t>
            </w:r>
          </w:p>
        </w:tc>
        <w:tc>
          <w:tcPr>
            <w:tcW w:w="408" w:type="pct"/>
            <w:tcBorders>
              <w:top w:val="nil"/>
              <w:left w:val="single" w:color="auto" w:sz="4" w:space="0"/>
              <w:bottom w:val="single" w:color="auto" w:sz="4" w:space="0"/>
              <w:right w:val="single" w:color="auto" w:sz="4" w:space="0"/>
            </w:tcBorders>
            <w:shd w:val="clear" w:color="auto" w:fill="auto"/>
            <w:vAlign w:val="center"/>
          </w:tcPr>
          <w:p w14:paraId="06314F7A">
            <w:pPr>
              <w:widowControl/>
              <w:spacing w:line="240" w:lineRule="auto"/>
              <w:jc w:val="center"/>
              <w:textAlignment w:val="center"/>
              <w:rPr>
                <w:rFonts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2023-2025</w:t>
            </w:r>
          </w:p>
        </w:tc>
        <w:tc>
          <w:tcPr>
            <w:tcW w:w="413" w:type="pct"/>
            <w:tcBorders>
              <w:top w:val="nil"/>
              <w:left w:val="single" w:color="auto" w:sz="4" w:space="0"/>
              <w:bottom w:val="single" w:color="auto" w:sz="4" w:space="0"/>
              <w:right w:val="single" w:color="auto" w:sz="4" w:space="0"/>
            </w:tcBorders>
            <w:shd w:val="clear" w:color="auto" w:fill="auto"/>
            <w:vAlign w:val="center"/>
          </w:tcPr>
          <w:p w14:paraId="41AB8F48">
            <w:pPr>
              <w:widowControl/>
              <w:spacing w:line="240" w:lineRule="auto"/>
              <w:jc w:val="center"/>
              <w:rPr>
                <w:rFonts w:ascii="Times New Roman" w:hAnsi="Times New Roman" w:eastAsia="仿宋" w:cs="Times New Roman"/>
                <w:color w:val="auto"/>
                <w:kern w:val="0"/>
                <w:sz w:val="21"/>
                <w:szCs w:val="21"/>
                <w:lang w:val="en-US" w:eastAsia="zh-CN"/>
              </w:rPr>
            </w:pPr>
            <w:r>
              <w:rPr>
                <w:rFonts w:hint="eastAsia" w:ascii="Times New Roman" w:hAnsi="Times New Roman" w:eastAsia="仿宋" w:cs="Times New Roman"/>
                <w:color w:val="auto"/>
                <w:kern w:val="0"/>
                <w:sz w:val="21"/>
                <w:szCs w:val="21"/>
                <w:lang w:val="en-US" w:eastAsia="zh-CN"/>
              </w:rPr>
              <w:t>150000</w:t>
            </w:r>
          </w:p>
        </w:tc>
        <w:tc>
          <w:tcPr>
            <w:tcW w:w="413" w:type="pct"/>
            <w:shd w:val="clear" w:color="auto" w:fill="auto"/>
            <w:vAlign w:val="center"/>
          </w:tcPr>
          <w:p w14:paraId="4E6F85B3">
            <w:pPr>
              <w:widowControl/>
              <w:spacing w:line="240" w:lineRule="auto"/>
              <w:jc w:val="center"/>
              <w:rPr>
                <w:rFonts w:ascii="Times New Roman" w:hAnsi="Times New Roman" w:eastAsia="仿宋" w:cs="Times New Roman"/>
                <w:color w:val="auto"/>
                <w:kern w:val="0"/>
                <w:sz w:val="21"/>
                <w:szCs w:val="21"/>
                <w:lang w:val="en-US" w:eastAsia="zh-CN"/>
              </w:rPr>
            </w:pPr>
            <w:r>
              <w:rPr>
                <w:rFonts w:hint="eastAsia" w:ascii="Times New Roman" w:hAnsi="Times New Roman" w:eastAsia="仿宋" w:cs="Times New Roman"/>
                <w:color w:val="auto"/>
                <w:kern w:val="0"/>
                <w:sz w:val="21"/>
                <w:szCs w:val="21"/>
                <w:lang w:val="en-US" w:eastAsia="zh-CN"/>
              </w:rPr>
              <w:t>县住建局</w:t>
            </w:r>
          </w:p>
        </w:tc>
        <w:tc>
          <w:tcPr>
            <w:tcW w:w="320" w:type="pct"/>
            <w:shd w:val="clear" w:color="auto" w:fill="auto"/>
            <w:vAlign w:val="center"/>
          </w:tcPr>
          <w:p w14:paraId="0FC29D4A">
            <w:pPr>
              <w:widowControl/>
              <w:spacing w:line="240" w:lineRule="auto"/>
              <w:jc w:val="center"/>
              <w:rPr>
                <w:rFonts w:hint="eastAsia" w:ascii="Times New Roman" w:hAnsi="Times New Roman" w:eastAsia="仿宋" w:cs="Times New Roman"/>
                <w:color w:val="auto"/>
                <w:kern w:val="0"/>
                <w:sz w:val="21"/>
                <w:szCs w:val="21"/>
                <w:lang w:val="en-US" w:eastAsia="zh-CN"/>
              </w:rPr>
            </w:pPr>
            <w:r>
              <w:rPr>
                <w:rFonts w:hint="eastAsia" w:ascii="Times New Roman" w:hAnsi="Times New Roman" w:eastAsia="仿宋" w:cs="Times New Roman"/>
                <w:color w:val="auto"/>
                <w:kern w:val="0"/>
                <w:sz w:val="21"/>
                <w:szCs w:val="21"/>
                <w:lang w:val="en-US" w:eastAsia="zh-CN"/>
              </w:rPr>
              <w:t>政府投入</w:t>
            </w:r>
          </w:p>
        </w:tc>
        <w:tc>
          <w:tcPr>
            <w:tcW w:w="569" w:type="pct"/>
            <w:shd w:val="clear" w:color="auto" w:fill="auto"/>
            <w:vAlign w:val="center"/>
          </w:tcPr>
          <w:p w14:paraId="38B288B0">
            <w:pPr>
              <w:widowControl/>
              <w:spacing w:line="240" w:lineRule="auto"/>
              <w:jc w:val="center"/>
              <w:textAlignment w:val="center"/>
              <w:rPr>
                <w:rFonts w:ascii="Times New Roman" w:hAnsi="Times New Roman" w:eastAsia="仿宋" w:cs="Times New Roman"/>
                <w:color w:val="auto"/>
                <w:kern w:val="0"/>
                <w:sz w:val="21"/>
                <w:szCs w:val="21"/>
                <w:lang w:bidi="ar"/>
              </w:rPr>
            </w:pPr>
            <w:r>
              <w:rPr>
                <w:rFonts w:ascii="Times New Roman" w:hAnsi="Times New Roman" w:eastAsia="仿宋" w:cs="Times New Roman"/>
                <w:color w:val="auto"/>
                <w:kern w:val="0"/>
                <w:sz w:val="21"/>
                <w:szCs w:val="21"/>
                <w:lang w:bidi="ar"/>
              </w:rPr>
              <w:t>城镇生活垃圾无害化处理率</w:t>
            </w:r>
          </w:p>
        </w:tc>
      </w:tr>
      <w:tr w14:paraId="67BA1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jc w:val="center"/>
        </w:trPr>
        <w:tc>
          <w:tcPr>
            <w:tcW w:w="170" w:type="pct"/>
            <w:vMerge w:val="continue"/>
            <w:vAlign w:val="center"/>
          </w:tcPr>
          <w:p w14:paraId="1800090F">
            <w:pPr>
              <w:spacing w:line="240" w:lineRule="auto"/>
              <w:jc w:val="center"/>
              <w:rPr>
                <w:rFonts w:ascii="Times New Roman" w:hAnsi="Times New Roman" w:eastAsia="仿宋" w:cs="Times New Roman"/>
                <w:color w:val="auto"/>
                <w:sz w:val="21"/>
                <w:szCs w:val="21"/>
              </w:rPr>
            </w:pPr>
          </w:p>
        </w:tc>
        <w:tc>
          <w:tcPr>
            <w:tcW w:w="255" w:type="pct"/>
            <w:vAlign w:val="center"/>
          </w:tcPr>
          <w:p w14:paraId="4B8F3DA0">
            <w:pPr>
              <w:widowControl/>
              <w:spacing w:line="240" w:lineRule="auto"/>
              <w:jc w:val="center"/>
              <w:textAlignment w:val="center"/>
              <w:rPr>
                <w:rFonts w:ascii="Times New Roman" w:hAnsi="Times New Roman" w:eastAsia="仿宋" w:cs="Times New Roman"/>
                <w:color w:val="auto"/>
                <w:kern w:val="0"/>
                <w:sz w:val="21"/>
                <w:szCs w:val="21"/>
                <w:lang w:bidi="ar"/>
              </w:rPr>
            </w:pPr>
            <w:r>
              <w:rPr>
                <w:rFonts w:hint="eastAsia" w:ascii="Times New Roman" w:hAnsi="Times New Roman" w:eastAsia="仿宋" w:cs="Times New Roman"/>
                <w:color w:val="auto"/>
                <w:kern w:val="0"/>
                <w:sz w:val="21"/>
                <w:szCs w:val="21"/>
                <w:lang w:val="en-US" w:eastAsia="zh-CN" w:bidi="ar"/>
              </w:rPr>
              <w:t>8</w:t>
            </w:r>
          </w:p>
        </w:tc>
        <w:tc>
          <w:tcPr>
            <w:tcW w:w="631" w:type="pct"/>
            <w:vAlign w:val="center"/>
          </w:tcPr>
          <w:p w14:paraId="74F674A6">
            <w:pPr>
              <w:widowControl/>
              <w:spacing w:line="240" w:lineRule="auto"/>
              <w:jc w:val="center"/>
              <w:textAlignment w:val="center"/>
              <w:rPr>
                <w:rFonts w:ascii="Times New Roman" w:hAnsi="Times New Roman" w:eastAsia="仿宋" w:cs="Times New Roman"/>
                <w:color w:val="auto"/>
                <w:kern w:val="0"/>
                <w:sz w:val="21"/>
                <w:szCs w:val="21"/>
                <w:lang w:bidi="ar"/>
              </w:rPr>
            </w:pPr>
            <w:r>
              <w:rPr>
                <w:rFonts w:hint="eastAsia" w:ascii="Times New Roman" w:hAnsi="Times New Roman" w:eastAsia="仿宋" w:cs="Times New Roman"/>
                <w:color w:val="auto"/>
                <w:kern w:val="0"/>
                <w:sz w:val="21"/>
                <w:szCs w:val="21"/>
                <w:lang w:val="en-US" w:eastAsia="zh-CN" w:bidi="ar"/>
              </w:rPr>
              <w:t>新平县生活垃圾焚烧建设项目</w:t>
            </w:r>
          </w:p>
        </w:tc>
        <w:tc>
          <w:tcPr>
            <w:tcW w:w="1816" w:type="pct"/>
            <w:vAlign w:val="center"/>
          </w:tcPr>
          <w:p w14:paraId="675AFBB1">
            <w:pPr>
              <w:widowControl/>
              <w:spacing w:line="240" w:lineRule="auto"/>
              <w:jc w:val="center"/>
              <w:textAlignment w:val="center"/>
              <w:rPr>
                <w:rFonts w:ascii="Times New Roman" w:hAnsi="Times New Roman" w:eastAsia="仿宋" w:cs="Times New Roman"/>
                <w:color w:val="auto"/>
                <w:kern w:val="0"/>
                <w:sz w:val="21"/>
                <w:szCs w:val="21"/>
                <w:lang w:bidi="ar"/>
              </w:rPr>
            </w:pPr>
            <w:r>
              <w:rPr>
                <w:rFonts w:hint="eastAsia" w:ascii="Times New Roman" w:hAnsi="Times New Roman" w:eastAsia="仿宋" w:cs="Times New Roman"/>
                <w:color w:val="auto"/>
                <w:kern w:val="0"/>
                <w:sz w:val="21"/>
                <w:szCs w:val="21"/>
                <w:lang w:val="en-US" w:eastAsia="zh-CN" w:bidi="ar"/>
              </w:rPr>
              <w:t>该项目主要由生产及辅助工程、公用工程、环保工程等内容组成，包括新建垃圾接收系统、储存系统、运输系统、焚烧系统、烟气处理系统、垃圾热能利用系统等。</w:t>
            </w:r>
          </w:p>
        </w:tc>
        <w:tc>
          <w:tcPr>
            <w:tcW w:w="408" w:type="pct"/>
            <w:vAlign w:val="center"/>
          </w:tcPr>
          <w:p w14:paraId="0FBFC2C2">
            <w:pPr>
              <w:widowControl/>
              <w:spacing w:line="240" w:lineRule="auto"/>
              <w:jc w:val="center"/>
              <w:textAlignment w:val="center"/>
              <w:rPr>
                <w:rFonts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2022-2023</w:t>
            </w:r>
          </w:p>
        </w:tc>
        <w:tc>
          <w:tcPr>
            <w:tcW w:w="413" w:type="pct"/>
            <w:vAlign w:val="center"/>
          </w:tcPr>
          <w:p w14:paraId="278C3E26">
            <w:pPr>
              <w:widowControl/>
              <w:spacing w:line="240" w:lineRule="auto"/>
              <w:jc w:val="center"/>
              <w:rPr>
                <w:rFonts w:ascii="Times New Roman" w:hAnsi="Times New Roman" w:eastAsia="仿宋" w:cs="Times New Roman"/>
                <w:color w:val="auto"/>
                <w:kern w:val="0"/>
                <w:sz w:val="21"/>
                <w:szCs w:val="21"/>
                <w:lang w:val="en-US" w:eastAsia="zh-CN"/>
              </w:rPr>
            </w:pPr>
            <w:r>
              <w:rPr>
                <w:rFonts w:hint="eastAsia" w:ascii="Times New Roman" w:hAnsi="Times New Roman" w:eastAsia="仿宋" w:cs="Times New Roman"/>
                <w:color w:val="auto"/>
                <w:kern w:val="0"/>
                <w:sz w:val="21"/>
                <w:szCs w:val="21"/>
                <w:lang w:val="en-US" w:eastAsia="zh-CN"/>
              </w:rPr>
              <w:t>5000</w:t>
            </w:r>
          </w:p>
        </w:tc>
        <w:tc>
          <w:tcPr>
            <w:tcW w:w="413" w:type="pct"/>
            <w:vAlign w:val="center"/>
          </w:tcPr>
          <w:p w14:paraId="17812350">
            <w:pPr>
              <w:widowControl/>
              <w:spacing w:line="240" w:lineRule="auto"/>
              <w:jc w:val="center"/>
              <w:rPr>
                <w:rFonts w:ascii="Times New Roman" w:hAnsi="Times New Roman" w:eastAsia="仿宋" w:cs="Times New Roman"/>
                <w:color w:val="auto"/>
                <w:kern w:val="0"/>
                <w:sz w:val="21"/>
                <w:szCs w:val="21"/>
                <w:lang w:val="en-US" w:eastAsia="zh-CN"/>
              </w:rPr>
            </w:pPr>
            <w:r>
              <w:rPr>
                <w:rFonts w:hint="eastAsia" w:ascii="Times New Roman" w:hAnsi="Times New Roman" w:eastAsia="仿宋" w:cs="Times New Roman"/>
                <w:color w:val="auto"/>
                <w:kern w:val="0"/>
                <w:sz w:val="21"/>
                <w:szCs w:val="21"/>
                <w:lang w:val="en-US" w:eastAsia="zh-CN"/>
              </w:rPr>
              <w:t>县住建局</w:t>
            </w:r>
          </w:p>
        </w:tc>
        <w:tc>
          <w:tcPr>
            <w:tcW w:w="320" w:type="pct"/>
            <w:vAlign w:val="center"/>
          </w:tcPr>
          <w:p w14:paraId="4F7FB139">
            <w:pPr>
              <w:widowControl/>
              <w:spacing w:line="240" w:lineRule="auto"/>
              <w:jc w:val="center"/>
              <w:rPr>
                <w:rFonts w:hint="eastAsia" w:ascii="Times New Roman" w:hAnsi="Times New Roman" w:eastAsia="仿宋" w:cs="Times New Roman"/>
                <w:color w:val="auto"/>
                <w:kern w:val="0"/>
                <w:sz w:val="21"/>
                <w:szCs w:val="21"/>
                <w:lang w:val="en-US" w:eastAsia="zh-CN"/>
              </w:rPr>
            </w:pPr>
            <w:r>
              <w:rPr>
                <w:rFonts w:hint="eastAsia" w:ascii="Times New Roman" w:hAnsi="Times New Roman" w:eastAsia="仿宋" w:cs="Times New Roman"/>
                <w:color w:val="auto"/>
                <w:kern w:val="0"/>
                <w:sz w:val="21"/>
                <w:szCs w:val="21"/>
                <w:lang w:val="en-US" w:eastAsia="zh-CN"/>
              </w:rPr>
              <w:t>政府投入</w:t>
            </w:r>
          </w:p>
        </w:tc>
        <w:tc>
          <w:tcPr>
            <w:tcW w:w="569" w:type="pct"/>
            <w:vAlign w:val="center"/>
          </w:tcPr>
          <w:p w14:paraId="185E3992">
            <w:pPr>
              <w:widowControl/>
              <w:spacing w:line="240" w:lineRule="auto"/>
              <w:jc w:val="center"/>
              <w:textAlignment w:val="center"/>
              <w:rPr>
                <w:rFonts w:ascii="Times New Roman" w:hAnsi="Times New Roman" w:eastAsia="仿宋" w:cs="Times New Roman"/>
                <w:color w:val="auto"/>
                <w:kern w:val="0"/>
                <w:sz w:val="21"/>
                <w:szCs w:val="21"/>
                <w:lang w:bidi="ar"/>
              </w:rPr>
            </w:pPr>
            <w:r>
              <w:rPr>
                <w:rFonts w:ascii="Times New Roman" w:hAnsi="Times New Roman" w:eastAsia="仿宋" w:cs="Times New Roman"/>
                <w:color w:val="auto"/>
                <w:kern w:val="0"/>
                <w:sz w:val="21"/>
                <w:szCs w:val="21"/>
                <w:lang w:bidi="ar"/>
              </w:rPr>
              <w:t>城镇生活垃圾分类减量化行动</w:t>
            </w:r>
          </w:p>
        </w:tc>
      </w:tr>
      <w:tr w14:paraId="1CB82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jc w:val="center"/>
        </w:trPr>
        <w:tc>
          <w:tcPr>
            <w:tcW w:w="170" w:type="pct"/>
            <w:vMerge w:val="continue"/>
            <w:vAlign w:val="center"/>
          </w:tcPr>
          <w:p w14:paraId="238A7EA8">
            <w:pPr>
              <w:spacing w:line="240" w:lineRule="auto"/>
              <w:jc w:val="center"/>
              <w:rPr>
                <w:rFonts w:ascii="Times New Roman" w:hAnsi="Times New Roman" w:eastAsia="仿宋" w:cs="Times New Roman"/>
                <w:color w:val="auto"/>
                <w:sz w:val="21"/>
                <w:szCs w:val="21"/>
              </w:rPr>
            </w:pPr>
          </w:p>
        </w:tc>
        <w:tc>
          <w:tcPr>
            <w:tcW w:w="255" w:type="pct"/>
            <w:vAlign w:val="center"/>
          </w:tcPr>
          <w:p w14:paraId="193EDF08">
            <w:pPr>
              <w:widowControl/>
              <w:spacing w:line="240" w:lineRule="auto"/>
              <w:jc w:val="center"/>
              <w:textAlignment w:val="center"/>
              <w:rPr>
                <w:rFonts w:ascii="Times New Roman" w:hAnsi="Times New Roman" w:eastAsia="仿宋" w:cs="Times New Roman"/>
                <w:color w:val="auto"/>
                <w:kern w:val="0"/>
                <w:sz w:val="21"/>
                <w:szCs w:val="21"/>
                <w:lang w:bidi="ar"/>
              </w:rPr>
            </w:pPr>
            <w:r>
              <w:rPr>
                <w:rFonts w:hint="eastAsia" w:ascii="Times New Roman" w:hAnsi="Times New Roman" w:eastAsia="仿宋" w:cs="Times New Roman"/>
                <w:color w:val="auto"/>
                <w:kern w:val="0"/>
                <w:sz w:val="21"/>
                <w:szCs w:val="21"/>
                <w:lang w:val="en-US" w:eastAsia="zh-CN" w:bidi="ar"/>
              </w:rPr>
              <w:t>9</w:t>
            </w:r>
          </w:p>
        </w:tc>
        <w:tc>
          <w:tcPr>
            <w:tcW w:w="631" w:type="pct"/>
            <w:tcBorders>
              <w:top w:val="single" w:color="auto" w:sz="4" w:space="0"/>
              <w:left w:val="single" w:color="auto" w:sz="4" w:space="0"/>
              <w:bottom w:val="single" w:color="auto" w:sz="4" w:space="0"/>
              <w:right w:val="single" w:color="auto" w:sz="4" w:space="0"/>
            </w:tcBorders>
            <w:shd w:val="clear" w:color="auto" w:fill="auto"/>
            <w:vAlign w:val="center"/>
          </w:tcPr>
          <w:p w14:paraId="307BC420">
            <w:pPr>
              <w:widowControl/>
              <w:spacing w:line="240" w:lineRule="auto"/>
              <w:jc w:val="center"/>
              <w:textAlignment w:val="center"/>
              <w:rPr>
                <w:rFonts w:ascii="Times New Roman" w:hAnsi="Times New Roman" w:eastAsia="仿宋" w:cs="Times New Roman"/>
                <w:color w:val="auto"/>
                <w:kern w:val="0"/>
                <w:sz w:val="21"/>
                <w:szCs w:val="21"/>
                <w:lang w:bidi="ar"/>
              </w:rPr>
            </w:pPr>
            <w:r>
              <w:rPr>
                <w:rFonts w:hint="eastAsia" w:ascii="Times New Roman" w:hAnsi="Times New Roman" w:eastAsia="仿宋" w:cs="Times New Roman"/>
                <w:color w:val="auto"/>
                <w:kern w:val="0"/>
                <w:sz w:val="21"/>
                <w:szCs w:val="21"/>
                <w:lang w:val="en-US" w:eastAsia="zh-CN" w:bidi="ar"/>
              </w:rPr>
              <w:t>新平县厨余垃圾末端处理二期项目</w:t>
            </w:r>
          </w:p>
        </w:tc>
        <w:tc>
          <w:tcPr>
            <w:tcW w:w="1816" w:type="pct"/>
            <w:tcBorders>
              <w:top w:val="single" w:color="auto" w:sz="4" w:space="0"/>
              <w:left w:val="single" w:color="auto" w:sz="4" w:space="0"/>
              <w:bottom w:val="single" w:color="auto" w:sz="4" w:space="0"/>
              <w:right w:val="single" w:color="auto" w:sz="4" w:space="0"/>
            </w:tcBorders>
            <w:shd w:val="clear" w:color="auto" w:fill="auto"/>
            <w:vAlign w:val="center"/>
          </w:tcPr>
          <w:p w14:paraId="33BA4487">
            <w:pPr>
              <w:widowControl/>
              <w:spacing w:line="240" w:lineRule="auto"/>
              <w:jc w:val="center"/>
              <w:textAlignment w:val="center"/>
              <w:rPr>
                <w:rFonts w:ascii="Times New Roman" w:hAnsi="Times New Roman" w:eastAsia="仿宋" w:cs="Times New Roman"/>
                <w:color w:val="auto"/>
                <w:kern w:val="0"/>
                <w:sz w:val="21"/>
                <w:szCs w:val="21"/>
                <w:lang w:bidi="ar"/>
              </w:rPr>
            </w:pPr>
            <w:r>
              <w:rPr>
                <w:rFonts w:hint="eastAsia" w:ascii="Times New Roman" w:hAnsi="Times New Roman" w:eastAsia="仿宋" w:cs="Times New Roman"/>
                <w:color w:val="auto"/>
                <w:kern w:val="0"/>
                <w:sz w:val="21"/>
                <w:szCs w:val="21"/>
                <w:lang w:val="en-US" w:eastAsia="zh-CN" w:bidi="ar"/>
              </w:rPr>
              <w:t>扩大厨余垃圾末端处理规模至</w:t>
            </w:r>
            <w:r>
              <w:rPr>
                <w:rFonts w:hint="default" w:ascii="Times New Roman" w:hAnsi="Times New Roman" w:eastAsia="仿宋" w:cs="Times New Roman"/>
                <w:color w:val="auto"/>
                <w:kern w:val="0"/>
                <w:sz w:val="21"/>
                <w:szCs w:val="21"/>
                <w:lang w:val="en-US" w:eastAsia="zh-CN" w:bidi="ar"/>
              </w:rPr>
              <w:t>40</w:t>
            </w:r>
            <w:r>
              <w:rPr>
                <w:rFonts w:ascii="Times New Roman" w:hAnsi="Times New Roman" w:eastAsia="仿宋" w:cs="Times New Roman"/>
                <w:color w:val="auto"/>
                <w:kern w:val="0"/>
                <w:sz w:val="21"/>
                <w:szCs w:val="21"/>
                <w:lang w:val="en-US" w:eastAsia="zh-CN" w:bidi="ar"/>
              </w:rPr>
              <w:t>吨</w:t>
            </w:r>
            <w:r>
              <w:rPr>
                <w:rFonts w:hint="default" w:ascii="Times New Roman" w:hAnsi="Times New Roman" w:eastAsia="仿宋" w:cs="Times New Roman"/>
                <w:color w:val="auto"/>
                <w:kern w:val="0"/>
                <w:sz w:val="21"/>
                <w:szCs w:val="21"/>
                <w:lang w:val="en-US" w:eastAsia="zh-CN" w:bidi="ar"/>
              </w:rPr>
              <w:t>/</w:t>
            </w:r>
            <w:r>
              <w:rPr>
                <w:rFonts w:ascii="Times New Roman" w:hAnsi="Times New Roman" w:eastAsia="仿宋" w:cs="Times New Roman"/>
                <w:color w:val="auto"/>
                <w:kern w:val="0"/>
                <w:sz w:val="21"/>
                <w:szCs w:val="21"/>
                <w:lang w:val="en-US" w:eastAsia="zh-CN" w:bidi="ar"/>
              </w:rPr>
              <w:t>天，增设处理生产线一条，增加专业运输车辆</w:t>
            </w:r>
            <w:r>
              <w:rPr>
                <w:rFonts w:hint="default" w:ascii="Times New Roman" w:hAnsi="Times New Roman" w:eastAsia="仿宋" w:cs="Times New Roman"/>
                <w:color w:val="auto"/>
                <w:kern w:val="0"/>
                <w:sz w:val="21"/>
                <w:szCs w:val="21"/>
                <w:lang w:val="en-US" w:eastAsia="zh-CN" w:bidi="ar"/>
              </w:rPr>
              <w:t>2</w:t>
            </w:r>
            <w:r>
              <w:rPr>
                <w:rFonts w:ascii="Times New Roman" w:hAnsi="Times New Roman" w:eastAsia="仿宋" w:cs="Times New Roman"/>
                <w:color w:val="auto"/>
                <w:kern w:val="0"/>
                <w:sz w:val="21"/>
                <w:szCs w:val="21"/>
                <w:lang w:val="en-US" w:eastAsia="zh-CN" w:bidi="ar"/>
              </w:rPr>
              <w:t>辆，增设厨余垃圾处理宣教用房一座。</w:t>
            </w:r>
          </w:p>
        </w:tc>
        <w:tc>
          <w:tcPr>
            <w:tcW w:w="408" w:type="pct"/>
            <w:tcBorders>
              <w:top w:val="single" w:color="auto" w:sz="4" w:space="0"/>
              <w:left w:val="single" w:color="auto" w:sz="4" w:space="0"/>
              <w:bottom w:val="single" w:color="auto" w:sz="4" w:space="0"/>
              <w:right w:val="single" w:color="auto" w:sz="4" w:space="0"/>
            </w:tcBorders>
            <w:shd w:val="clear" w:color="auto" w:fill="auto"/>
            <w:vAlign w:val="center"/>
          </w:tcPr>
          <w:p w14:paraId="04AC3FD8">
            <w:pPr>
              <w:widowControl/>
              <w:spacing w:line="240" w:lineRule="auto"/>
              <w:jc w:val="center"/>
              <w:textAlignment w:val="center"/>
              <w:rPr>
                <w:rFonts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2024-2025</w:t>
            </w:r>
          </w:p>
        </w:tc>
        <w:tc>
          <w:tcPr>
            <w:tcW w:w="413" w:type="pct"/>
            <w:tcBorders>
              <w:top w:val="single" w:color="auto" w:sz="4" w:space="0"/>
              <w:left w:val="single" w:color="auto" w:sz="4" w:space="0"/>
              <w:bottom w:val="single" w:color="auto" w:sz="4" w:space="0"/>
              <w:right w:val="single" w:color="auto" w:sz="4" w:space="0"/>
            </w:tcBorders>
            <w:shd w:val="clear" w:color="auto" w:fill="auto"/>
            <w:vAlign w:val="center"/>
          </w:tcPr>
          <w:p w14:paraId="28BBD1A1">
            <w:pPr>
              <w:widowControl/>
              <w:spacing w:line="240" w:lineRule="auto"/>
              <w:jc w:val="center"/>
              <w:rPr>
                <w:rFonts w:ascii="Times New Roman" w:hAnsi="Times New Roman" w:eastAsia="仿宋" w:cs="Times New Roman"/>
                <w:color w:val="auto"/>
                <w:kern w:val="0"/>
                <w:sz w:val="21"/>
                <w:szCs w:val="21"/>
                <w:lang w:val="en-US" w:eastAsia="zh-CN"/>
              </w:rPr>
            </w:pPr>
            <w:r>
              <w:rPr>
                <w:rFonts w:hint="eastAsia" w:ascii="Times New Roman" w:hAnsi="Times New Roman" w:eastAsia="仿宋" w:cs="Times New Roman"/>
                <w:color w:val="auto"/>
                <w:kern w:val="0"/>
                <w:sz w:val="21"/>
                <w:szCs w:val="21"/>
                <w:lang w:val="en-US" w:eastAsia="zh-CN"/>
              </w:rPr>
              <w:t>1400</w:t>
            </w:r>
          </w:p>
        </w:tc>
        <w:tc>
          <w:tcPr>
            <w:tcW w:w="413" w:type="pct"/>
            <w:shd w:val="clear" w:color="auto" w:fill="auto"/>
            <w:vAlign w:val="center"/>
          </w:tcPr>
          <w:p w14:paraId="2E2274F1">
            <w:pPr>
              <w:widowControl/>
              <w:spacing w:line="240" w:lineRule="auto"/>
              <w:jc w:val="center"/>
              <w:rPr>
                <w:rFonts w:ascii="Times New Roman" w:hAnsi="Times New Roman" w:eastAsia="仿宋" w:cs="Times New Roman"/>
                <w:color w:val="auto"/>
                <w:kern w:val="0"/>
                <w:sz w:val="21"/>
                <w:szCs w:val="21"/>
                <w:lang w:val="en-US" w:eastAsia="zh-CN"/>
              </w:rPr>
            </w:pPr>
            <w:r>
              <w:rPr>
                <w:rFonts w:hint="eastAsia" w:ascii="Times New Roman" w:hAnsi="Times New Roman" w:eastAsia="仿宋" w:cs="Times New Roman"/>
                <w:color w:val="auto"/>
                <w:kern w:val="0"/>
                <w:sz w:val="21"/>
                <w:szCs w:val="21"/>
                <w:lang w:val="en-US" w:eastAsia="zh-CN"/>
              </w:rPr>
              <w:t>县城市管理局</w:t>
            </w:r>
          </w:p>
        </w:tc>
        <w:tc>
          <w:tcPr>
            <w:tcW w:w="320" w:type="pct"/>
            <w:shd w:val="clear" w:color="auto" w:fill="auto"/>
            <w:vAlign w:val="center"/>
          </w:tcPr>
          <w:p w14:paraId="4715B0D0">
            <w:pPr>
              <w:widowControl/>
              <w:spacing w:line="240" w:lineRule="auto"/>
              <w:jc w:val="center"/>
              <w:rPr>
                <w:rFonts w:hint="eastAsia" w:ascii="Times New Roman" w:hAnsi="Times New Roman" w:eastAsia="仿宋" w:cs="Times New Roman"/>
                <w:color w:val="auto"/>
                <w:kern w:val="0"/>
                <w:sz w:val="21"/>
                <w:szCs w:val="21"/>
                <w:lang w:val="en-US" w:eastAsia="zh-CN"/>
              </w:rPr>
            </w:pPr>
            <w:r>
              <w:rPr>
                <w:rFonts w:hint="eastAsia" w:ascii="Times New Roman" w:hAnsi="Times New Roman" w:eastAsia="仿宋" w:cs="Times New Roman"/>
                <w:color w:val="auto"/>
                <w:kern w:val="0"/>
                <w:sz w:val="21"/>
                <w:szCs w:val="21"/>
                <w:lang w:val="en-US" w:eastAsia="zh-CN"/>
              </w:rPr>
              <w:t>政府投入</w:t>
            </w:r>
          </w:p>
        </w:tc>
        <w:tc>
          <w:tcPr>
            <w:tcW w:w="569" w:type="pct"/>
            <w:shd w:val="clear" w:color="auto" w:fill="auto"/>
            <w:vAlign w:val="center"/>
          </w:tcPr>
          <w:p w14:paraId="300AAF2B">
            <w:pPr>
              <w:widowControl/>
              <w:spacing w:line="240" w:lineRule="auto"/>
              <w:jc w:val="center"/>
              <w:textAlignment w:val="center"/>
              <w:rPr>
                <w:rFonts w:ascii="Times New Roman" w:hAnsi="Times New Roman" w:eastAsia="仿宋" w:cs="Times New Roman"/>
                <w:color w:val="auto"/>
                <w:kern w:val="0"/>
                <w:sz w:val="21"/>
                <w:szCs w:val="21"/>
                <w:lang w:bidi="ar"/>
              </w:rPr>
            </w:pPr>
            <w:r>
              <w:rPr>
                <w:rFonts w:ascii="Times New Roman" w:hAnsi="Times New Roman" w:eastAsia="仿宋" w:cs="Times New Roman"/>
                <w:color w:val="auto"/>
                <w:kern w:val="0"/>
                <w:sz w:val="21"/>
                <w:szCs w:val="21"/>
                <w:lang w:bidi="ar"/>
              </w:rPr>
              <w:t>城镇生活垃圾无害化处理率</w:t>
            </w:r>
          </w:p>
        </w:tc>
      </w:tr>
      <w:tr w14:paraId="102D9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jc w:val="center"/>
        </w:trPr>
        <w:tc>
          <w:tcPr>
            <w:tcW w:w="170" w:type="pct"/>
            <w:vMerge w:val="continue"/>
            <w:vAlign w:val="center"/>
          </w:tcPr>
          <w:p w14:paraId="56C515BA">
            <w:pPr>
              <w:spacing w:line="240" w:lineRule="auto"/>
              <w:jc w:val="center"/>
              <w:rPr>
                <w:rFonts w:ascii="Times New Roman" w:hAnsi="Times New Roman" w:eastAsia="仿宋" w:cs="Times New Roman"/>
                <w:color w:val="auto"/>
                <w:sz w:val="21"/>
                <w:szCs w:val="21"/>
              </w:rPr>
            </w:pPr>
          </w:p>
        </w:tc>
        <w:tc>
          <w:tcPr>
            <w:tcW w:w="255" w:type="pct"/>
            <w:vAlign w:val="center"/>
          </w:tcPr>
          <w:p w14:paraId="1D363DB1">
            <w:pPr>
              <w:widowControl/>
              <w:spacing w:line="240" w:lineRule="auto"/>
              <w:jc w:val="center"/>
              <w:textAlignment w:val="center"/>
              <w:rPr>
                <w:rFonts w:ascii="Times New Roman" w:hAnsi="Times New Roman" w:eastAsia="仿宋" w:cs="Times New Roman"/>
                <w:color w:val="auto"/>
                <w:kern w:val="0"/>
                <w:sz w:val="21"/>
                <w:szCs w:val="21"/>
                <w:lang w:bidi="ar"/>
              </w:rPr>
            </w:pPr>
            <w:r>
              <w:rPr>
                <w:rFonts w:hint="eastAsia" w:ascii="Times New Roman" w:hAnsi="Times New Roman" w:eastAsia="仿宋" w:cs="Times New Roman"/>
                <w:color w:val="auto"/>
                <w:kern w:val="0"/>
                <w:sz w:val="21"/>
                <w:szCs w:val="21"/>
                <w:lang w:val="en-US" w:eastAsia="zh-CN" w:bidi="ar"/>
              </w:rPr>
              <w:t>10</w:t>
            </w:r>
          </w:p>
        </w:tc>
        <w:tc>
          <w:tcPr>
            <w:tcW w:w="631" w:type="pct"/>
            <w:tcBorders>
              <w:top w:val="nil"/>
              <w:left w:val="single" w:color="auto" w:sz="4" w:space="0"/>
              <w:bottom w:val="single" w:color="auto" w:sz="4" w:space="0"/>
              <w:right w:val="single" w:color="auto" w:sz="4" w:space="0"/>
            </w:tcBorders>
            <w:shd w:val="clear" w:color="auto" w:fill="auto"/>
            <w:vAlign w:val="center"/>
          </w:tcPr>
          <w:p w14:paraId="0446AACB">
            <w:pPr>
              <w:widowControl/>
              <w:spacing w:line="240" w:lineRule="auto"/>
              <w:jc w:val="center"/>
              <w:textAlignment w:val="center"/>
              <w:rPr>
                <w:rFonts w:ascii="Times New Roman" w:hAnsi="Times New Roman" w:eastAsia="仿宋" w:cs="Times New Roman"/>
                <w:color w:val="auto"/>
                <w:kern w:val="0"/>
                <w:sz w:val="21"/>
                <w:szCs w:val="21"/>
                <w:lang w:bidi="ar"/>
              </w:rPr>
            </w:pPr>
            <w:r>
              <w:rPr>
                <w:rFonts w:hint="eastAsia" w:ascii="Times New Roman" w:hAnsi="Times New Roman" w:eastAsia="仿宋" w:cs="Times New Roman"/>
                <w:color w:val="auto"/>
                <w:kern w:val="0"/>
                <w:sz w:val="21"/>
                <w:szCs w:val="21"/>
                <w:lang w:val="en-US" w:eastAsia="zh-CN" w:bidi="ar"/>
              </w:rPr>
              <w:t>新平县农村人居环境治理PPP项目</w:t>
            </w:r>
          </w:p>
        </w:tc>
        <w:tc>
          <w:tcPr>
            <w:tcW w:w="1816" w:type="pct"/>
            <w:tcBorders>
              <w:top w:val="nil"/>
              <w:left w:val="single" w:color="auto" w:sz="4" w:space="0"/>
              <w:bottom w:val="single" w:color="auto" w:sz="4" w:space="0"/>
              <w:right w:val="single" w:color="auto" w:sz="4" w:space="0"/>
            </w:tcBorders>
            <w:shd w:val="clear" w:color="auto" w:fill="auto"/>
            <w:vAlign w:val="center"/>
          </w:tcPr>
          <w:p w14:paraId="2D7E6060">
            <w:pPr>
              <w:widowControl/>
              <w:spacing w:line="240" w:lineRule="auto"/>
              <w:jc w:val="center"/>
              <w:textAlignment w:val="center"/>
              <w:rPr>
                <w:rFonts w:ascii="Times New Roman" w:hAnsi="Times New Roman" w:eastAsia="仿宋" w:cs="Times New Roman"/>
                <w:color w:val="auto"/>
                <w:kern w:val="0"/>
                <w:sz w:val="21"/>
                <w:szCs w:val="21"/>
                <w:lang w:bidi="ar"/>
              </w:rPr>
            </w:pPr>
            <w:r>
              <w:rPr>
                <w:rFonts w:hint="eastAsia" w:ascii="Times New Roman" w:hAnsi="Times New Roman" w:eastAsia="仿宋" w:cs="Times New Roman"/>
                <w:color w:val="auto"/>
                <w:kern w:val="0"/>
                <w:sz w:val="21"/>
                <w:szCs w:val="21"/>
                <w:lang w:val="en-US" w:eastAsia="zh-CN" w:bidi="ar"/>
              </w:rPr>
              <w:t>1、村镇污水处理设施建设：项目范围涉及全县 12 个乡镇 40 个社区（村委会）共 91 个自然村，10022户，共敷设截、排污管道123954米，修筑雨水沟57512米，增设集中式污水处理设施70套，分户式污水处理设施68套。项目建成后乡镇镇区污水收集和处理覆盖率将达到100%。2、村镇生活垃圾处理：项目范围涉及全县 12 个乡镇（街道办）共 123 个社区（村委会），1461 个村民小组、1584 个自然村。通过查缺补漏，新建11座垃圾转运站，垃圾处理设施15座，3m³车厢可卸式垃圾车137辆，压缩车（后压）6辆，电动三轮车57辆，果皮箱736只，3m³垃圾箱1559只。项目建成后基本实现县域各村镇生活垃圾得到有效治理。3、村镇公厕建设：按照每个乡镇政府所在地平均建成 2 座以上公厕、每个建制村村委会所在地建成 1 座以上公厕的要求，共新建公厕63座。项目建成后达到乡镇、建制村公厕覆盖率达 100%的目标。</w:t>
            </w:r>
          </w:p>
        </w:tc>
        <w:tc>
          <w:tcPr>
            <w:tcW w:w="408" w:type="pct"/>
            <w:tcBorders>
              <w:top w:val="nil"/>
              <w:left w:val="single" w:color="auto" w:sz="4" w:space="0"/>
              <w:bottom w:val="single" w:color="auto" w:sz="4" w:space="0"/>
              <w:right w:val="single" w:color="auto" w:sz="4" w:space="0"/>
            </w:tcBorders>
            <w:shd w:val="clear" w:color="auto" w:fill="auto"/>
            <w:vAlign w:val="center"/>
          </w:tcPr>
          <w:p w14:paraId="04451E40">
            <w:pPr>
              <w:widowControl/>
              <w:spacing w:line="240" w:lineRule="auto"/>
              <w:jc w:val="center"/>
              <w:textAlignment w:val="center"/>
              <w:rPr>
                <w:rFonts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2022-2025</w:t>
            </w:r>
          </w:p>
        </w:tc>
        <w:tc>
          <w:tcPr>
            <w:tcW w:w="413" w:type="pct"/>
            <w:tcBorders>
              <w:top w:val="nil"/>
              <w:left w:val="single" w:color="auto" w:sz="4" w:space="0"/>
              <w:bottom w:val="single" w:color="auto" w:sz="4" w:space="0"/>
              <w:right w:val="single" w:color="auto" w:sz="4" w:space="0"/>
            </w:tcBorders>
            <w:shd w:val="clear" w:color="auto" w:fill="auto"/>
            <w:vAlign w:val="center"/>
          </w:tcPr>
          <w:p w14:paraId="116E45A4">
            <w:pPr>
              <w:widowControl/>
              <w:spacing w:line="240" w:lineRule="auto"/>
              <w:jc w:val="center"/>
              <w:rPr>
                <w:rFonts w:ascii="Times New Roman" w:hAnsi="Times New Roman" w:eastAsia="仿宋" w:cs="Times New Roman"/>
                <w:color w:val="auto"/>
                <w:kern w:val="0"/>
                <w:sz w:val="21"/>
                <w:szCs w:val="21"/>
                <w:lang w:val="en-US" w:eastAsia="zh-CN"/>
              </w:rPr>
            </w:pPr>
            <w:r>
              <w:rPr>
                <w:rFonts w:hint="eastAsia" w:ascii="Times New Roman" w:hAnsi="Times New Roman" w:eastAsia="仿宋" w:cs="Times New Roman"/>
                <w:color w:val="auto"/>
                <w:kern w:val="0"/>
                <w:sz w:val="21"/>
                <w:szCs w:val="21"/>
                <w:lang w:val="en-US" w:eastAsia="zh-CN"/>
              </w:rPr>
              <w:t>51433</w:t>
            </w:r>
          </w:p>
        </w:tc>
        <w:tc>
          <w:tcPr>
            <w:tcW w:w="413" w:type="pct"/>
            <w:shd w:val="clear" w:color="auto" w:fill="auto"/>
            <w:vAlign w:val="center"/>
          </w:tcPr>
          <w:p w14:paraId="785E9BF3">
            <w:pPr>
              <w:widowControl/>
              <w:spacing w:line="240" w:lineRule="auto"/>
              <w:jc w:val="center"/>
              <w:rPr>
                <w:rFonts w:hint="default" w:ascii="Times New Roman" w:hAnsi="Times New Roman" w:eastAsia="仿宋" w:cs="Times New Roman"/>
                <w:color w:val="auto"/>
                <w:kern w:val="0"/>
                <w:sz w:val="21"/>
                <w:szCs w:val="21"/>
                <w:lang w:val="en-US" w:eastAsia="zh-CN"/>
              </w:rPr>
            </w:pPr>
            <w:r>
              <w:rPr>
                <w:rFonts w:hint="eastAsia" w:ascii="Times New Roman" w:hAnsi="Times New Roman" w:eastAsia="仿宋" w:cs="Times New Roman"/>
                <w:color w:val="auto"/>
                <w:kern w:val="0"/>
                <w:sz w:val="21"/>
                <w:szCs w:val="21"/>
                <w:lang w:val="en-US" w:eastAsia="zh-CN"/>
              </w:rPr>
              <w:t>县住建局</w:t>
            </w:r>
          </w:p>
        </w:tc>
        <w:tc>
          <w:tcPr>
            <w:tcW w:w="320" w:type="pct"/>
            <w:shd w:val="clear" w:color="auto" w:fill="auto"/>
            <w:vAlign w:val="center"/>
          </w:tcPr>
          <w:p w14:paraId="03501ADC">
            <w:pPr>
              <w:widowControl/>
              <w:spacing w:line="240" w:lineRule="auto"/>
              <w:jc w:val="center"/>
              <w:rPr>
                <w:rFonts w:hint="eastAsia" w:ascii="Times New Roman" w:hAnsi="Times New Roman" w:eastAsia="仿宋" w:cs="Times New Roman"/>
                <w:color w:val="auto"/>
                <w:kern w:val="0"/>
                <w:sz w:val="21"/>
                <w:szCs w:val="21"/>
                <w:lang w:val="en-US" w:eastAsia="zh-CN"/>
              </w:rPr>
            </w:pPr>
            <w:r>
              <w:rPr>
                <w:rFonts w:hint="eastAsia" w:ascii="Times New Roman" w:hAnsi="Times New Roman" w:eastAsia="仿宋" w:cs="Times New Roman"/>
                <w:color w:val="auto"/>
                <w:kern w:val="0"/>
                <w:sz w:val="21"/>
                <w:szCs w:val="21"/>
                <w:lang w:val="en-US" w:eastAsia="zh-CN"/>
              </w:rPr>
              <w:t>企业自筹、政府投入</w:t>
            </w:r>
          </w:p>
        </w:tc>
        <w:tc>
          <w:tcPr>
            <w:tcW w:w="569" w:type="pct"/>
            <w:shd w:val="clear" w:color="auto" w:fill="auto"/>
            <w:vAlign w:val="center"/>
          </w:tcPr>
          <w:p w14:paraId="02752406">
            <w:pPr>
              <w:widowControl/>
              <w:spacing w:line="240" w:lineRule="auto"/>
              <w:jc w:val="center"/>
              <w:textAlignment w:val="center"/>
              <w:rPr>
                <w:rFonts w:ascii="Times New Roman" w:hAnsi="Times New Roman" w:eastAsia="仿宋" w:cs="Times New Roman"/>
                <w:color w:val="auto"/>
                <w:kern w:val="0"/>
                <w:sz w:val="21"/>
                <w:szCs w:val="21"/>
                <w:lang w:bidi="ar"/>
              </w:rPr>
            </w:pPr>
            <w:r>
              <w:rPr>
                <w:rFonts w:ascii="Times New Roman" w:hAnsi="Times New Roman" w:eastAsia="仿宋" w:cs="Times New Roman"/>
                <w:color w:val="auto"/>
                <w:kern w:val="0"/>
                <w:sz w:val="21"/>
                <w:szCs w:val="21"/>
                <w:lang w:bidi="ar"/>
              </w:rPr>
              <w:t>城镇生活垃圾分类减量化行动</w:t>
            </w:r>
          </w:p>
        </w:tc>
      </w:tr>
      <w:tr w14:paraId="59F04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jc w:val="center"/>
        </w:trPr>
        <w:tc>
          <w:tcPr>
            <w:tcW w:w="170" w:type="pct"/>
            <w:vMerge w:val="continue"/>
            <w:vAlign w:val="center"/>
          </w:tcPr>
          <w:p w14:paraId="55FC8F54">
            <w:pPr>
              <w:spacing w:line="240" w:lineRule="auto"/>
              <w:jc w:val="center"/>
              <w:rPr>
                <w:rFonts w:ascii="Times New Roman" w:hAnsi="Times New Roman" w:eastAsia="仿宋" w:cs="Times New Roman"/>
                <w:color w:val="auto"/>
                <w:sz w:val="21"/>
                <w:szCs w:val="21"/>
              </w:rPr>
            </w:pPr>
          </w:p>
        </w:tc>
        <w:tc>
          <w:tcPr>
            <w:tcW w:w="255" w:type="pct"/>
            <w:vAlign w:val="center"/>
          </w:tcPr>
          <w:p w14:paraId="49228779">
            <w:pPr>
              <w:widowControl/>
              <w:spacing w:line="240" w:lineRule="auto"/>
              <w:jc w:val="center"/>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11</w:t>
            </w:r>
          </w:p>
        </w:tc>
        <w:tc>
          <w:tcPr>
            <w:tcW w:w="631" w:type="pct"/>
            <w:tcBorders>
              <w:top w:val="nil"/>
              <w:left w:val="single" w:color="auto" w:sz="4" w:space="0"/>
              <w:bottom w:val="single" w:color="auto" w:sz="4" w:space="0"/>
              <w:right w:val="single" w:color="auto" w:sz="4" w:space="0"/>
            </w:tcBorders>
            <w:shd w:val="clear" w:color="auto" w:fill="auto"/>
            <w:vAlign w:val="center"/>
          </w:tcPr>
          <w:p w14:paraId="479C59CD">
            <w:pPr>
              <w:widowControl/>
              <w:spacing w:line="240" w:lineRule="auto"/>
              <w:jc w:val="center"/>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美丽乡村创建项目</w:t>
            </w:r>
          </w:p>
        </w:tc>
        <w:tc>
          <w:tcPr>
            <w:tcW w:w="1816" w:type="pct"/>
            <w:tcBorders>
              <w:top w:val="nil"/>
              <w:left w:val="single" w:color="auto" w:sz="4" w:space="0"/>
              <w:bottom w:val="single" w:color="auto" w:sz="4" w:space="0"/>
              <w:right w:val="single" w:color="auto" w:sz="4" w:space="0"/>
            </w:tcBorders>
            <w:shd w:val="clear" w:color="auto" w:fill="auto"/>
            <w:vAlign w:val="center"/>
          </w:tcPr>
          <w:p w14:paraId="7A2AE202">
            <w:pPr>
              <w:widowControl/>
              <w:spacing w:line="240" w:lineRule="auto"/>
              <w:jc w:val="center"/>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创建</w:t>
            </w:r>
            <w:r>
              <w:rPr>
                <w:rFonts w:hint="default" w:ascii="Times New Roman" w:hAnsi="Times New Roman" w:eastAsia="仿宋" w:cs="Times New Roman"/>
                <w:color w:val="auto"/>
                <w:kern w:val="0"/>
                <w:sz w:val="21"/>
                <w:szCs w:val="21"/>
                <w:lang w:val="en-US" w:eastAsia="zh-CN" w:bidi="ar"/>
              </w:rPr>
              <w:t>100</w:t>
            </w:r>
            <w:r>
              <w:rPr>
                <w:rFonts w:hint="eastAsia" w:ascii="Times New Roman" w:hAnsi="Times New Roman" w:eastAsia="仿宋" w:cs="Times New Roman"/>
                <w:color w:val="auto"/>
                <w:kern w:val="0"/>
                <w:sz w:val="21"/>
                <w:szCs w:val="21"/>
                <w:lang w:val="en-US" w:eastAsia="zh-CN" w:bidi="ar"/>
              </w:rPr>
              <w:t>个美丽乡村，每个村庄投资</w:t>
            </w:r>
            <w:r>
              <w:rPr>
                <w:rFonts w:hint="default" w:ascii="Times New Roman" w:hAnsi="Times New Roman" w:eastAsia="仿宋" w:cs="Times New Roman"/>
                <w:color w:val="auto"/>
                <w:kern w:val="0"/>
                <w:sz w:val="21"/>
                <w:szCs w:val="21"/>
                <w:lang w:val="en-US" w:eastAsia="zh-CN" w:bidi="ar"/>
              </w:rPr>
              <w:t>600</w:t>
            </w:r>
            <w:r>
              <w:rPr>
                <w:rFonts w:hint="eastAsia" w:ascii="Times New Roman" w:hAnsi="Times New Roman" w:eastAsia="仿宋" w:cs="Times New Roman"/>
                <w:color w:val="auto"/>
                <w:kern w:val="0"/>
                <w:sz w:val="21"/>
                <w:szCs w:val="21"/>
                <w:lang w:val="en-US" w:eastAsia="zh-CN" w:bidi="ar"/>
              </w:rPr>
              <w:t>万元。围绕美丽乡村评定的</w:t>
            </w:r>
            <w:r>
              <w:rPr>
                <w:rFonts w:hint="default" w:ascii="Times New Roman" w:hAnsi="Times New Roman" w:eastAsia="仿宋" w:cs="Times New Roman"/>
                <w:color w:val="auto"/>
                <w:kern w:val="0"/>
                <w:sz w:val="21"/>
                <w:szCs w:val="21"/>
                <w:lang w:val="en-US" w:eastAsia="zh-CN" w:bidi="ar"/>
              </w:rPr>
              <w:t>36</w:t>
            </w:r>
            <w:r>
              <w:rPr>
                <w:rFonts w:hint="eastAsia" w:ascii="Times New Roman" w:hAnsi="Times New Roman" w:eastAsia="仿宋" w:cs="Times New Roman"/>
                <w:color w:val="auto"/>
                <w:kern w:val="0"/>
                <w:sz w:val="21"/>
                <w:szCs w:val="21"/>
                <w:lang w:val="en-US" w:eastAsia="zh-CN" w:bidi="ar"/>
              </w:rPr>
              <w:t>项目标任务，补短板、强弱项，结合各村实际补齐在基础设施、人居环境、公共服务等方面的短板，通过提升产业发展、强化生态保护、促进乡风文明、完善乡村治理、打造生态宜居美丽家园。年度任务划分为：</w:t>
            </w:r>
            <w:r>
              <w:rPr>
                <w:rFonts w:hint="default" w:ascii="Times New Roman" w:hAnsi="Times New Roman" w:eastAsia="仿宋" w:cs="Times New Roman"/>
                <w:color w:val="auto"/>
                <w:kern w:val="0"/>
                <w:sz w:val="21"/>
                <w:szCs w:val="21"/>
                <w:lang w:val="en-US" w:eastAsia="zh-CN" w:bidi="ar"/>
              </w:rPr>
              <w:t>2021</w:t>
            </w:r>
            <w:r>
              <w:rPr>
                <w:rFonts w:hint="eastAsia" w:ascii="Times New Roman" w:hAnsi="Times New Roman" w:eastAsia="仿宋" w:cs="Times New Roman"/>
                <w:color w:val="auto"/>
                <w:kern w:val="0"/>
                <w:sz w:val="21"/>
                <w:szCs w:val="21"/>
                <w:lang w:val="en-US" w:eastAsia="zh-CN" w:bidi="ar"/>
              </w:rPr>
              <w:t>年</w:t>
            </w:r>
            <w:r>
              <w:rPr>
                <w:rFonts w:hint="default" w:ascii="Times New Roman" w:hAnsi="Times New Roman" w:eastAsia="仿宋" w:cs="Times New Roman"/>
                <w:color w:val="auto"/>
                <w:kern w:val="0"/>
                <w:sz w:val="21"/>
                <w:szCs w:val="21"/>
                <w:lang w:val="en-US" w:eastAsia="zh-CN" w:bidi="ar"/>
              </w:rPr>
              <w:t>20</w:t>
            </w:r>
            <w:r>
              <w:rPr>
                <w:rFonts w:hint="eastAsia" w:ascii="Times New Roman" w:hAnsi="Times New Roman" w:eastAsia="仿宋" w:cs="Times New Roman"/>
                <w:color w:val="auto"/>
                <w:kern w:val="0"/>
                <w:sz w:val="21"/>
                <w:szCs w:val="21"/>
                <w:lang w:val="en-US" w:eastAsia="zh-CN" w:bidi="ar"/>
              </w:rPr>
              <w:t>个，</w:t>
            </w:r>
            <w:r>
              <w:rPr>
                <w:rFonts w:hint="default" w:ascii="Times New Roman" w:hAnsi="Times New Roman" w:eastAsia="仿宋" w:cs="Times New Roman"/>
                <w:color w:val="auto"/>
                <w:kern w:val="0"/>
                <w:sz w:val="21"/>
                <w:szCs w:val="21"/>
                <w:lang w:val="en-US" w:eastAsia="zh-CN" w:bidi="ar"/>
              </w:rPr>
              <w:t>2022</w:t>
            </w:r>
            <w:r>
              <w:rPr>
                <w:rFonts w:hint="eastAsia" w:ascii="Times New Roman" w:hAnsi="Times New Roman" w:eastAsia="仿宋" w:cs="Times New Roman"/>
                <w:color w:val="auto"/>
                <w:kern w:val="0"/>
                <w:sz w:val="21"/>
                <w:szCs w:val="21"/>
                <w:lang w:val="en-US" w:eastAsia="zh-CN" w:bidi="ar"/>
              </w:rPr>
              <w:t>年</w:t>
            </w:r>
            <w:r>
              <w:rPr>
                <w:rFonts w:hint="default" w:ascii="Times New Roman" w:hAnsi="Times New Roman" w:eastAsia="仿宋" w:cs="Times New Roman"/>
                <w:color w:val="auto"/>
                <w:kern w:val="0"/>
                <w:sz w:val="21"/>
                <w:szCs w:val="21"/>
                <w:lang w:val="en-US" w:eastAsia="zh-CN" w:bidi="ar"/>
              </w:rPr>
              <w:t>20</w:t>
            </w:r>
            <w:r>
              <w:rPr>
                <w:rFonts w:hint="eastAsia" w:ascii="Times New Roman" w:hAnsi="Times New Roman" w:eastAsia="仿宋" w:cs="Times New Roman"/>
                <w:color w:val="auto"/>
                <w:kern w:val="0"/>
                <w:sz w:val="21"/>
                <w:szCs w:val="21"/>
                <w:lang w:val="en-US" w:eastAsia="zh-CN" w:bidi="ar"/>
              </w:rPr>
              <w:t>个，</w:t>
            </w:r>
            <w:r>
              <w:rPr>
                <w:rFonts w:hint="default" w:ascii="Times New Roman" w:hAnsi="Times New Roman" w:eastAsia="仿宋" w:cs="Times New Roman"/>
                <w:color w:val="auto"/>
                <w:kern w:val="0"/>
                <w:sz w:val="21"/>
                <w:szCs w:val="21"/>
                <w:lang w:val="en-US" w:eastAsia="zh-CN" w:bidi="ar"/>
              </w:rPr>
              <w:t>2023</w:t>
            </w:r>
            <w:r>
              <w:rPr>
                <w:rFonts w:hint="eastAsia" w:ascii="Times New Roman" w:hAnsi="Times New Roman" w:eastAsia="仿宋" w:cs="Times New Roman"/>
                <w:color w:val="auto"/>
                <w:kern w:val="0"/>
                <w:sz w:val="21"/>
                <w:szCs w:val="21"/>
                <w:lang w:val="en-US" w:eastAsia="zh-CN" w:bidi="ar"/>
              </w:rPr>
              <w:t>年</w:t>
            </w:r>
            <w:r>
              <w:rPr>
                <w:rFonts w:hint="default" w:ascii="Times New Roman" w:hAnsi="Times New Roman" w:eastAsia="仿宋" w:cs="Times New Roman"/>
                <w:color w:val="auto"/>
                <w:kern w:val="0"/>
                <w:sz w:val="21"/>
                <w:szCs w:val="21"/>
                <w:lang w:val="en-US" w:eastAsia="zh-CN" w:bidi="ar"/>
              </w:rPr>
              <w:t>20</w:t>
            </w:r>
            <w:r>
              <w:rPr>
                <w:rFonts w:hint="eastAsia" w:ascii="Times New Roman" w:hAnsi="Times New Roman" w:eastAsia="仿宋" w:cs="Times New Roman"/>
                <w:color w:val="auto"/>
                <w:kern w:val="0"/>
                <w:sz w:val="21"/>
                <w:szCs w:val="21"/>
                <w:lang w:val="en-US" w:eastAsia="zh-CN" w:bidi="ar"/>
              </w:rPr>
              <w:t>个，</w:t>
            </w:r>
            <w:r>
              <w:rPr>
                <w:rFonts w:hint="default" w:ascii="Times New Roman" w:hAnsi="Times New Roman" w:eastAsia="仿宋" w:cs="Times New Roman"/>
                <w:color w:val="auto"/>
                <w:kern w:val="0"/>
                <w:sz w:val="21"/>
                <w:szCs w:val="21"/>
                <w:lang w:val="en-US" w:eastAsia="zh-CN" w:bidi="ar"/>
              </w:rPr>
              <w:t>2024</w:t>
            </w:r>
            <w:r>
              <w:rPr>
                <w:rFonts w:hint="eastAsia" w:ascii="Times New Roman" w:hAnsi="Times New Roman" w:eastAsia="仿宋" w:cs="Times New Roman"/>
                <w:color w:val="auto"/>
                <w:kern w:val="0"/>
                <w:sz w:val="21"/>
                <w:szCs w:val="21"/>
                <w:lang w:val="en-US" w:eastAsia="zh-CN" w:bidi="ar"/>
              </w:rPr>
              <w:t>年</w:t>
            </w:r>
            <w:r>
              <w:rPr>
                <w:rFonts w:hint="default" w:ascii="Times New Roman" w:hAnsi="Times New Roman" w:eastAsia="仿宋" w:cs="Times New Roman"/>
                <w:color w:val="auto"/>
                <w:kern w:val="0"/>
                <w:sz w:val="21"/>
                <w:szCs w:val="21"/>
                <w:lang w:val="en-US" w:eastAsia="zh-CN" w:bidi="ar"/>
              </w:rPr>
              <w:t>20</w:t>
            </w:r>
            <w:r>
              <w:rPr>
                <w:rFonts w:hint="eastAsia" w:ascii="Times New Roman" w:hAnsi="Times New Roman" w:eastAsia="仿宋" w:cs="Times New Roman"/>
                <w:color w:val="auto"/>
                <w:kern w:val="0"/>
                <w:sz w:val="21"/>
                <w:szCs w:val="21"/>
                <w:lang w:val="en-US" w:eastAsia="zh-CN" w:bidi="ar"/>
              </w:rPr>
              <w:t>个，</w:t>
            </w:r>
            <w:r>
              <w:rPr>
                <w:rFonts w:hint="default" w:ascii="Times New Roman" w:hAnsi="Times New Roman" w:eastAsia="仿宋" w:cs="Times New Roman"/>
                <w:color w:val="auto"/>
                <w:kern w:val="0"/>
                <w:sz w:val="21"/>
                <w:szCs w:val="21"/>
                <w:lang w:val="en-US" w:eastAsia="zh-CN" w:bidi="ar"/>
              </w:rPr>
              <w:t>2025</w:t>
            </w:r>
            <w:r>
              <w:rPr>
                <w:rFonts w:hint="eastAsia" w:ascii="Times New Roman" w:hAnsi="Times New Roman" w:eastAsia="仿宋" w:cs="Times New Roman"/>
                <w:color w:val="auto"/>
                <w:kern w:val="0"/>
                <w:sz w:val="21"/>
                <w:szCs w:val="21"/>
                <w:lang w:val="en-US" w:eastAsia="zh-CN" w:bidi="ar"/>
              </w:rPr>
              <w:t>年</w:t>
            </w:r>
            <w:r>
              <w:rPr>
                <w:rFonts w:hint="default" w:ascii="Times New Roman" w:hAnsi="Times New Roman" w:eastAsia="仿宋" w:cs="Times New Roman"/>
                <w:color w:val="auto"/>
                <w:kern w:val="0"/>
                <w:sz w:val="21"/>
                <w:szCs w:val="21"/>
                <w:lang w:val="en-US" w:eastAsia="zh-CN" w:bidi="ar"/>
              </w:rPr>
              <w:t>20</w:t>
            </w:r>
            <w:r>
              <w:rPr>
                <w:rFonts w:hint="eastAsia" w:ascii="Times New Roman" w:hAnsi="Times New Roman" w:eastAsia="仿宋" w:cs="Times New Roman"/>
                <w:color w:val="auto"/>
                <w:kern w:val="0"/>
                <w:sz w:val="21"/>
                <w:szCs w:val="21"/>
                <w:lang w:val="en-US" w:eastAsia="zh-CN" w:bidi="ar"/>
              </w:rPr>
              <w:t>个。</w:t>
            </w:r>
          </w:p>
        </w:tc>
        <w:tc>
          <w:tcPr>
            <w:tcW w:w="408" w:type="pct"/>
            <w:tcBorders>
              <w:top w:val="nil"/>
              <w:left w:val="single" w:color="auto" w:sz="4" w:space="0"/>
              <w:bottom w:val="single" w:color="auto" w:sz="4" w:space="0"/>
              <w:right w:val="single" w:color="auto" w:sz="4" w:space="0"/>
            </w:tcBorders>
            <w:shd w:val="clear" w:color="auto" w:fill="auto"/>
            <w:vAlign w:val="center"/>
          </w:tcPr>
          <w:p w14:paraId="31D70E34">
            <w:pPr>
              <w:widowControl/>
              <w:spacing w:line="240" w:lineRule="auto"/>
              <w:jc w:val="center"/>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2021-2025</w:t>
            </w:r>
          </w:p>
        </w:tc>
        <w:tc>
          <w:tcPr>
            <w:tcW w:w="413" w:type="pct"/>
            <w:tcBorders>
              <w:top w:val="nil"/>
              <w:left w:val="single" w:color="auto" w:sz="4" w:space="0"/>
              <w:bottom w:val="single" w:color="auto" w:sz="4" w:space="0"/>
              <w:right w:val="single" w:color="auto" w:sz="4" w:space="0"/>
            </w:tcBorders>
            <w:shd w:val="clear" w:color="auto" w:fill="auto"/>
            <w:vAlign w:val="center"/>
          </w:tcPr>
          <w:p w14:paraId="4BDEE620">
            <w:pPr>
              <w:widowControl/>
              <w:spacing w:line="240" w:lineRule="auto"/>
              <w:jc w:val="center"/>
              <w:rPr>
                <w:rFonts w:ascii="Times New Roman" w:hAnsi="Times New Roman" w:eastAsia="仿宋" w:cs="Times New Roman"/>
                <w:color w:val="auto"/>
                <w:kern w:val="0"/>
                <w:sz w:val="21"/>
                <w:szCs w:val="21"/>
                <w:lang w:val="en-US" w:eastAsia="zh-CN"/>
              </w:rPr>
            </w:pPr>
            <w:r>
              <w:rPr>
                <w:rFonts w:hint="eastAsia" w:ascii="Times New Roman" w:hAnsi="Times New Roman" w:eastAsia="仿宋" w:cs="Times New Roman"/>
                <w:color w:val="auto"/>
                <w:kern w:val="0"/>
                <w:sz w:val="21"/>
                <w:szCs w:val="21"/>
                <w:lang w:val="en-US" w:eastAsia="zh-CN"/>
              </w:rPr>
              <w:t>60000</w:t>
            </w:r>
          </w:p>
        </w:tc>
        <w:tc>
          <w:tcPr>
            <w:tcW w:w="413" w:type="pct"/>
            <w:shd w:val="clear" w:color="auto" w:fill="auto"/>
            <w:vAlign w:val="center"/>
          </w:tcPr>
          <w:p w14:paraId="7D5E9EC5">
            <w:pPr>
              <w:widowControl/>
              <w:spacing w:line="240" w:lineRule="auto"/>
              <w:jc w:val="center"/>
              <w:rPr>
                <w:rFonts w:ascii="Times New Roman" w:hAnsi="Times New Roman" w:eastAsia="仿宋" w:cs="Times New Roman"/>
                <w:color w:val="auto"/>
                <w:kern w:val="0"/>
                <w:sz w:val="21"/>
                <w:szCs w:val="21"/>
                <w:lang w:val="en-US" w:eastAsia="zh-CN"/>
              </w:rPr>
            </w:pPr>
            <w:r>
              <w:rPr>
                <w:rFonts w:hint="eastAsia" w:ascii="Times New Roman" w:hAnsi="Times New Roman" w:eastAsia="仿宋" w:cs="Times New Roman"/>
                <w:color w:val="auto"/>
                <w:kern w:val="0"/>
                <w:sz w:val="21"/>
                <w:szCs w:val="21"/>
                <w:lang w:val="en-US" w:eastAsia="zh-CN"/>
              </w:rPr>
              <w:t>县工业园区管理委员会</w:t>
            </w:r>
          </w:p>
        </w:tc>
        <w:tc>
          <w:tcPr>
            <w:tcW w:w="320" w:type="pct"/>
            <w:shd w:val="clear" w:color="auto" w:fill="auto"/>
            <w:vAlign w:val="center"/>
          </w:tcPr>
          <w:p w14:paraId="1366606A">
            <w:pPr>
              <w:widowControl/>
              <w:spacing w:line="240" w:lineRule="auto"/>
              <w:jc w:val="center"/>
              <w:rPr>
                <w:rFonts w:hint="eastAsia" w:ascii="Times New Roman" w:hAnsi="Times New Roman" w:eastAsia="仿宋" w:cs="Times New Roman"/>
                <w:color w:val="auto"/>
                <w:kern w:val="0"/>
                <w:sz w:val="21"/>
                <w:szCs w:val="21"/>
                <w:lang w:val="en-US" w:eastAsia="zh-CN"/>
              </w:rPr>
            </w:pPr>
            <w:r>
              <w:rPr>
                <w:rFonts w:hint="eastAsia" w:ascii="Times New Roman" w:hAnsi="Times New Roman" w:eastAsia="仿宋" w:cs="Times New Roman"/>
                <w:color w:val="auto"/>
                <w:kern w:val="0"/>
                <w:sz w:val="21"/>
                <w:szCs w:val="21"/>
                <w:lang w:val="en-US" w:eastAsia="zh-CN"/>
              </w:rPr>
              <w:t>政府投入</w:t>
            </w:r>
          </w:p>
        </w:tc>
        <w:tc>
          <w:tcPr>
            <w:tcW w:w="569" w:type="pct"/>
            <w:shd w:val="clear" w:color="auto" w:fill="auto"/>
            <w:vAlign w:val="center"/>
          </w:tcPr>
          <w:p w14:paraId="7060AF53">
            <w:pPr>
              <w:widowControl/>
              <w:spacing w:line="240" w:lineRule="auto"/>
              <w:jc w:val="center"/>
              <w:textAlignment w:val="center"/>
              <w:rPr>
                <w:rFonts w:ascii="Times New Roman" w:hAnsi="Times New Roman" w:eastAsia="仿宋" w:cs="Times New Roman"/>
                <w:color w:val="auto"/>
                <w:kern w:val="0"/>
                <w:sz w:val="21"/>
                <w:szCs w:val="21"/>
                <w:lang w:bidi="ar"/>
              </w:rPr>
            </w:pPr>
          </w:p>
        </w:tc>
      </w:tr>
      <w:tr w14:paraId="33802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170" w:type="pct"/>
            <w:vMerge w:val="continue"/>
            <w:vAlign w:val="center"/>
          </w:tcPr>
          <w:p w14:paraId="6496A7F4">
            <w:pPr>
              <w:spacing w:line="240" w:lineRule="auto"/>
              <w:jc w:val="center"/>
              <w:rPr>
                <w:rFonts w:ascii="Times New Roman" w:hAnsi="Times New Roman" w:eastAsia="仿宋" w:cs="Times New Roman"/>
                <w:color w:val="auto"/>
                <w:sz w:val="21"/>
                <w:szCs w:val="21"/>
              </w:rPr>
            </w:pPr>
          </w:p>
        </w:tc>
        <w:tc>
          <w:tcPr>
            <w:tcW w:w="255" w:type="pct"/>
            <w:vAlign w:val="center"/>
          </w:tcPr>
          <w:p w14:paraId="50D4ACA0">
            <w:pPr>
              <w:widowControl/>
              <w:spacing w:line="240" w:lineRule="auto"/>
              <w:jc w:val="center"/>
              <w:textAlignment w:val="center"/>
              <w:rPr>
                <w:rFonts w:ascii="Times New Roman" w:hAnsi="Times New Roman" w:eastAsia="仿宋" w:cs="Times New Roman"/>
                <w:color w:val="auto"/>
                <w:sz w:val="21"/>
                <w:szCs w:val="21"/>
              </w:rPr>
            </w:pPr>
          </w:p>
        </w:tc>
        <w:tc>
          <w:tcPr>
            <w:tcW w:w="2856" w:type="pct"/>
            <w:gridSpan w:val="3"/>
            <w:vAlign w:val="center"/>
          </w:tcPr>
          <w:p w14:paraId="0518E717">
            <w:pPr>
              <w:widowControl/>
              <w:spacing w:line="240" w:lineRule="auto"/>
              <w:jc w:val="center"/>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小计</w:t>
            </w:r>
          </w:p>
        </w:tc>
        <w:tc>
          <w:tcPr>
            <w:tcW w:w="413" w:type="pct"/>
            <w:vAlign w:val="center"/>
          </w:tcPr>
          <w:p w14:paraId="79EBF23C">
            <w:pPr>
              <w:widowControl/>
              <w:spacing w:line="240" w:lineRule="auto"/>
              <w:jc w:val="center"/>
              <w:textAlignment w:val="center"/>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b/>
                <w:bCs/>
                <w:color w:val="auto"/>
                <w:kern w:val="0"/>
                <w:sz w:val="21"/>
                <w:szCs w:val="21"/>
                <w:lang w:val="en-US" w:eastAsia="zh-CN" w:bidi="ar"/>
              </w:rPr>
              <w:t>296107</w:t>
            </w:r>
          </w:p>
        </w:tc>
        <w:tc>
          <w:tcPr>
            <w:tcW w:w="413" w:type="pct"/>
            <w:vAlign w:val="center"/>
          </w:tcPr>
          <w:p w14:paraId="66820FE5">
            <w:pPr>
              <w:spacing w:line="240" w:lineRule="auto"/>
              <w:jc w:val="center"/>
              <w:rPr>
                <w:rFonts w:ascii="Times New Roman" w:hAnsi="Times New Roman" w:eastAsia="仿宋" w:cs="Times New Roman"/>
                <w:b/>
                <w:color w:val="auto"/>
                <w:sz w:val="21"/>
                <w:szCs w:val="21"/>
              </w:rPr>
            </w:pPr>
          </w:p>
        </w:tc>
        <w:tc>
          <w:tcPr>
            <w:tcW w:w="320" w:type="pct"/>
            <w:vAlign w:val="center"/>
          </w:tcPr>
          <w:p w14:paraId="23F5F970">
            <w:pPr>
              <w:widowControl/>
              <w:spacing w:line="240" w:lineRule="auto"/>
              <w:jc w:val="center"/>
              <w:rPr>
                <w:rFonts w:hint="eastAsia" w:ascii="Times New Roman" w:hAnsi="Times New Roman" w:eastAsia="仿宋" w:cs="Times New Roman"/>
                <w:color w:val="auto"/>
                <w:kern w:val="0"/>
                <w:sz w:val="21"/>
                <w:szCs w:val="21"/>
                <w:lang w:val="en-US" w:eastAsia="zh-CN"/>
              </w:rPr>
            </w:pPr>
          </w:p>
        </w:tc>
        <w:tc>
          <w:tcPr>
            <w:tcW w:w="569" w:type="pct"/>
            <w:vAlign w:val="center"/>
          </w:tcPr>
          <w:p w14:paraId="38334C23">
            <w:pPr>
              <w:spacing w:line="240" w:lineRule="auto"/>
              <w:jc w:val="center"/>
              <w:rPr>
                <w:rFonts w:ascii="Times New Roman" w:hAnsi="Times New Roman" w:eastAsia="仿宋" w:cs="Times New Roman"/>
                <w:b/>
                <w:color w:val="auto"/>
                <w:sz w:val="21"/>
                <w:szCs w:val="21"/>
              </w:rPr>
            </w:pPr>
          </w:p>
        </w:tc>
      </w:tr>
      <w:tr w14:paraId="47FD1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4" w:hRule="atLeast"/>
          <w:jc w:val="center"/>
        </w:trPr>
        <w:tc>
          <w:tcPr>
            <w:tcW w:w="170" w:type="pct"/>
            <w:vMerge w:val="restart"/>
            <w:vAlign w:val="center"/>
          </w:tcPr>
          <w:p w14:paraId="2F9DFC59">
            <w:pPr>
              <w:widowControl/>
              <w:spacing w:line="240" w:lineRule="auto"/>
              <w:jc w:val="center"/>
              <w:textAlignment w:val="center"/>
              <w:rPr>
                <w:rFonts w:ascii="Times New Roman" w:hAnsi="Times New Roman" w:eastAsia="仿宋" w:cs="Times New Roman"/>
                <w:color w:val="auto"/>
                <w:sz w:val="21"/>
                <w:szCs w:val="21"/>
              </w:rPr>
            </w:pPr>
            <w:r>
              <w:rPr>
                <w:rFonts w:ascii="Times New Roman" w:hAnsi="Times New Roman" w:eastAsia="仿宋" w:cs="Times New Roman"/>
                <w:color w:val="auto"/>
                <w:kern w:val="0"/>
                <w:sz w:val="21"/>
                <w:szCs w:val="21"/>
                <w:lang w:bidi="ar"/>
              </w:rPr>
              <w:t>生态文化</w:t>
            </w:r>
          </w:p>
        </w:tc>
        <w:tc>
          <w:tcPr>
            <w:tcW w:w="255" w:type="pct"/>
            <w:vAlign w:val="center"/>
          </w:tcPr>
          <w:p w14:paraId="4CE5258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1</w:t>
            </w:r>
          </w:p>
        </w:tc>
        <w:tc>
          <w:tcPr>
            <w:tcW w:w="631" w:type="pct"/>
            <w:vAlign w:val="center"/>
          </w:tcPr>
          <w:p w14:paraId="57377223">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eastAsia="仿宋" w:cs="Times New Roman"/>
                <w:color w:val="auto"/>
                <w:kern w:val="0"/>
                <w:sz w:val="21"/>
                <w:szCs w:val="21"/>
                <w:lang w:val="en-US" w:eastAsia="zh-CN" w:bidi="ar"/>
              </w:rPr>
            </w:pPr>
            <w:r>
              <w:rPr>
                <w:rFonts w:ascii="Times New Roman" w:hAnsi="Times New Roman" w:eastAsia="仿宋" w:cs="Times New Roman"/>
                <w:color w:val="auto"/>
                <w:kern w:val="0"/>
                <w:sz w:val="21"/>
                <w:szCs w:val="21"/>
                <w:lang w:bidi="ar"/>
              </w:rPr>
              <w:t>党政干部开展生态文明培训</w:t>
            </w:r>
          </w:p>
        </w:tc>
        <w:tc>
          <w:tcPr>
            <w:tcW w:w="1816" w:type="pct"/>
            <w:vAlign w:val="center"/>
          </w:tcPr>
          <w:p w14:paraId="62808BE0">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Times New Roman" w:hAnsi="Times New Roman" w:eastAsia="仿宋" w:cs="Times New Roman"/>
                <w:color w:val="auto"/>
                <w:kern w:val="0"/>
                <w:sz w:val="21"/>
                <w:szCs w:val="21"/>
                <w:lang w:val="en-US" w:eastAsia="zh-CN" w:bidi="ar"/>
              </w:rPr>
            </w:pPr>
            <w:r>
              <w:rPr>
                <w:rFonts w:ascii="Times New Roman" w:hAnsi="Times New Roman" w:eastAsia="仿宋" w:cs="Times New Roman"/>
                <w:color w:val="auto"/>
                <w:kern w:val="0"/>
                <w:sz w:val="21"/>
                <w:szCs w:val="21"/>
                <w:lang w:bidi="ar"/>
              </w:rPr>
              <w:t>组织部定期组织副科级以上在职党政领导干部以生态文明现场培训、辅导报告、网络培训等形式开展生态文明培训。</w:t>
            </w:r>
          </w:p>
        </w:tc>
        <w:tc>
          <w:tcPr>
            <w:tcW w:w="408" w:type="pct"/>
            <w:vAlign w:val="center"/>
          </w:tcPr>
          <w:p w14:paraId="10089A0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 w:cs="Times New Roman"/>
                <w:color w:val="auto"/>
                <w:kern w:val="0"/>
                <w:sz w:val="21"/>
                <w:szCs w:val="21"/>
                <w:lang w:val="en-US" w:eastAsia="zh-CN" w:bidi="ar"/>
              </w:rPr>
            </w:pPr>
            <w:r>
              <w:rPr>
                <w:rFonts w:ascii="Times New Roman" w:hAnsi="Times New Roman" w:eastAsia="仿宋" w:cs="Times New Roman"/>
                <w:color w:val="auto"/>
                <w:kern w:val="0"/>
                <w:sz w:val="21"/>
                <w:szCs w:val="21"/>
                <w:lang w:bidi="ar"/>
              </w:rPr>
              <w:t>2022-20</w:t>
            </w:r>
            <w:r>
              <w:rPr>
                <w:rFonts w:hint="eastAsia" w:ascii="Times New Roman" w:hAnsi="Times New Roman" w:eastAsia="仿宋" w:cs="Times New Roman"/>
                <w:color w:val="auto"/>
                <w:kern w:val="0"/>
                <w:sz w:val="21"/>
                <w:szCs w:val="21"/>
                <w:lang w:val="en-US" w:eastAsia="zh-CN" w:bidi="ar"/>
              </w:rPr>
              <w:t>30</w:t>
            </w:r>
          </w:p>
        </w:tc>
        <w:tc>
          <w:tcPr>
            <w:tcW w:w="413" w:type="pct"/>
            <w:vAlign w:val="center"/>
          </w:tcPr>
          <w:p w14:paraId="398A309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300</w:t>
            </w:r>
          </w:p>
        </w:tc>
        <w:tc>
          <w:tcPr>
            <w:tcW w:w="413" w:type="pct"/>
            <w:vAlign w:val="center"/>
          </w:tcPr>
          <w:p w14:paraId="4F5B5E4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 w:cs="Times New Roman"/>
                <w:color w:val="auto"/>
                <w:kern w:val="0"/>
                <w:sz w:val="21"/>
                <w:szCs w:val="21"/>
                <w:lang w:val="en-US" w:eastAsia="zh-CN" w:bidi="ar"/>
              </w:rPr>
            </w:pPr>
            <w:r>
              <w:rPr>
                <w:rFonts w:ascii="Times New Roman" w:hAnsi="Times New Roman" w:eastAsia="仿宋" w:cs="Times New Roman"/>
                <w:color w:val="auto"/>
                <w:kern w:val="0"/>
                <w:sz w:val="21"/>
                <w:szCs w:val="21"/>
                <w:lang w:bidi="ar"/>
              </w:rPr>
              <w:t>县委组织部</w:t>
            </w:r>
          </w:p>
        </w:tc>
        <w:tc>
          <w:tcPr>
            <w:tcW w:w="320" w:type="pct"/>
            <w:vAlign w:val="center"/>
          </w:tcPr>
          <w:p w14:paraId="060701E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 w:cs="Times New Roman"/>
                <w:color w:val="auto"/>
                <w:kern w:val="0"/>
                <w:sz w:val="21"/>
                <w:szCs w:val="21"/>
                <w:lang w:val="en-US" w:eastAsia="zh-CN" w:bidi="ar"/>
              </w:rPr>
            </w:pPr>
            <w:r>
              <w:rPr>
                <w:rFonts w:ascii="Times New Roman" w:hAnsi="Times New Roman" w:eastAsia="仿宋" w:cs="Times New Roman"/>
                <w:color w:val="auto"/>
                <w:kern w:val="0"/>
                <w:sz w:val="21"/>
                <w:szCs w:val="21"/>
                <w:lang w:bidi="ar"/>
              </w:rPr>
              <w:t>政府投入</w:t>
            </w:r>
          </w:p>
        </w:tc>
        <w:tc>
          <w:tcPr>
            <w:tcW w:w="569" w:type="pct"/>
            <w:vAlign w:val="center"/>
          </w:tcPr>
          <w:p w14:paraId="5032F12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 w:cs="Times New Roman"/>
                <w:color w:val="auto"/>
                <w:kern w:val="0"/>
                <w:sz w:val="21"/>
                <w:szCs w:val="21"/>
                <w:lang w:val="en-US" w:eastAsia="zh-CN" w:bidi="ar"/>
              </w:rPr>
            </w:pPr>
            <w:r>
              <w:rPr>
                <w:rFonts w:ascii="Times New Roman" w:hAnsi="Times New Roman" w:eastAsia="仿宋" w:cs="Times New Roman"/>
                <w:color w:val="auto"/>
                <w:kern w:val="0"/>
                <w:sz w:val="21"/>
                <w:szCs w:val="21"/>
                <w:lang w:bidi="ar"/>
              </w:rPr>
              <w:t>党政领导干部参加生态文明培训的人数比例</w:t>
            </w:r>
          </w:p>
        </w:tc>
      </w:tr>
      <w:tr w14:paraId="1D239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 w:hRule="atLeast"/>
          <w:jc w:val="center"/>
        </w:trPr>
        <w:tc>
          <w:tcPr>
            <w:tcW w:w="170" w:type="pct"/>
            <w:vMerge w:val="continue"/>
            <w:vAlign w:val="center"/>
          </w:tcPr>
          <w:p w14:paraId="54BAF0DE">
            <w:pPr>
              <w:widowControl/>
              <w:spacing w:line="240" w:lineRule="auto"/>
              <w:jc w:val="center"/>
              <w:textAlignment w:val="center"/>
              <w:rPr>
                <w:rFonts w:ascii="Times New Roman" w:hAnsi="Times New Roman" w:eastAsia="仿宋" w:cs="Times New Roman"/>
                <w:color w:val="auto"/>
                <w:kern w:val="0"/>
                <w:sz w:val="21"/>
                <w:szCs w:val="21"/>
                <w:lang w:bidi="ar"/>
              </w:rPr>
            </w:pPr>
          </w:p>
        </w:tc>
        <w:tc>
          <w:tcPr>
            <w:tcW w:w="255" w:type="pct"/>
            <w:vAlign w:val="center"/>
          </w:tcPr>
          <w:p w14:paraId="7801C67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2</w:t>
            </w:r>
          </w:p>
        </w:tc>
        <w:tc>
          <w:tcPr>
            <w:tcW w:w="631" w:type="pct"/>
            <w:vAlign w:val="center"/>
          </w:tcPr>
          <w:p w14:paraId="41375C02">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eastAsia="仿宋" w:cs="Times New Roman"/>
                <w:color w:val="auto"/>
                <w:kern w:val="0"/>
                <w:sz w:val="21"/>
                <w:szCs w:val="21"/>
                <w:lang w:val="en-US" w:eastAsia="zh-CN" w:bidi="ar"/>
              </w:rPr>
            </w:pPr>
            <w:r>
              <w:rPr>
                <w:rFonts w:ascii="Times New Roman" w:hAnsi="Times New Roman" w:eastAsia="仿宋" w:cs="Times New Roman"/>
                <w:color w:val="auto"/>
                <w:kern w:val="0"/>
                <w:sz w:val="21"/>
                <w:szCs w:val="21"/>
                <w:lang w:bidi="ar"/>
              </w:rPr>
              <w:t>生态文明科普宣传</w:t>
            </w:r>
          </w:p>
        </w:tc>
        <w:tc>
          <w:tcPr>
            <w:tcW w:w="1816" w:type="pct"/>
            <w:vAlign w:val="center"/>
          </w:tcPr>
          <w:p w14:paraId="0B36EFB4">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ascii="Times New Roman" w:hAnsi="Times New Roman" w:eastAsia="仿宋" w:cs="Times New Roman"/>
                <w:color w:val="auto"/>
                <w:kern w:val="0"/>
                <w:sz w:val="21"/>
                <w:szCs w:val="21"/>
                <w:lang w:val="en-US" w:eastAsia="zh-CN" w:bidi="ar"/>
              </w:rPr>
            </w:pPr>
            <w:r>
              <w:rPr>
                <w:rFonts w:ascii="Times New Roman" w:hAnsi="Times New Roman" w:eastAsia="仿宋" w:cs="Times New Roman"/>
                <w:color w:val="auto"/>
                <w:kern w:val="0"/>
                <w:sz w:val="21"/>
                <w:szCs w:val="21"/>
                <w:lang w:bidi="ar"/>
              </w:rPr>
              <w:t>开展各种生态文明宣传，宣传资料印制、设备购置、开展活动。</w:t>
            </w:r>
          </w:p>
        </w:tc>
        <w:tc>
          <w:tcPr>
            <w:tcW w:w="408" w:type="pct"/>
            <w:vAlign w:val="center"/>
          </w:tcPr>
          <w:p w14:paraId="79CCF8E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 w:cs="Times New Roman"/>
                <w:color w:val="auto"/>
                <w:kern w:val="0"/>
                <w:sz w:val="21"/>
                <w:szCs w:val="21"/>
                <w:lang w:val="en-US" w:eastAsia="zh-CN" w:bidi="ar"/>
              </w:rPr>
            </w:pPr>
            <w:r>
              <w:rPr>
                <w:rFonts w:ascii="Times New Roman" w:hAnsi="Times New Roman" w:eastAsia="仿宋" w:cs="Times New Roman"/>
                <w:color w:val="auto"/>
                <w:kern w:val="0"/>
                <w:sz w:val="21"/>
                <w:szCs w:val="21"/>
                <w:lang w:bidi="ar"/>
              </w:rPr>
              <w:t>2022-20</w:t>
            </w:r>
            <w:r>
              <w:rPr>
                <w:rFonts w:hint="eastAsia" w:ascii="Times New Roman" w:hAnsi="Times New Roman" w:eastAsia="仿宋" w:cs="Times New Roman"/>
                <w:color w:val="auto"/>
                <w:kern w:val="0"/>
                <w:sz w:val="21"/>
                <w:szCs w:val="21"/>
                <w:lang w:val="en-US" w:eastAsia="zh-CN" w:bidi="ar"/>
              </w:rPr>
              <w:t>30</w:t>
            </w:r>
          </w:p>
        </w:tc>
        <w:tc>
          <w:tcPr>
            <w:tcW w:w="413" w:type="pct"/>
            <w:vAlign w:val="center"/>
          </w:tcPr>
          <w:p w14:paraId="222E81E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400</w:t>
            </w:r>
          </w:p>
        </w:tc>
        <w:tc>
          <w:tcPr>
            <w:tcW w:w="413" w:type="pct"/>
            <w:vAlign w:val="center"/>
          </w:tcPr>
          <w:p w14:paraId="493F25E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市生态环境局新平分局</w:t>
            </w:r>
          </w:p>
        </w:tc>
        <w:tc>
          <w:tcPr>
            <w:tcW w:w="320" w:type="pct"/>
            <w:vAlign w:val="center"/>
          </w:tcPr>
          <w:p w14:paraId="456E215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政府投入</w:t>
            </w:r>
          </w:p>
        </w:tc>
        <w:tc>
          <w:tcPr>
            <w:tcW w:w="569" w:type="pct"/>
            <w:vAlign w:val="center"/>
          </w:tcPr>
          <w:p w14:paraId="6EC4CE6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公众对生态文明建设的满意度、公众对生态文明建设的参与度</w:t>
            </w:r>
          </w:p>
        </w:tc>
      </w:tr>
      <w:tr w14:paraId="6BAAB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70" w:type="pct"/>
            <w:vMerge w:val="continue"/>
            <w:vAlign w:val="center"/>
          </w:tcPr>
          <w:p w14:paraId="39FE306D">
            <w:pPr>
              <w:spacing w:line="240" w:lineRule="auto"/>
              <w:jc w:val="center"/>
              <w:rPr>
                <w:rFonts w:ascii="Times New Roman" w:hAnsi="Times New Roman" w:eastAsia="仿宋" w:cs="Times New Roman"/>
                <w:color w:val="auto"/>
                <w:sz w:val="21"/>
                <w:szCs w:val="21"/>
              </w:rPr>
            </w:pPr>
          </w:p>
        </w:tc>
        <w:tc>
          <w:tcPr>
            <w:tcW w:w="255" w:type="pct"/>
            <w:vAlign w:val="center"/>
          </w:tcPr>
          <w:p w14:paraId="49C529D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 w:cs="Times New Roman"/>
                <w:color w:val="auto"/>
                <w:kern w:val="0"/>
                <w:sz w:val="21"/>
                <w:szCs w:val="21"/>
                <w:lang w:bidi="ar"/>
              </w:rPr>
            </w:pPr>
            <w:r>
              <w:rPr>
                <w:rFonts w:hint="eastAsia" w:ascii="Times New Roman" w:hAnsi="Times New Roman" w:eastAsia="仿宋" w:cs="Times New Roman"/>
                <w:color w:val="auto"/>
                <w:kern w:val="0"/>
                <w:sz w:val="21"/>
                <w:szCs w:val="21"/>
                <w:lang w:bidi="ar"/>
              </w:rPr>
              <w:t>3</w:t>
            </w:r>
          </w:p>
        </w:tc>
        <w:tc>
          <w:tcPr>
            <w:tcW w:w="631" w:type="pct"/>
            <w:vAlign w:val="center"/>
          </w:tcPr>
          <w:p w14:paraId="2355E5E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公众对生态文明建设满意度和参与度调查</w:t>
            </w:r>
          </w:p>
        </w:tc>
        <w:tc>
          <w:tcPr>
            <w:tcW w:w="1816" w:type="pct"/>
            <w:vAlign w:val="center"/>
          </w:tcPr>
          <w:p w14:paraId="2A758E18">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每年通过问卷调查或独立机构抽样调查的方式开展生态文明建设满意度和参与度调查。</w:t>
            </w:r>
          </w:p>
        </w:tc>
        <w:tc>
          <w:tcPr>
            <w:tcW w:w="408" w:type="pct"/>
            <w:vAlign w:val="center"/>
          </w:tcPr>
          <w:p w14:paraId="1EE85D3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2022-2030</w:t>
            </w:r>
          </w:p>
        </w:tc>
        <w:tc>
          <w:tcPr>
            <w:tcW w:w="413" w:type="pct"/>
            <w:vAlign w:val="center"/>
          </w:tcPr>
          <w:p w14:paraId="0CDA7DE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20</w:t>
            </w:r>
          </w:p>
        </w:tc>
        <w:tc>
          <w:tcPr>
            <w:tcW w:w="413" w:type="pct"/>
            <w:vAlign w:val="center"/>
          </w:tcPr>
          <w:p w14:paraId="61FA109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县统计局</w:t>
            </w:r>
          </w:p>
        </w:tc>
        <w:tc>
          <w:tcPr>
            <w:tcW w:w="320" w:type="pct"/>
            <w:vAlign w:val="center"/>
          </w:tcPr>
          <w:p w14:paraId="3524286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政府投入</w:t>
            </w:r>
          </w:p>
        </w:tc>
        <w:tc>
          <w:tcPr>
            <w:tcW w:w="569" w:type="pct"/>
            <w:vAlign w:val="center"/>
          </w:tcPr>
          <w:p w14:paraId="64357B7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公众对生态文明建设的满意度、公众对生态文明建设的参与度</w:t>
            </w:r>
          </w:p>
        </w:tc>
      </w:tr>
      <w:tr w14:paraId="35E47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 w:hRule="atLeast"/>
          <w:jc w:val="center"/>
        </w:trPr>
        <w:tc>
          <w:tcPr>
            <w:tcW w:w="170" w:type="pct"/>
            <w:vMerge w:val="continue"/>
            <w:vAlign w:val="center"/>
          </w:tcPr>
          <w:p w14:paraId="18F263D5">
            <w:pPr>
              <w:spacing w:line="240" w:lineRule="auto"/>
              <w:jc w:val="center"/>
              <w:rPr>
                <w:rFonts w:ascii="Times New Roman" w:hAnsi="Times New Roman" w:eastAsia="仿宋" w:cs="Times New Roman"/>
                <w:color w:val="auto"/>
                <w:sz w:val="21"/>
                <w:szCs w:val="21"/>
              </w:rPr>
            </w:pPr>
          </w:p>
        </w:tc>
        <w:tc>
          <w:tcPr>
            <w:tcW w:w="255" w:type="pct"/>
            <w:vAlign w:val="center"/>
          </w:tcPr>
          <w:p w14:paraId="5FE914F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Times New Roman" w:hAnsi="Times New Roman" w:eastAsia="仿宋" w:cs="Times New Roman"/>
                <w:color w:val="auto"/>
                <w:kern w:val="0"/>
                <w:sz w:val="21"/>
                <w:szCs w:val="21"/>
                <w:lang w:bidi="ar"/>
              </w:rPr>
            </w:pPr>
            <w:r>
              <w:rPr>
                <w:rFonts w:ascii="Times New Roman" w:hAnsi="Times New Roman" w:eastAsia="仿宋" w:cs="Times New Roman"/>
                <w:color w:val="auto"/>
                <w:kern w:val="0"/>
                <w:sz w:val="21"/>
                <w:szCs w:val="21"/>
                <w:lang w:bidi="ar"/>
              </w:rPr>
              <w:t>4</w:t>
            </w:r>
          </w:p>
        </w:tc>
        <w:tc>
          <w:tcPr>
            <w:tcW w:w="631" w:type="pct"/>
            <w:vAlign w:val="center"/>
          </w:tcPr>
          <w:p w14:paraId="6430851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民族生态文化宣传</w:t>
            </w:r>
          </w:p>
        </w:tc>
        <w:tc>
          <w:tcPr>
            <w:tcW w:w="1816" w:type="pct"/>
            <w:vAlign w:val="center"/>
          </w:tcPr>
          <w:p w14:paraId="53B21A0B">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花腰傣、彝族等民族生态文化的研究，宣传。</w:t>
            </w:r>
          </w:p>
        </w:tc>
        <w:tc>
          <w:tcPr>
            <w:tcW w:w="408" w:type="pct"/>
            <w:vAlign w:val="center"/>
          </w:tcPr>
          <w:p w14:paraId="438E10A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2022-2030</w:t>
            </w:r>
          </w:p>
        </w:tc>
        <w:tc>
          <w:tcPr>
            <w:tcW w:w="413" w:type="pct"/>
            <w:vAlign w:val="center"/>
          </w:tcPr>
          <w:p w14:paraId="22CD635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400</w:t>
            </w:r>
          </w:p>
        </w:tc>
        <w:tc>
          <w:tcPr>
            <w:tcW w:w="413" w:type="pct"/>
            <w:vAlign w:val="center"/>
          </w:tcPr>
          <w:p w14:paraId="0643B33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县文旅局</w:t>
            </w:r>
          </w:p>
        </w:tc>
        <w:tc>
          <w:tcPr>
            <w:tcW w:w="320" w:type="pct"/>
            <w:vAlign w:val="center"/>
          </w:tcPr>
          <w:p w14:paraId="5FDA60D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政府投入</w:t>
            </w:r>
          </w:p>
        </w:tc>
        <w:tc>
          <w:tcPr>
            <w:tcW w:w="569" w:type="pct"/>
            <w:vAlign w:val="center"/>
          </w:tcPr>
          <w:p w14:paraId="5B8BD91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仿宋" w:cs="Times New Roman"/>
                <w:color w:val="auto"/>
                <w:kern w:val="0"/>
                <w:sz w:val="21"/>
                <w:szCs w:val="21"/>
                <w:lang w:val="en-US" w:eastAsia="zh-CN" w:bidi="ar"/>
              </w:rPr>
            </w:pPr>
            <w:r>
              <w:rPr>
                <w:rFonts w:hint="eastAsia" w:ascii="Times New Roman" w:hAnsi="Times New Roman" w:eastAsia="仿宋" w:cs="Times New Roman"/>
                <w:color w:val="auto"/>
                <w:kern w:val="0"/>
                <w:sz w:val="21"/>
                <w:szCs w:val="21"/>
                <w:lang w:val="en-US" w:eastAsia="zh-CN" w:bidi="ar"/>
              </w:rPr>
              <w:t>公众对生态文明建设的满意度、公众对生态文明建设的参与度</w:t>
            </w:r>
          </w:p>
        </w:tc>
      </w:tr>
      <w:tr w14:paraId="17F95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170" w:type="pct"/>
            <w:vMerge w:val="continue"/>
            <w:vAlign w:val="center"/>
          </w:tcPr>
          <w:p w14:paraId="0A9CCFFA">
            <w:pPr>
              <w:spacing w:line="240" w:lineRule="auto"/>
              <w:jc w:val="center"/>
              <w:rPr>
                <w:rFonts w:ascii="Times New Roman" w:hAnsi="Times New Roman" w:eastAsia="仿宋" w:cs="Times New Roman"/>
                <w:color w:val="auto"/>
                <w:sz w:val="21"/>
                <w:szCs w:val="21"/>
              </w:rPr>
            </w:pPr>
          </w:p>
        </w:tc>
        <w:tc>
          <w:tcPr>
            <w:tcW w:w="255" w:type="pct"/>
            <w:vAlign w:val="center"/>
          </w:tcPr>
          <w:p w14:paraId="5E1BC273">
            <w:pPr>
              <w:widowControl/>
              <w:spacing w:line="240" w:lineRule="auto"/>
              <w:jc w:val="center"/>
              <w:textAlignment w:val="center"/>
              <w:rPr>
                <w:rFonts w:ascii="Times New Roman" w:hAnsi="Times New Roman" w:eastAsia="仿宋" w:cs="Times New Roman"/>
                <w:color w:val="auto"/>
                <w:sz w:val="21"/>
                <w:szCs w:val="21"/>
              </w:rPr>
            </w:pPr>
            <w:r>
              <w:rPr>
                <w:rFonts w:ascii="Times New Roman" w:hAnsi="Times New Roman" w:eastAsia="仿宋" w:cs="Times New Roman"/>
                <w:color w:val="auto"/>
                <w:kern w:val="0"/>
                <w:sz w:val="21"/>
                <w:szCs w:val="21"/>
                <w:lang w:bidi="ar"/>
              </w:rPr>
              <w:t>小计</w:t>
            </w:r>
          </w:p>
        </w:tc>
        <w:tc>
          <w:tcPr>
            <w:tcW w:w="2856" w:type="pct"/>
            <w:gridSpan w:val="3"/>
            <w:vAlign w:val="center"/>
          </w:tcPr>
          <w:p w14:paraId="292C56F4">
            <w:pPr>
              <w:spacing w:line="240" w:lineRule="auto"/>
              <w:jc w:val="left"/>
              <w:rPr>
                <w:rFonts w:ascii="Times New Roman" w:hAnsi="Times New Roman" w:eastAsia="仿宋" w:cs="Times New Roman"/>
                <w:color w:val="auto"/>
                <w:sz w:val="21"/>
                <w:szCs w:val="21"/>
              </w:rPr>
            </w:pPr>
            <w:r>
              <w:rPr>
                <w:rFonts w:ascii="Times New Roman" w:hAnsi="Times New Roman" w:eastAsia="仿宋" w:cs="Times New Roman"/>
                <w:color w:val="auto"/>
                <w:sz w:val="21"/>
                <w:szCs w:val="21"/>
              </w:rPr>
              <w:t>/</w:t>
            </w:r>
          </w:p>
        </w:tc>
        <w:tc>
          <w:tcPr>
            <w:tcW w:w="413" w:type="pct"/>
            <w:vAlign w:val="center"/>
          </w:tcPr>
          <w:p w14:paraId="6F6DA03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仿宋" w:cs="Times New Roman"/>
                <w:b/>
                <w:bCs/>
                <w:color w:val="auto"/>
                <w:kern w:val="0"/>
                <w:sz w:val="21"/>
                <w:szCs w:val="21"/>
                <w:lang w:val="en-US" w:eastAsia="zh-CN" w:bidi="ar"/>
              </w:rPr>
            </w:pPr>
            <w:r>
              <w:rPr>
                <w:rFonts w:hint="eastAsia" w:ascii="Times New Roman" w:hAnsi="Times New Roman" w:eastAsia="仿宋" w:cs="Times New Roman"/>
                <w:b/>
                <w:bCs/>
                <w:color w:val="auto"/>
                <w:kern w:val="0"/>
                <w:sz w:val="21"/>
                <w:szCs w:val="21"/>
                <w:lang w:val="en-US" w:eastAsia="zh-CN" w:bidi="ar"/>
              </w:rPr>
              <w:t>1120</w:t>
            </w:r>
          </w:p>
        </w:tc>
        <w:tc>
          <w:tcPr>
            <w:tcW w:w="413" w:type="pct"/>
            <w:vAlign w:val="center"/>
          </w:tcPr>
          <w:p w14:paraId="6917896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仿宋" w:cs="Times New Roman"/>
                <w:color w:val="auto"/>
                <w:kern w:val="0"/>
                <w:sz w:val="21"/>
                <w:szCs w:val="21"/>
                <w:lang w:val="en-US" w:eastAsia="zh-CN" w:bidi="ar"/>
              </w:rPr>
            </w:pPr>
          </w:p>
        </w:tc>
        <w:tc>
          <w:tcPr>
            <w:tcW w:w="320" w:type="pct"/>
            <w:vAlign w:val="center"/>
          </w:tcPr>
          <w:p w14:paraId="279C21AB">
            <w:pPr>
              <w:spacing w:line="240" w:lineRule="auto"/>
              <w:jc w:val="center"/>
              <w:rPr>
                <w:rFonts w:ascii="Times New Roman" w:hAnsi="Times New Roman" w:eastAsia="仿宋" w:cs="Times New Roman"/>
                <w:color w:val="auto"/>
                <w:sz w:val="21"/>
                <w:szCs w:val="21"/>
              </w:rPr>
            </w:pPr>
          </w:p>
        </w:tc>
        <w:tc>
          <w:tcPr>
            <w:tcW w:w="569" w:type="pct"/>
            <w:vAlign w:val="center"/>
          </w:tcPr>
          <w:p w14:paraId="7660C2F0">
            <w:pPr>
              <w:spacing w:line="240" w:lineRule="auto"/>
              <w:jc w:val="center"/>
              <w:rPr>
                <w:rFonts w:ascii="Times New Roman" w:hAnsi="Times New Roman" w:eastAsia="仿宋" w:cs="Times New Roman"/>
                <w:color w:val="auto"/>
                <w:sz w:val="21"/>
                <w:szCs w:val="21"/>
              </w:rPr>
            </w:pPr>
          </w:p>
        </w:tc>
      </w:tr>
      <w:tr w14:paraId="0A5A3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3282" w:type="pct"/>
            <w:gridSpan w:val="5"/>
            <w:vAlign w:val="center"/>
          </w:tcPr>
          <w:p w14:paraId="2B90E40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仿宋" w:cs="Times New Roman"/>
                <w:b/>
                <w:bCs/>
                <w:color w:val="auto"/>
                <w:kern w:val="0"/>
                <w:sz w:val="21"/>
                <w:szCs w:val="21"/>
                <w:lang w:val="en-US" w:eastAsia="zh-CN" w:bidi="ar"/>
              </w:rPr>
            </w:pPr>
            <w:r>
              <w:rPr>
                <w:rFonts w:hint="eastAsia" w:ascii="Times New Roman" w:hAnsi="Times New Roman" w:eastAsia="仿宋" w:cs="Times New Roman"/>
                <w:b/>
                <w:bCs/>
                <w:color w:val="auto"/>
                <w:kern w:val="0"/>
                <w:sz w:val="21"/>
                <w:szCs w:val="21"/>
                <w:lang w:val="en-US" w:eastAsia="zh-CN" w:bidi="ar"/>
              </w:rPr>
              <w:t>总计</w:t>
            </w:r>
          </w:p>
        </w:tc>
        <w:tc>
          <w:tcPr>
            <w:tcW w:w="413" w:type="pct"/>
            <w:vAlign w:val="center"/>
          </w:tcPr>
          <w:p w14:paraId="49B461B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仿宋" w:cs="Times New Roman"/>
                <w:b/>
                <w:bCs/>
                <w:color w:val="auto"/>
                <w:kern w:val="0"/>
                <w:sz w:val="21"/>
                <w:szCs w:val="21"/>
                <w:lang w:val="en-US" w:eastAsia="zh-CN" w:bidi="ar"/>
              </w:rPr>
            </w:pPr>
            <w:r>
              <w:rPr>
                <w:rFonts w:hint="default" w:ascii="Times New Roman" w:hAnsi="Times New Roman" w:eastAsia="仿宋" w:cs="Times New Roman"/>
                <w:b/>
                <w:bCs/>
                <w:color w:val="auto"/>
                <w:kern w:val="0"/>
                <w:sz w:val="21"/>
                <w:szCs w:val="21"/>
                <w:lang w:val="en-US" w:eastAsia="zh-CN" w:bidi="ar"/>
              </w:rPr>
              <w:t>1119993</w:t>
            </w:r>
          </w:p>
        </w:tc>
        <w:tc>
          <w:tcPr>
            <w:tcW w:w="413" w:type="pct"/>
            <w:vAlign w:val="center"/>
          </w:tcPr>
          <w:p w14:paraId="193D3FF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仿宋" w:cs="Times New Roman"/>
                <w:b/>
                <w:bCs/>
                <w:color w:val="auto"/>
                <w:kern w:val="0"/>
                <w:sz w:val="21"/>
                <w:szCs w:val="21"/>
                <w:lang w:val="en-US" w:eastAsia="zh-CN" w:bidi="ar"/>
              </w:rPr>
            </w:pPr>
          </w:p>
        </w:tc>
        <w:tc>
          <w:tcPr>
            <w:tcW w:w="320" w:type="pct"/>
            <w:noWrap/>
            <w:vAlign w:val="center"/>
          </w:tcPr>
          <w:p w14:paraId="1D1C885B">
            <w:pPr>
              <w:spacing w:line="240" w:lineRule="auto"/>
              <w:jc w:val="center"/>
              <w:rPr>
                <w:rFonts w:ascii="Times New Roman" w:hAnsi="Times New Roman" w:eastAsia="仿宋" w:cs="Times New Roman"/>
                <w:color w:val="auto"/>
                <w:sz w:val="21"/>
                <w:szCs w:val="21"/>
              </w:rPr>
            </w:pPr>
          </w:p>
        </w:tc>
        <w:tc>
          <w:tcPr>
            <w:tcW w:w="569" w:type="pct"/>
            <w:noWrap/>
            <w:vAlign w:val="center"/>
          </w:tcPr>
          <w:p w14:paraId="1FB87007">
            <w:pPr>
              <w:spacing w:line="240" w:lineRule="auto"/>
              <w:jc w:val="center"/>
              <w:rPr>
                <w:rFonts w:ascii="Times New Roman" w:hAnsi="Times New Roman" w:eastAsia="仿宋" w:cs="Times New Roman"/>
                <w:color w:val="auto"/>
                <w:sz w:val="21"/>
                <w:szCs w:val="21"/>
              </w:rPr>
            </w:pPr>
          </w:p>
        </w:tc>
      </w:tr>
    </w:tbl>
    <w:p w14:paraId="4B4B7BA7">
      <w:pPr>
        <w:keepNext w:val="0"/>
        <w:keepLines w:val="0"/>
        <w:pageBreakBefore w:val="0"/>
        <w:widowControl w:val="0"/>
        <w:kinsoku/>
        <w:wordWrap/>
        <w:overflowPunct/>
        <w:topLinePunct w:val="0"/>
        <w:autoSpaceDE/>
        <w:autoSpaceDN/>
        <w:bidi w:val="0"/>
        <w:adjustRightInd/>
        <w:snapToGrid/>
        <w:spacing w:line="400" w:lineRule="exact"/>
        <w:textAlignment w:val="auto"/>
        <w:rPr>
          <w:rFonts w:ascii="Times New Roman" w:hAnsi="Times New Roman" w:eastAsia="仿宋" w:cs="Times New Roman"/>
          <w:color w:val="auto"/>
          <w:kern w:val="0"/>
          <w:sz w:val="21"/>
          <w:szCs w:val="21"/>
          <w:lang w:bidi="ar"/>
        </w:rPr>
      </w:pPr>
    </w:p>
    <w:p w14:paraId="7BE062B1">
      <w:pPr>
        <w:keepNext w:val="0"/>
        <w:keepLines w:val="0"/>
        <w:pageBreakBefore w:val="0"/>
        <w:widowControl w:val="0"/>
        <w:kinsoku/>
        <w:wordWrap/>
        <w:overflowPunct/>
        <w:topLinePunct w:val="0"/>
        <w:autoSpaceDE/>
        <w:autoSpaceDN/>
        <w:bidi w:val="0"/>
        <w:adjustRightInd/>
        <w:snapToGrid/>
        <w:spacing w:line="400" w:lineRule="exact"/>
        <w:textAlignment w:val="auto"/>
        <w:sectPr>
          <w:headerReference r:id="rId15" w:type="default"/>
          <w:footerReference r:id="rId16" w:type="default"/>
          <w:footerReference r:id="rId17" w:type="even"/>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425" w:num="1"/>
          <w:docGrid w:linePitch="312" w:charSpace="0"/>
        </w:sectPr>
      </w:pPr>
    </w:p>
    <w:p w14:paraId="4D0C22A6">
      <w:pPr>
        <w:pStyle w:val="4"/>
        <w:pageBreakBefore w:val="0"/>
        <w:kinsoku/>
        <w:wordWrap/>
        <w:overflowPunct/>
        <w:topLinePunct w:val="0"/>
        <w:autoSpaceDE/>
        <w:autoSpaceDN/>
        <w:bidi w:val="0"/>
        <w:adjustRightInd/>
        <w:snapToGrid/>
        <w:spacing w:before="260" w:after="260" w:line="500" w:lineRule="exact"/>
        <w:ind w:firstLine="0"/>
        <w:textAlignment w:val="auto"/>
        <w:rPr>
          <w:rFonts w:hint="default" w:ascii="Times New Roman" w:hAnsi="Times New Roman" w:eastAsia="仿宋" w:cs="Times New Roman"/>
          <w:color w:val="auto"/>
          <w:sz w:val="32"/>
          <w:lang w:val="zh-CN" w:eastAsia="zh-CN"/>
        </w:rPr>
      </w:pPr>
      <w:bookmarkStart w:id="726" w:name="_Toc3618"/>
      <w:r>
        <w:rPr>
          <w:rFonts w:hint="default" w:ascii="Times New Roman" w:hAnsi="Times New Roman" w:eastAsia="仿宋" w:cs="Times New Roman"/>
          <w:color w:val="auto"/>
          <w:sz w:val="32"/>
          <w:lang w:val="zh-CN" w:eastAsia="zh-CN"/>
        </w:rPr>
        <w:t>11.2规划效益分析</w:t>
      </w:r>
      <w:bookmarkEnd w:id="726"/>
    </w:p>
    <w:p w14:paraId="102539C4">
      <w:pPr>
        <w:pStyle w:val="5"/>
        <w:pageBreakBefore w:val="0"/>
        <w:kinsoku/>
        <w:wordWrap/>
        <w:overflowPunct/>
        <w:topLinePunct w:val="0"/>
        <w:autoSpaceDE/>
        <w:autoSpaceDN/>
        <w:bidi w:val="0"/>
        <w:adjustRightInd/>
        <w:snapToGrid/>
        <w:spacing w:before="120" w:after="120" w:line="500" w:lineRule="exact"/>
        <w:ind w:firstLine="0" w:firstLineChars="0"/>
        <w:textAlignment w:val="auto"/>
        <w:rPr>
          <w:rFonts w:eastAsia="仿宋"/>
          <w:snapToGrid w:val="0"/>
          <w:color w:val="auto"/>
          <w:sz w:val="28"/>
        </w:rPr>
      </w:pPr>
      <w:bookmarkStart w:id="727" w:name="_Toc29215"/>
      <w:r>
        <w:rPr>
          <w:rFonts w:eastAsia="仿宋"/>
          <w:snapToGrid w:val="0"/>
          <w:color w:val="auto"/>
          <w:sz w:val="28"/>
        </w:rPr>
        <w:t>11.2.1环境效益</w:t>
      </w:r>
      <w:bookmarkEnd w:id="727"/>
    </w:p>
    <w:p w14:paraId="55C7F081">
      <w:pPr>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规划实施后改善生态环境质量、提升生态服务功能，提升水、大气、土壤污染防治能力，有效削减水、大气和重金属污染物，显著改善区域范围内的地表水环境、土壤环境质量、大气环境质量，乡镇和农村的生态环境也将逐步改善。规划实施后还能缓解区域水资源、土地资源等资源利用水平，实现资源向优势产业的集中，实现资源的高效、合理利用，促进新平县整体生态环境质量显著提升，为新平县生态环境的改善，城乡人居环境的美化提供保障。</w:t>
      </w:r>
    </w:p>
    <w:p w14:paraId="493791DA">
      <w:pPr>
        <w:pStyle w:val="5"/>
        <w:pageBreakBefore w:val="0"/>
        <w:kinsoku/>
        <w:wordWrap/>
        <w:overflowPunct/>
        <w:topLinePunct w:val="0"/>
        <w:autoSpaceDE/>
        <w:autoSpaceDN/>
        <w:bidi w:val="0"/>
        <w:adjustRightInd/>
        <w:snapToGrid/>
        <w:spacing w:before="120" w:after="120" w:line="500" w:lineRule="exact"/>
        <w:ind w:firstLine="0" w:firstLineChars="0"/>
        <w:textAlignment w:val="auto"/>
        <w:rPr>
          <w:rFonts w:eastAsia="仿宋"/>
          <w:color w:val="auto"/>
          <w:sz w:val="24"/>
          <w:szCs w:val="24"/>
        </w:rPr>
      </w:pPr>
      <w:bookmarkStart w:id="728" w:name="_Toc6089"/>
      <w:r>
        <w:rPr>
          <w:rFonts w:eastAsia="仿宋"/>
          <w:snapToGrid w:val="0"/>
          <w:color w:val="auto"/>
          <w:sz w:val="28"/>
        </w:rPr>
        <w:t>11.2.2经济效益</w:t>
      </w:r>
      <w:bookmarkEnd w:id="728"/>
    </w:p>
    <w:p w14:paraId="2242933C">
      <w:pPr>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优化产业结构，促进经济快速发展。根据生态文明建设理念，优化三产比例、调整产业结构，引入清洁生产、循环经济等先进技术手段与管理方法，通过生态工业、生态农业项目建设，转变新平县经济增长方式，提高单位工业用地工业增加值，减少单位地区生产总值能耗，减少资源与能源浪费、降低消耗、提高效率，形成有利于节约资源的生产方式和发展模式，实现经济快速、健康、持续发展。</w:t>
      </w:r>
    </w:p>
    <w:p w14:paraId="0923D1E2">
      <w:pPr>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改善投资环境，增加引资力度。规划在生态生活、生态环境和生态制度等建设工程，促进新平县生态环境质量改善，美化人居环境，提高资源利用效率。将提升新平县形象、改善投资环境，将不断吸引外来资金的投入，吸引更多投资商入驻，从而带动区域经济的发展。</w:t>
      </w:r>
    </w:p>
    <w:p w14:paraId="288AEAE9">
      <w:pPr>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扩大就业机会，提高居民收入。经济发展、资金引入将带动生态工业、生态农业和生态旅游的全面快速发展，而这又将为剩余劳动力提供更多的就业机会和发展空间，扩大居民收入的途径，从而增加当地居民的收入。</w:t>
      </w:r>
    </w:p>
    <w:p w14:paraId="40DAFF82">
      <w:pPr>
        <w:pStyle w:val="5"/>
        <w:pageBreakBefore w:val="0"/>
        <w:kinsoku/>
        <w:wordWrap/>
        <w:overflowPunct/>
        <w:topLinePunct w:val="0"/>
        <w:autoSpaceDE/>
        <w:autoSpaceDN/>
        <w:bidi w:val="0"/>
        <w:adjustRightInd/>
        <w:snapToGrid/>
        <w:spacing w:before="120" w:after="120" w:line="500" w:lineRule="exact"/>
        <w:ind w:firstLine="0" w:firstLineChars="0"/>
        <w:textAlignment w:val="auto"/>
        <w:rPr>
          <w:rFonts w:eastAsia="仿宋"/>
          <w:snapToGrid w:val="0"/>
          <w:color w:val="auto"/>
          <w:sz w:val="28"/>
        </w:rPr>
        <w:sectPr>
          <w:headerReference r:id="rId18" w:type="default"/>
          <w:footerReference r:id="rId19" w:type="default"/>
          <w:pgSz w:w="11906" w:h="16838"/>
          <w:pgMar w:top="1440" w:right="1800" w:bottom="1440" w:left="1800" w:header="851" w:footer="992" w:gutter="0"/>
          <w:pgNumType w:fmt="decimal"/>
          <w:cols w:space="425" w:num="1"/>
          <w:docGrid w:linePitch="312" w:charSpace="0"/>
        </w:sectPr>
      </w:pPr>
      <w:bookmarkStart w:id="729" w:name="_Toc3928"/>
      <w:bookmarkStart w:id="730" w:name="_Toc18781"/>
      <w:bookmarkStart w:id="731" w:name="_Toc88223300"/>
      <w:bookmarkStart w:id="732" w:name="_Toc27628"/>
    </w:p>
    <w:p w14:paraId="3CDF6740">
      <w:pPr>
        <w:pStyle w:val="5"/>
        <w:pageBreakBefore w:val="0"/>
        <w:kinsoku/>
        <w:wordWrap/>
        <w:overflowPunct/>
        <w:topLinePunct w:val="0"/>
        <w:autoSpaceDE/>
        <w:autoSpaceDN/>
        <w:bidi w:val="0"/>
        <w:adjustRightInd/>
        <w:snapToGrid/>
        <w:spacing w:before="120" w:after="120" w:line="500" w:lineRule="exact"/>
        <w:ind w:firstLine="0" w:firstLineChars="0"/>
        <w:textAlignment w:val="auto"/>
        <w:rPr>
          <w:rFonts w:eastAsia="仿宋"/>
          <w:snapToGrid w:val="0"/>
          <w:color w:val="auto"/>
          <w:sz w:val="28"/>
        </w:rPr>
      </w:pPr>
      <w:r>
        <w:rPr>
          <w:rFonts w:eastAsia="仿宋"/>
          <w:snapToGrid w:val="0"/>
          <w:color w:val="auto"/>
          <w:sz w:val="28"/>
        </w:rPr>
        <w:t>11.2.3社会效益</w:t>
      </w:r>
      <w:bookmarkEnd w:id="729"/>
      <w:bookmarkEnd w:id="730"/>
      <w:bookmarkEnd w:id="731"/>
      <w:bookmarkEnd w:id="732"/>
    </w:p>
    <w:p w14:paraId="51A28462">
      <w:pPr>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规划的实施可以有效推动全区域生态文明建设，通过生态建设项目工程的实施，生态环境面貌将得到进一步改善。新平河等水体保护成效明显，居民居住环境更为舒适与优美。同时，通过一系列生态文化教育宣传，绿色文明生活方式的倡导，促使居民生态理念、绿色消费理念不断增强，有利于推动全社会对资源循环利用和能源高效利用、生活节能节水的认识，培养民众的良好生态文明意识。同时，随着规划项目的建设实施，区域环境污染将得到有效控制，生态环境质量明显改善，建立起环境友好、资源高效、系统和谐的城市生态体系，为区域健康、持续、平稳发展提供必要的环境支持保障，公众对环境的满意率维持在较高水平。</w:t>
      </w:r>
    </w:p>
    <w:p w14:paraId="15F0C68A">
      <w:pPr>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通过树立生态文明理念，大力发展社会文化、社区文化、企业文化，使人们对体制认知、自然认知、生态认知不断加强，这将促进居民生态文明理念、人口素质不断提高。同时通过一系列生态文化的宣传工程，绿色文明生活方式的倡导，使得居民生态理念、绿色消费理念不断提高，这将有利于推动资源的循环利用和能源的高效节约使用，促进居民提高环保意识、消费品位，从而实现全社会的可持续发展。</w:t>
      </w:r>
    </w:p>
    <w:p w14:paraId="1D955E69">
      <w:pPr>
        <w:pageBreakBefore w:val="0"/>
        <w:kinsoku/>
        <w:wordWrap/>
        <w:overflowPunct/>
        <w:topLinePunct w:val="0"/>
        <w:autoSpaceDE/>
        <w:autoSpaceDN/>
        <w:bidi w:val="0"/>
        <w:adjustRightInd/>
        <w:snapToGrid/>
        <w:spacing w:before="120" w:beforeLines="50" w:after="120" w:afterLines="50" w:line="500" w:lineRule="exact"/>
        <w:ind w:firstLine="482" w:firstLineChars="200"/>
        <w:jc w:val="left"/>
        <w:textAlignment w:val="auto"/>
        <w:rPr>
          <w:rFonts w:ascii="Times New Roman" w:hAnsi="Times New Roman" w:eastAsia="仿宋" w:cs="Times New Roman"/>
          <w:b/>
          <w:color w:val="FF0000"/>
          <w:sz w:val="24"/>
        </w:rPr>
      </w:pPr>
    </w:p>
    <w:p w14:paraId="6CBF521A">
      <w:pPr>
        <w:pageBreakBefore w:val="0"/>
        <w:kinsoku/>
        <w:wordWrap/>
        <w:overflowPunct/>
        <w:topLinePunct w:val="0"/>
        <w:autoSpaceDE/>
        <w:autoSpaceDN/>
        <w:bidi w:val="0"/>
        <w:adjustRightInd/>
        <w:snapToGrid/>
        <w:spacing w:line="500" w:lineRule="exact"/>
        <w:textAlignment w:val="auto"/>
        <w:rPr>
          <w:rFonts w:ascii="Times New Roman" w:hAnsi="Times New Roman" w:eastAsia="仿宋" w:cs="Times New Roman"/>
          <w:color w:val="FF0000"/>
        </w:rPr>
        <w:sectPr>
          <w:footerReference r:id="rId20" w:type="default"/>
          <w:pgSz w:w="11906" w:h="16838"/>
          <w:pgMar w:top="1440" w:right="1800" w:bottom="1440" w:left="1800" w:header="851" w:footer="992" w:gutter="0"/>
          <w:pgNumType w:fmt="decimal"/>
          <w:cols w:space="425" w:num="1"/>
          <w:docGrid w:linePitch="312" w:charSpace="0"/>
        </w:sectPr>
      </w:pPr>
      <w:bookmarkStart w:id="733" w:name="_Toc514661346"/>
    </w:p>
    <w:bookmarkEnd w:id="733"/>
    <w:p w14:paraId="68D34B01">
      <w:pPr>
        <w:pStyle w:val="3"/>
        <w:pageBreakBefore w:val="0"/>
        <w:kinsoku/>
        <w:wordWrap/>
        <w:overflowPunct/>
        <w:topLinePunct w:val="0"/>
        <w:autoSpaceDE/>
        <w:autoSpaceDN/>
        <w:bidi w:val="0"/>
        <w:adjustRightInd/>
        <w:snapToGrid/>
        <w:spacing w:before="0" w:after="0" w:line="500" w:lineRule="exact"/>
        <w:jc w:val="center"/>
        <w:textAlignment w:val="auto"/>
        <w:rPr>
          <w:rFonts w:hint="default" w:ascii="Times New Roman" w:hAnsi="Times New Roman" w:eastAsia="仿宋" w:cs="Times New Roman"/>
          <w:color w:val="auto"/>
          <w:sz w:val="44"/>
          <w:lang w:val="en-US" w:eastAsia="zh-CN"/>
        </w:rPr>
      </w:pPr>
      <w:bookmarkStart w:id="734" w:name="_Toc31757"/>
      <w:bookmarkStart w:id="735" w:name="_Toc18073"/>
      <w:r>
        <w:rPr>
          <w:rFonts w:hint="default" w:ascii="Times New Roman" w:hAnsi="Times New Roman" w:eastAsia="仿宋" w:cs="Times New Roman"/>
          <w:color w:val="auto"/>
          <w:sz w:val="44"/>
          <w:lang w:val="en-US" w:eastAsia="zh-CN"/>
        </w:rPr>
        <w:t>12保障措施</w:t>
      </w:r>
      <w:bookmarkEnd w:id="734"/>
      <w:bookmarkEnd w:id="735"/>
    </w:p>
    <w:p w14:paraId="0EEEA744">
      <w:pPr>
        <w:pStyle w:val="4"/>
        <w:pageBreakBefore w:val="0"/>
        <w:kinsoku/>
        <w:wordWrap/>
        <w:overflowPunct/>
        <w:topLinePunct w:val="0"/>
        <w:autoSpaceDE/>
        <w:autoSpaceDN/>
        <w:bidi w:val="0"/>
        <w:adjustRightInd/>
        <w:snapToGrid/>
        <w:spacing w:before="260" w:after="260" w:line="500" w:lineRule="exact"/>
        <w:ind w:firstLine="0"/>
        <w:textAlignment w:val="auto"/>
        <w:rPr>
          <w:rFonts w:hint="default" w:ascii="Times New Roman" w:hAnsi="Times New Roman" w:eastAsia="仿宋" w:cs="Times New Roman"/>
          <w:color w:val="auto"/>
          <w:sz w:val="32"/>
          <w:lang w:val="zh-CN" w:eastAsia="zh-CN"/>
        </w:rPr>
      </w:pPr>
      <w:bookmarkStart w:id="736" w:name="_Toc12525"/>
      <w:bookmarkStart w:id="737" w:name="_Toc27627"/>
      <w:bookmarkStart w:id="738" w:name="_Hlk62650942"/>
      <w:r>
        <w:rPr>
          <w:rFonts w:hint="default" w:ascii="Times New Roman" w:hAnsi="Times New Roman" w:eastAsia="仿宋" w:cs="Times New Roman"/>
          <w:color w:val="auto"/>
          <w:sz w:val="32"/>
          <w:lang w:val="zh-CN" w:eastAsia="zh-CN"/>
        </w:rPr>
        <w:t>12.</w:t>
      </w:r>
      <w:bookmarkStart w:id="739" w:name="_Toc502147246"/>
      <w:bookmarkStart w:id="740" w:name="_Toc70994065"/>
      <w:bookmarkStart w:id="741" w:name="_Toc514661351"/>
      <w:bookmarkStart w:id="742" w:name="_Toc70492485"/>
      <w:bookmarkStart w:id="743" w:name="_Toc33973880"/>
      <w:bookmarkStart w:id="744" w:name="_Toc70480128"/>
      <w:bookmarkStart w:id="745" w:name="_Toc77160446"/>
      <w:bookmarkStart w:id="746" w:name="_Toc9516192"/>
      <w:bookmarkStart w:id="747" w:name="_Toc74127508"/>
      <w:r>
        <w:rPr>
          <w:rFonts w:hint="eastAsia" w:ascii="Times New Roman" w:hAnsi="Times New Roman" w:eastAsia="仿宋" w:cs="Times New Roman"/>
          <w:color w:val="auto"/>
          <w:sz w:val="32"/>
          <w:lang w:val="en-US" w:eastAsia="zh-CN"/>
        </w:rPr>
        <w:t>1</w:t>
      </w:r>
      <w:r>
        <w:rPr>
          <w:rFonts w:hint="default" w:ascii="Times New Roman" w:hAnsi="Times New Roman" w:eastAsia="仿宋" w:cs="Times New Roman"/>
          <w:color w:val="auto"/>
          <w:sz w:val="32"/>
          <w:lang w:val="zh-CN" w:eastAsia="zh-CN"/>
        </w:rPr>
        <w:t>组织领导</w:t>
      </w:r>
      <w:bookmarkEnd w:id="736"/>
      <w:bookmarkEnd w:id="737"/>
    </w:p>
    <w:p w14:paraId="5AFD7FC2">
      <w:pPr>
        <w:pStyle w:val="5"/>
        <w:pageBreakBefore w:val="0"/>
        <w:kinsoku/>
        <w:wordWrap/>
        <w:overflowPunct/>
        <w:topLinePunct w:val="0"/>
        <w:autoSpaceDE/>
        <w:autoSpaceDN/>
        <w:bidi w:val="0"/>
        <w:adjustRightInd/>
        <w:snapToGrid/>
        <w:spacing w:before="120" w:after="120" w:line="500" w:lineRule="exact"/>
        <w:ind w:firstLine="0" w:firstLineChars="0"/>
        <w:textAlignment w:val="auto"/>
        <w:rPr>
          <w:rFonts w:eastAsia="仿宋"/>
          <w:snapToGrid w:val="0"/>
          <w:color w:val="auto"/>
          <w:sz w:val="28"/>
        </w:rPr>
      </w:pPr>
      <w:bookmarkStart w:id="748" w:name="_Toc6603"/>
      <w:bookmarkStart w:id="749" w:name="_Toc27661"/>
      <w:r>
        <w:rPr>
          <w:rFonts w:eastAsia="仿宋"/>
          <w:snapToGrid w:val="0"/>
          <w:color w:val="auto"/>
          <w:sz w:val="28"/>
        </w:rPr>
        <w:t>12.</w:t>
      </w:r>
      <w:r>
        <w:rPr>
          <w:rFonts w:hint="eastAsia" w:eastAsia="仿宋"/>
          <w:snapToGrid w:val="0"/>
          <w:color w:val="auto"/>
          <w:sz w:val="28"/>
          <w:lang w:val="en-US" w:eastAsia="zh-CN"/>
        </w:rPr>
        <w:t>1</w:t>
      </w:r>
      <w:r>
        <w:rPr>
          <w:rFonts w:eastAsia="仿宋"/>
          <w:snapToGrid w:val="0"/>
          <w:color w:val="auto"/>
          <w:sz w:val="28"/>
        </w:rPr>
        <w:t>.1加强组织领导</w:t>
      </w:r>
      <w:bookmarkEnd w:id="748"/>
      <w:bookmarkEnd w:id="749"/>
    </w:p>
    <w:bookmarkEnd w:id="739"/>
    <w:bookmarkEnd w:id="740"/>
    <w:bookmarkEnd w:id="741"/>
    <w:bookmarkEnd w:id="742"/>
    <w:bookmarkEnd w:id="743"/>
    <w:bookmarkEnd w:id="744"/>
    <w:bookmarkEnd w:id="745"/>
    <w:bookmarkEnd w:id="746"/>
    <w:bookmarkEnd w:id="747"/>
    <w:p w14:paraId="0E57DFA8">
      <w:pPr>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bookmarkStart w:id="750" w:name="_Toc9516193"/>
      <w:bookmarkStart w:id="751" w:name="_Toc191452348"/>
      <w:bookmarkStart w:id="752" w:name="_Toc33973881"/>
      <w:bookmarkStart w:id="753" w:name="_Toc502147247"/>
      <w:bookmarkStart w:id="754" w:name="_Toc514661352"/>
      <w:r>
        <w:rPr>
          <w:rFonts w:hint="eastAsia" w:ascii="Times New Roman" w:hAnsi="Times New Roman" w:eastAsia="方正仿宋_GBK" w:cs="方正仿宋_GBK"/>
          <w:b w:val="0"/>
          <w:bCs w:val="0"/>
          <w:color w:val="auto"/>
          <w:kern w:val="2"/>
          <w:sz w:val="28"/>
          <w:szCs w:val="28"/>
          <w:lang w:val="en-US" w:eastAsia="zh-CN" w:bidi="ar-SA"/>
        </w:rPr>
        <w:t>建立生态文明建设工作领导小组，强化在全县生态文明建设的规划落实、统筹协调、资金筹集等方面核心作用，形成整体推进生态文明建设工作的合力。完善新平县生态文明建设联席会议制度，对新平县生态文明示范区创建工作进行再动员、再部署。理顺部门权责，加强部门协作，形成各部门相互协调、上下良性互动的生态文明建设机制。</w:t>
      </w:r>
      <w:bookmarkEnd w:id="750"/>
      <w:bookmarkEnd w:id="751"/>
      <w:bookmarkEnd w:id="752"/>
      <w:bookmarkEnd w:id="753"/>
      <w:bookmarkEnd w:id="754"/>
    </w:p>
    <w:p w14:paraId="60763F53">
      <w:pPr>
        <w:pStyle w:val="5"/>
        <w:pageBreakBefore w:val="0"/>
        <w:kinsoku/>
        <w:wordWrap/>
        <w:overflowPunct/>
        <w:topLinePunct w:val="0"/>
        <w:autoSpaceDE/>
        <w:autoSpaceDN/>
        <w:bidi w:val="0"/>
        <w:adjustRightInd/>
        <w:snapToGrid/>
        <w:spacing w:before="120" w:after="120" w:line="500" w:lineRule="exact"/>
        <w:ind w:firstLine="0" w:firstLineChars="0"/>
        <w:textAlignment w:val="auto"/>
        <w:rPr>
          <w:rFonts w:eastAsia="仿宋"/>
          <w:snapToGrid w:val="0"/>
          <w:color w:val="auto"/>
          <w:sz w:val="28"/>
        </w:rPr>
      </w:pPr>
      <w:bookmarkStart w:id="755" w:name="_Toc1488"/>
      <w:bookmarkStart w:id="756" w:name="_Toc1638"/>
      <w:r>
        <w:rPr>
          <w:rFonts w:eastAsia="仿宋"/>
          <w:snapToGrid w:val="0"/>
          <w:color w:val="auto"/>
          <w:sz w:val="28"/>
        </w:rPr>
        <w:t>12.</w:t>
      </w:r>
      <w:r>
        <w:rPr>
          <w:rFonts w:hint="eastAsia" w:eastAsia="仿宋"/>
          <w:snapToGrid w:val="0"/>
          <w:color w:val="auto"/>
          <w:sz w:val="28"/>
          <w:lang w:val="en-US" w:eastAsia="zh-CN"/>
        </w:rPr>
        <w:t>1</w:t>
      </w:r>
      <w:r>
        <w:rPr>
          <w:rFonts w:eastAsia="仿宋"/>
          <w:snapToGrid w:val="0"/>
          <w:color w:val="auto"/>
          <w:sz w:val="28"/>
        </w:rPr>
        <w:t>.2建立健全目标责任制</w:t>
      </w:r>
      <w:bookmarkEnd w:id="755"/>
      <w:bookmarkEnd w:id="756"/>
    </w:p>
    <w:p w14:paraId="2ED044EF">
      <w:pPr>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落实党政主体责任。落实领导干部生态文明建设责任制，严格实行党政同责、一岗双责，各乡镇、街道主要负责人是本行政区域生态环境保护第一责任人，对本行政区域的生态环境保护工作及生态环境质量负总责。其他有关领导成员在职责范围内承担相应责任。区直和乡镇各相关部门要落实“一岗双责”要求，抓发展的必须管环保、抓生产的必须管环保、管行业的也必须管环保，使各部门分工协作、共同发力。</w:t>
      </w:r>
    </w:p>
    <w:p w14:paraId="69A25731">
      <w:pPr>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根据生态环境保护责任清单，把任务分解落实到有关部门。完善生态文明责任落实机制。各乡镇、街道主要负责人至少每季度研究一次生态环境保护工作。出台《新平县县级有关部门和单位生态环境保护责任清单》，严格落实生态环境保护“党政同责”“一岗双责”。各乡镇和区直相关部门制定生态环境保护年度工作计划和措施。</w:t>
      </w:r>
    </w:p>
    <w:p w14:paraId="7499EDD8">
      <w:pPr>
        <w:pStyle w:val="4"/>
        <w:pageBreakBefore w:val="0"/>
        <w:kinsoku/>
        <w:wordWrap/>
        <w:overflowPunct/>
        <w:topLinePunct w:val="0"/>
        <w:autoSpaceDE/>
        <w:autoSpaceDN/>
        <w:bidi w:val="0"/>
        <w:adjustRightInd/>
        <w:snapToGrid/>
        <w:spacing w:before="260" w:after="260" w:line="500" w:lineRule="exact"/>
        <w:ind w:firstLine="0"/>
        <w:textAlignment w:val="auto"/>
        <w:rPr>
          <w:rFonts w:hint="default" w:ascii="Times New Roman" w:hAnsi="Times New Roman" w:eastAsia="仿宋" w:cs="Times New Roman"/>
          <w:color w:val="auto"/>
          <w:sz w:val="32"/>
          <w:lang w:val="zh-CN" w:eastAsia="zh-CN"/>
        </w:rPr>
      </w:pPr>
      <w:bookmarkStart w:id="757" w:name="_Toc2917"/>
      <w:bookmarkStart w:id="758" w:name="_Toc27325"/>
      <w:r>
        <w:rPr>
          <w:rFonts w:hint="default" w:ascii="Times New Roman" w:hAnsi="Times New Roman" w:eastAsia="仿宋" w:cs="Times New Roman"/>
          <w:color w:val="auto"/>
          <w:sz w:val="32"/>
          <w:lang w:val="zh-CN" w:eastAsia="zh-CN"/>
        </w:rPr>
        <w:t>12.</w:t>
      </w:r>
      <w:r>
        <w:rPr>
          <w:rFonts w:hint="eastAsia" w:ascii="Times New Roman" w:hAnsi="Times New Roman" w:eastAsia="仿宋" w:cs="Times New Roman"/>
          <w:color w:val="auto"/>
          <w:sz w:val="32"/>
          <w:lang w:val="en-US" w:eastAsia="zh-CN"/>
        </w:rPr>
        <w:t>2</w:t>
      </w:r>
      <w:r>
        <w:rPr>
          <w:rFonts w:hint="default" w:ascii="Times New Roman" w:hAnsi="Times New Roman" w:eastAsia="仿宋" w:cs="Times New Roman"/>
          <w:color w:val="auto"/>
          <w:sz w:val="32"/>
          <w:lang w:val="zh-CN" w:eastAsia="zh-CN"/>
        </w:rPr>
        <w:t>监督考核</w:t>
      </w:r>
      <w:bookmarkEnd w:id="757"/>
      <w:bookmarkEnd w:id="758"/>
    </w:p>
    <w:p w14:paraId="52D3CD3E">
      <w:pPr>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（1）加大督导督查</w:t>
      </w:r>
    </w:p>
    <w:p w14:paraId="7031FF5D">
      <w:pPr>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sectPr>
          <w:footerReference r:id="rId21" w:type="default"/>
          <w:pgSz w:w="11906" w:h="16838"/>
          <w:pgMar w:top="1440" w:right="1800" w:bottom="1440" w:left="1800" w:header="851" w:footer="992" w:gutter="0"/>
          <w:pgNumType w:fmt="decimal"/>
          <w:cols w:space="425" w:num="1"/>
          <w:docGrid w:type="lines" w:linePitch="312" w:charSpace="0"/>
        </w:sectPr>
      </w:pPr>
    </w:p>
    <w:p w14:paraId="5E65282E">
      <w:pPr>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将生态文明建设规划项目按年度分阶段纳入政府重点项目，建立工作督办制度，加快推进实施。任务分解、明确责任，把生态文明建设重点项目和重要工程纳入责任考核范围。</w:t>
      </w:r>
    </w:p>
    <w:p w14:paraId="35A21919">
      <w:pPr>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（2）强化考核问责</w:t>
      </w:r>
    </w:p>
    <w:p w14:paraId="6CE09780">
      <w:pPr>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对生态文明年度目标任务未完成、不顾生态环境盲目决策、违法违规的情况及时通报。加强对在生态环境方面造成严重破坏负有责任的干部问责力度，不得提拔使用或者转任重要职务。对不顾生态环境盲目决策、违法违规审批开发利用规划和建设项目的，对造成生态环境质量恶化、生态严重破坏的，对生态环境事件多发高发、应对不力、群众反映强烈的，对生态环境保护责任不及时履行、没有落实、推诿无担当、没有完成工作任务的，依法依纪问责制、终身追责并及时通报。</w:t>
      </w:r>
    </w:p>
    <w:p w14:paraId="4323122C">
      <w:pPr>
        <w:pStyle w:val="4"/>
        <w:pageBreakBefore w:val="0"/>
        <w:kinsoku/>
        <w:wordWrap/>
        <w:overflowPunct/>
        <w:topLinePunct w:val="0"/>
        <w:autoSpaceDE/>
        <w:autoSpaceDN/>
        <w:bidi w:val="0"/>
        <w:adjustRightInd/>
        <w:snapToGrid/>
        <w:spacing w:before="260" w:after="260" w:line="500" w:lineRule="exact"/>
        <w:ind w:firstLine="0"/>
        <w:textAlignment w:val="auto"/>
        <w:rPr>
          <w:rFonts w:hint="default" w:ascii="Times New Roman" w:hAnsi="Times New Roman" w:eastAsia="仿宋" w:cs="Times New Roman"/>
          <w:color w:val="auto"/>
          <w:sz w:val="32"/>
          <w:lang w:val="zh-CN" w:eastAsia="zh-CN"/>
        </w:rPr>
      </w:pPr>
      <w:bookmarkStart w:id="759" w:name="_Toc6822"/>
      <w:bookmarkStart w:id="760" w:name="_Toc25410"/>
      <w:r>
        <w:rPr>
          <w:rFonts w:hint="default" w:ascii="Times New Roman" w:hAnsi="Times New Roman" w:eastAsia="仿宋" w:cs="Times New Roman"/>
          <w:color w:val="auto"/>
          <w:sz w:val="32"/>
          <w:lang w:val="zh-CN" w:eastAsia="zh-CN"/>
        </w:rPr>
        <w:t>12.</w:t>
      </w:r>
      <w:r>
        <w:rPr>
          <w:rFonts w:hint="eastAsia" w:ascii="Times New Roman" w:hAnsi="Times New Roman" w:eastAsia="仿宋" w:cs="Times New Roman"/>
          <w:color w:val="auto"/>
          <w:sz w:val="32"/>
          <w:lang w:val="en-US" w:eastAsia="zh-CN"/>
        </w:rPr>
        <w:t>3</w:t>
      </w:r>
      <w:r>
        <w:rPr>
          <w:rFonts w:hint="default" w:ascii="Times New Roman" w:hAnsi="Times New Roman" w:eastAsia="仿宋" w:cs="Times New Roman"/>
          <w:color w:val="auto"/>
          <w:sz w:val="32"/>
          <w:lang w:val="zh-CN" w:eastAsia="zh-CN"/>
        </w:rPr>
        <w:t>资金保障</w:t>
      </w:r>
      <w:bookmarkEnd w:id="759"/>
      <w:bookmarkEnd w:id="760"/>
    </w:p>
    <w:p w14:paraId="6CE63252">
      <w:pPr>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多渠道筹措生态文明建设资金。通过政府引导和直接支持，深化完善社会投融资体系，拓展融资渠道，发挥新平县创投资金聚集优势，鼓励和支持社会资金转向生态文明建设领域。增加财政支出中生态文明建设的财政支出比例，逐步加大生态环保投资。积极申请国家和省市专项建设资金，重点建设符合新平生态文明建设的经济结构调整和转型升级、环境保护和生态建设、污染治理和废弃资源再生利用等项目。增加财政支出中生态文明建设的财政支出比例，把生态文明建设作为预算保障的重点，确保生态文明建设资金的稳定投入。</w:t>
      </w:r>
    </w:p>
    <w:p w14:paraId="2D53378A">
      <w:pPr>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en-US" w:eastAsia="zh-CN" w:bidi="ar-SA"/>
        </w:rPr>
      </w:pPr>
      <w:r>
        <w:rPr>
          <w:rFonts w:hint="eastAsia" w:ascii="Times New Roman" w:hAnsi="Times New Roman" w:eastAsia="方正仿宋_GBK" w:cs="方正仿宋_GBK"/>
          <w:b w:val="0"/>
          <w:bCs w:val="0"/>
          <w:color w:val="auto"/>
          <w:kern w:val="2"/>
          <w:sz w:val="28"/>
          <w:szCs w:val="28"/>
          <w:lang w:val="en-US" w:eastAsia="zh-CN" w:bidi="ar-SA"/>
        </w:rPr>
        <w:t>严格生态文明建设资金管理。设立生态文明建设专项资金管理小组，完善资金审批和监管机制，提高资金使用效率，统筹建设资金，确保建设目标和重点项目按计划推进。</w:t>
      </w:r>
    </w:p>
    <w:p w14:paraId="732A36F9">
      <w:pPr>
        <w:pStyle w:val="4"/>
        <w:pageBreakBefore w:val="0"/>
        <w:kinsoku/>
        <w:wordWrap/>
        <w:overflowPunct/>
        <w:topLinePunct w:val="0"/>
        <w:autoSpaceDE/>
        <w:autoSpaceDN/>
        <w:bidi w:val="0"/>
        <w:adjustRightInd/>
        <w:snapToGrid/>
        <w:spacing w:before="260" w:after="260" w:line="500" w:lineRule="exact"/>
        <w:ind w:firstLine="0"/>
        <w:textAlignment w:val="auto"/>
        <w:rPr>
          <w:rFonts w:hint="default" w:ascii="Times New Roman" w:hAnsi="Times New Roman" w:eastAsia="仿宋" w:cs="Times New Roman"/>
          <w:color w:val="auto"/>
          <w:sz w:val="32"/>
          <w:lang w:val="zh-CN" w:eastAsia="zh-CN"/>
        </w:rPr>
      </w:pPr>
      <w:bookmarkStart w:id="761" w:name="_Toc22034"/>
      <w:bookmarkStart w:id="762" w:name="_Toc2560"/>
      <w:r>
        <w:rPr>
          <w:rFonts w:hint="default" w:ascii="Times New Roman" w:hAnsi="Times New Roman" w:eastAsia="仿宋" w:cs="Times New Roman"/>
          <w:color w:val="auto"/>
          <w:sz w:val="32"/>
          <w:lang w:val="zh-CN" w:eastAsia="zh-CN"/>
        </w:rPr>
        <w:t>12.</w:t>
      </w:r>
      <w:r>
        <w:rPr>
          <w:rFonts w:hint="eastAsia" w:ascii="Times New Roman" w:hAnsi="Times New Roman" w:eastAsia="仿宋" w:cs="Times New Roman"/>
          <w:color w:val="auto"/>
          <w:sz w:val="32"/>
          <w:lang w:val="en-US" w:eastAsia="zh-CN"/>
        </w:rPr>
        <w:t>4</w:t>
      </w:r>
      <w:r>
        <w:rPr>
          <w:rFonts w:hint="default" w:ascii="Times New Roman" w:hAnsi="Times New Roman" w:eastAsia="仿宋" w:cs="Times New Roman"/>
          <w:color w:val="auto"/>
          <w:sz w:val="32"/>
          <w:lang w:val="zh-CN" w:eastAsia="zh-CN"/>
        </w:rPr>
        <w:t>科技</w:t>
      </w:r>
      <w:bookmarkEnd w:id="761"/>
      <w:r>
        <w:rPr>
          <w:rFonts w:hint="default" w:ascii="Times New Roman" w:hAnsi="Times New Roman" w:eastAsia="仿宋" w:cs="Times New Roman"/>
          <w:color w:val="auto"/>
          <w:sz w:val="32"/>
          <w:lang w:val="zh-CN" w:eastAsia="zh-CN"/>
        </w:rPr>
        <w:t>支撑</w:t>
      </w:r>
      <w:bookmarkEnd w:id="762"/>
    </w:p>
    <w:p w14:paraId="06E321A1">
      <w:pPr>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en-US" w:eastAsia="zh-CN" w:bidi="ar-SA"/>
        </w:rPr>
        <w:t>（1）</w:t>
      </w:r>
      <w:r>
        <w:rPr>
          <w:rFonts w:hint="eastAsia" w:ascii="Times New Roman" w:hAnsi="Times New Roman" w:eastAsia="方正仿宋_GBK" w:cs="方正仿宋_GBK"/>
          <w:b w:val="0"/>
          <w:bCs w:val="0"/>
          <w:color w:val="auto"/>
          <w:kern w:val="2"/>
          <w:sz w:val="28"/>
          <w:szCs w:val="28"/>
          <w:lang w:val="zh-CN" w:eastAsia="zh-CN" w:bidi="ar-SA"/>
        </w:rPr>
        <w:t>培养生态文明建设的人才队伍</w:t>
      </w:r>
    </w:p>
    <w:p w14:paraId="1A5D6CB3">
      <w:pPr>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拓宽人才引进机制，抓实人才引进。积极对接玉溪市“百千万人才计划”等专项人才政策，深入实施“兴玉英才”人才培养工程，开展企业家“菜单式”培训，培养具有较高科技素养、善于开拓市场、引领转型升级的优秀企业家及后备人才队伍。支持企业引进院士、专家到新平建立工作站。探索实施“产业基金+孵化器+专业团队”的引才模式，盘活人才存量、做大人才总量、做优人才增量，培养引进高端人才和人才团队。优化人才教育培训。搭建高技能人才训练公共服务平台，对支柱产业和战略性新兴产业紧缺的高技能人才提供培训资助。政府资金补贴，整合全</w:t>
      </w:r>
      <w:r>
        <w:rPr>
          <w:rFonts w:hint="eastAsia" w:ascii="Times New Roman" w:hAnsi="Times New Roman" w:eastAsia="方正仿宋_GBK" w:cs="方正仿宋_GBK"/>
          <w:b w:val="0"/>
          <w:bCs w:val="0"/>
          <w:color w:val="auto"/>
          <w:kern w:val="2"/>
          <w:sz w:val="28"/>
          <w:szCs w:val="28"/>
          <w:lang w:val="en-US" w:eastAsia="zh-CN" w:bidi="ar-SA"/>
        </w:rPr>
        <w:t>县</w:t>
      </w:r>
      <w:r>
        <w:rPr>
          <w:rFonts w:hint="eastAsia" w:ascii="Times New Roman" w:hAnsi="Times New Roman" w:eastAsia="方正仿宋_GBK" w:cs="方正仿宋_GBK"/>
          <w:b w:val="0"/>
          <w:bCs w:val="0"/>
          <w:color w:val="auto"/>
          <w:kern w:val="2"/>
          <w:sz w:val="28"/>
          <w:szCs w:val="28"/>
          <w:lang w:val="zh-CN" w:eastAsia="zh-CN" w:bidi="ar-SA"/>
        </w:rPr>
        <w:t>职业教育和各类培训资源，支持有条件的龙头企业建立培训机构，鼓励和资助企业员工参加技术再培训。</w:t>
      </w:r>
    </w:p>
    <w:p w14:paraId="66DAE84C">
      <w:pPr>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建立人才激励机制。扩展专家骨干待遇提升空间，保护并发挥好现有人才的积极性和专业性。设立创新奖励制度，完善辖区人才认定、培养和管理办法，组建科技专家库，开展科技人才评选活动，落实对科技人才的各项激励机制，对有突出贡献的专业人才给予奖励。深化国内外科技合作，充分利用区位和政策优势，积极开展技术、人才、管理等领域方面的国际交流与合作。</w:t>
      </w:r>
    </w:p>
    <w:p w14:paraId="424F5793">
      <w:pPr>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en-US" w:eastAsia="zh-CN" w:bidi="ar-SA"/>
        </w:rPr>
        <w:t>（2）</w:t>
      </w:r>
      <w:r>
        <w:rPr>
          <w:rFonts w:hint="eastAsia" w:ascii="Times New Roman" w:hAnsi="Times New Roman" w:eastAsia="方正仿宋_GBK" w:cs="方正仿宋_GBK"/>
          <w:b w:val="0"/>
          <w:bCs w:val="0"/>
          <w:color w:val="auto"/>
          <w:kern w:val="2"/>
          <w:sz w:val="28"/>
          <w:szCs w:val="28"/>
          <w:lang w:val="zh-CN" w:eastAsia="zh-CN" w:bidi="ar-SA"/>
        </w:rPr>
        <w:t>加强技术创新</w:t>
      </w:r>
    </w:p>
    <w:p w14:paraId="65E28514">
      <w:pPr>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加大科技支撑力度，优先支持大气污染防治、污水深度处理、垃圾处置、固体废物资源化利用、园区循环化改造、绿色能源、绿色建筑等节能环保关键技术的研发、示范与推广。强化科技创新，高标准打造电动工具产业创新服务综合体；实施行业共性关键技术攻关项目。</w:t>
      </w:r>
    </w:p>
    <w:p w14:paraId="469BB0D4">
      <w:pPr>
        <w:pStyle w:val="4"/>
        <w:pageBreakBefore w:val="0"/>
        <w:kinsoku/>
        <w:wordWrap/>
        <w:overflowPunct/>
        <w:topLinePunct w:val="0"/>
        <w:autoSpaceDE/>
        <w:autoSpaceDN/>
        <w:bidi w:val="0"/>
        <w:adjustRightInd/>
        <w:snapToGrid/>
        <w:spacing w:before="260" w:after="260" w:line="500" w:lineRule="exact"/>
        <w:ind w:firstLine="0"/>
        <w:textAlignment w:val="auto"/>
        <w:rPr>
          <w:rFonts w:hint="default" w:ascii="Times New Roman" w:hAnsi="Times New Roman" w:eastAsia="仿宋" w:cs="Times New Roman"/>
          <w:color w:val="auto"/>
          <w:sz w:val="32"/>
          <w:lang w:val="zh-CN" w:eastAsia="zh-CN"/>
        </w:rPr>
      </w:pPr>
      <w:bookmarkStart w:id="763" w:name="_Toc4690"/>
      <w:bookmarkStart w:id="764" w:name="_Toc23664"/>
      <w:r>
        <w:rPr>
          <w:rFonts w:hint="default" w:ascii="Times New Roman" w:hAnsi="Times New Roman" w:eastAsia="仿宋" w:cs="Times New Roman"/>
          <w:color w:val="auto"/>
          <w:sz w:val="32"/>
          <w:lang w:val="zh-CN" w:eastAsia="zh-CN"/>
        </w:rPr>
        <w:t>12.</w:t>
      </w:r>
      <w:r>
        <w:rPr>
          <w:rFonts w:hint="eastAsia" w:ascii="Times New Roman" w:hAnsi="Times New Roman" w:eastAsia="仿宋" w:cs="Times New Roman"/>
          <w:color w:val="auto"/>
          <w:sz w:val="32"/>
          <w:lang w:val="en-US" w:eastAsia="zh-CN"/>
        </w:rPr>
        <w:t>5</w:t>
      </w:r>
      <w:r>
        <w:rPr>
          <w:rFonts w:hint="default" w:ascii="Times New Roman" w:hAnsi="Times New Roman" w:eastAsia="仿宋" w:cs="Times New Roman"/>
          <w:color w:val="auto"/>
          <w:sz w:val="32"/>
          <w:lang w:val="zh-CN" w:eastAsia="zh-CN"/>
        </w:rPr>
        <w:t>社会参与</w:t>
      </w:r>
      <w:bookmarkEnd w:id="763"/>
      <w:bookmarkEnd w:id="764"/>
    </w:p>
    <w:p w14:paraId="600259F3">
      <w:pPr>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zh-CN" w:eastAsia="zh-CN" w:bidi="ar-SA"/>
        </w:rPr>
      </w:pPr>
      <w:r>
        <w:rPr>
          <w:rFonts w:hint="eastAsia" w:ascii="Times New Roman" w:hAnsi="Times New Roman" w:eastAsia="方正仿宋_GBK" w:cs="方正仿宋_GBK"/>
          <w:b w:val="0"/>
          <w:bCs w:val="0"/>
          <w:color w:val="auto"/>
          <w:kern w:val="2"/>
          <w:sz w:val="28"/>
          <w:szCs w:val="28"/>
          <w:lang w:val="zh-CN" w:eastAsia="zh-CN" w:bidi="ar-SA"/>
        </w:rPr>
        <w:t>着力环境信息公开，扩大公开范围，完善公开方式，确保环境信息公开率达到100%。建立完善政府环境管理信息公开制度、公众听证制度，健全举报制度，加强社会监督。环保部门设置专门的污染源环境监管信息公开栏目；推动建立企业环境信息公开化制度，监督企业按规定公开污染物排放自行监测信息。</w:t>
      </w:r>
    </w:p>
    <w:p w14:paraId="7DD17ADD">
      <w:pPr>
        <w:pageBreakBefore w:val="0"/>
        <w:widowControl/>
        <w:kinsoku/>
        <w:wordWrap/>
        <w:overflowPunct/>
        <w:topLinePunct w:val="0"/>
        <w:autoSpaceDE/>
        <w:autoSpaceDN/>
        <w:bidi w:val="0"/>
        <w:adjustRightInd/>
        <w:snapToGrid/>
        <w:spacing w:line="500" w:lineRule="exact"/>
        <w:ind w:firstLine="560" w:firstLineChars="200"/>
        <w:textAlignment w:val="auto"/>
        <w:rPr>
          <w:rFonts w:hint="eastAsia" w:ascii="Times New Roman" w:hAnsi="Times New Roman" w:eastAsia="方正仿宋_GBK" w:cs="方正仿宋_GBK"/>
          <w:b w:val="0"/>
          <w:bCs w:val="0"/>
          <w:color w:val="auto"/>
          <w:kern w:val="2"/>
          <w:sz w:val="28"/>
          <w:szCs w:val="28"/>
          <w:lang w:val="zh-CN" w:eastAsia="zh-CN" w:bidi="ar-SA"/>
        </w:rPr>
        <w:sectPr>
          <w:footerReference r:id="rId22" w:type="default"/>
          <w:pgSz w:w="11906" w:h="16838"/>
          <w:pgMar w:top="1440" w:right="1800" w:bottom="1440" w:left="1800" w:header="851" w:footer="992" w:gutter="0"/>
          <w:pgNumType w:fmt="decimal"/>
          <w:cols w:space="425" w:num="1"/>
          <w:docGrid w:type="lines" w:linePitch="312" w:charSpace="0"/>
        </w:sectPr>
      </w:pPr>
      <w:r>
        <w:rPr>
          <w:rFonts w:hint="eastAsia" w:ascii="Times New Roman" w:hAnsi="Times New Roman" w:eastAsia="方正仿宋_GBK" w:cs="方正仿宋_GBK"/>
          <w:b w:val="0"/>
          <w:bCs w:val="0"/>
          <w:color w:val="auto"/>
          <w:kern w:val="2"/>
          <w:sz w:val="28"/>
          <w:szCs w:val="28"/>
          <w:lang w:val="zh-CN" w:eastAsia="zh-CN" w:bidi="ar-SA"/>
        </w:rPr>
        <w:t>健全举报制度，完善公众参与机制。全面实施环保举报投诉热线畅通工程，健全环境污染有奖举报制度。加快培育民间环保组织，充分发挥民间环保组织、公众、新闻媒体监督作用，构建全民参与的社会行动体系。推行环保监督员制度，形成网格化管理，借助全社会的力量对环境污染违法行为进行监督举报。积极探索公众参与环保的新途径、新方式，建立企业、街道、社区、居民交流平台，增强政府、企业和公众的互动沟通。建立全民参与的社会行动体系。推行环保监督员制度，形成网格化、公开化制度，监督企业按规定公开重点污染物排放情况。</w:t>
      </w:r>
    </w:p>
    <w:bookmarkEnd w:id="738"/>
    <w:p w14:paraId="4B7974F0">
      <w:pPr>
        <w:pStyle w:val="11"/>
        <w:rPr>
          <w:rFonts w:ascii="Times New Roman" w:hAnsi="Times New Roman" w:eastAsia="仿宋" w:cs="Times New Roman"/>
          <w:color w:val="FF0000"/>
          <w:sz w:val="24"/>
        </w:rPr>
      </w:pPr>
    </w:p>
    <w:sectPr>
      <w:footerReference r:id="rId23" w:type="default"/>
      <w:pgSz w:w="11906" w:h="16838"/>
      <w:pgMar w:top="1440" w:right="1800" w:bottom="1440" w:left="18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BBAD1FCF-7874-487D-AF45-8B7657036AB0}"/>
  </w:font>
  <w:font w:name="仿宋_GB2312">
    <w:panose1 w:val="02010609030101010101"/>
    <w:charset w:val="86"/>
    <w:family w:val="auto"/>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embedRegular r:id="rId2" w:fontKey="{61EE8087-FFB9-4C80-86A2-42CEB5E07925}"/>
  </w:font>
  <w:font w:name="Consolas">
    <w:panose1 w:val="020B0609020204030204"/>
    <w:charset w:val="00"/>
    <w:family w:val="modern"/>
    <w:pitch w:val="default"/>
    <w:sig w:usb0="E00006FF" w:usb1="0000FCFF" w:usb2="00000001" w:usb3="00000000" w:csb0="6000019F" w:csb1="DFD70000"/>
  </w:font>
  <w:font w:name="Tahoma">
    <w:panose1 w:val="020B0604030504040204"/>
    <w:charset w:val="00"/>
    <w:family w:val="swiss"/>
    <w:pitch w:val="default"/>
    <w:sig w:usb0="E1002EFF" w:usb1="C000605B" w:usb2="00000029" w:usb3="00000000" w:csb0="200101FF" w:csb1="20280000"/>
  </w:font>
  <w:font w:name="MingLiU">
    <w:altName w:val="PMingLiU-ExtB"/>
    <w:panose1 w:val="02020509000000000000"/>
    <w:charset w:val="88"/>
    <w:family w:val="modern"/>
    <w:pitch w:val="default"/>
    <w:sig w:usb0="00000000" w:usb1="00000000" w:usb2="00000016" w:usb3="00000000" w:csb0="00100001" w:csb1="00000000"/>
  </w:font>
  <w:font w:name="方正黑体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仿宋_GBK">
    <w:panose1 w:val="03000509000000000000"/>
    <w:charset w:val="86"/>
    <w:family w:val="script"/>
    <w:pitch w:val="default"/>
    <w:sig w:usb0="00000001" w:usb1="080E0000" w:usb2="00000000" w:usb3="00000000" w:csb0="00040000" w:csb1="00000000"/>
    <w:embedRegular r:id="rId3" w:fontKey="{BD9DFAE7-BD83-405A-BC31-F9815F9ED6F1}"/>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15CA96">
    <w:pPr>
      <w:pStyle w:val="18"/>
    </w:pPr>
    <w:r>
      <w:rPr>
        <w:rFonts w:hint="eastAsia"/>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65F57E">
    <w:pPr>
      <w:pStyle w:val="18"/>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127790"/>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u0uKUtAgAAVw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k7eUqKZQsVPP76f&#10;fj6cfn0jOINArfUzxN1bRIbunenQNsO5x2Hk3VVOxS8YEfgh7/Eir+gC4fHSdDKd5nBx+IYN8LPH&#10;69b58F4YRaJRUIf6JVnZYeNDHzqExGzarBspUw2lJm1Br16/y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Cu0uKUtAgAAVwQAAA4AAAAAAAAAAQAgAAAAHwEAAGRycy9lMm9Eb2MueG1sUEsFBgAAAAAG&#10;AAYAWQEAAL4FAAAAAA==&#10;">
              <v:fill on="f" focussize="0,0"/>
              <v:stroke on="f" weight="0.5pt"/>
              <v:imagedata o:title=""/>
              <o:lock v:ext="edit" aspectratio="f"/>
              <v:textbox inset="0mm,0mm,0mm,0mm" style="mso-fit-shape-to-text:t;">
                <w:txbxContent>
                  <w:p w14:paraId="17127790"/>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0177EB">
    <w:pPr>
      <w:pStyle w:val="18"/>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AB1B5E">
                          <w:pPr>
                            <w:pStyle w:val="18"/>
                          </w:pPr>
                          <w:r>
                            <w:fldChar w:fldCharType="begin"/>
                          </w:r>
                          <w:r>
                            <w:instrText xml:space="preserve"> PAGE  \* MERGEFORMAT </w:instrText>
                          </w:r>
                          <w:r>
                            <w:fldChar w:fldCharType="separate"/>
                          </w:r>
                          <w:r>
                            <w:t>13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0AB1B5E">
                    <w:pPr>
                      <w:pStyle w:val="18"/>
                    </w:pPr>
                    <w:r>
                      <w:fldChar w:fldCharType="begin"/>
                    </w:r>
                    <w:r>
                      <w:instrText xml:space="preserve"> PAGE  \* MERGEFORMAT </w:instrText>
                    </w:r>
                    <w:r>
                      <w:fldChar w:fldCharType="separate"/>
                    </w:r>
                    <w:r>
                      <w:t>13</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FBEEED">
    <w:pPr>
      <w:pStyle w:val="18"/>
      <w:jc w:val="cente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75E20C">
                          <w:pPr>
                            <w:pStyle w:val="18"/>
                          </w:pPr>
                          <w:r>
                            <w:fldChar w:fldCharType="begin"/>
                          </w:r>
                          <w:r>
                            <w:instrText xml:space="preserve"> PAGE  \* MERGEFORMAT </w:instrText>
                          </w:r>
                          <w:r>
                            <w:fldChar w:fldCharType="separate"/>
                          </w:r>
                          <w:r>
                            <w:t>81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4875E20C">
                    <w:pPr>
                      <w:pStyle w:val="18"/>
                    </w:pPr>
                    <w:r>
                      <w:fldChar w:fldCharType="begin"/>
                    </w:r>
                    <w:r>
                      <w:instrText xml:space="preserve"> PAGE  \* MERGEFORMAT </w:instrText>
                    </w:r>
                    <w:r>
                      <w:fldChar w:fldCharType="separate"/>
                    </w:r>
                    <w:r>
                      <w:t>81</w:t>
                    </w:r>
                    <w:r>
                      <w:fldChar w:fldCharType="end"/>
                    </w:r>
                  </w:p>
                </w:txbxContent>
              </v:textbox>
            </v:shape>
          </w:pict>
        </mc:Fallback>
      </mc:AlternateContent>
    </w:r>
  </w:p>
  <w:p w14:paraId="7CA19CBD">
    <w:pPr>
      <w:pStyle w:val="1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E959AF">
    <w:pPr>
      <w:pStyle w:val="18"/>
      <w:jc w:val="cente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3534E7">
                          <w:pPr>
                            <w:pStyle w:val="18"/>
                          </w:pPr>
                          <w:r>
                            <w:fldChar w:fldCharType="begin"/>
                          </w:r>
                          <w:r>
                            <w:instrText xml:space="preserve"> PAGE  \* MERGEFORMAT </w:instrText>
                          </w:r>
                          <w:r>
                            <w:fldChar w:fldCharType="separate"/>
                          </w:r>
                          <w:r>
                            <w:t>144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3A3534E7">
                    <w:pPr>
                      <w:pStyle w:val="18"/>
                    </w:pPr>
                    <w:r>
                      <w:fldChar w:fldCharType="begin"/>
                    </w:r>
                    <w:r>
                      <w:instrText xml:space="preserve"> PAGE  \* MERGEFORMAT </w:instrText>
                    </w:r>
                    <w:r>
                      <w:fldChar w:fldCharType="separate"/>
                    </w:r>
                    <w:r>
                      <w:t>144</w:t>
                    </w:r>
                    <w:r>
                      <w:fldChar w:fldCharType="end"/>
                    </w:r>
                  </w:p>
                </w:txbxContent>
              </v:textbox>
            </v:shape>
          </w:pict>
        </mc:Fallback>
      </mc:AlternateContent>
    </w:r>
  </w:p>
  <w:p w14:paraId="55F21ECD">
    <w:pPr>
      <w:pStyle w:val="18"/>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CF465C">
    <w:pPr>
      <w:pStyle w:val="18"/>
      <w:jc w:val="cente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7D931F">
                          <w:pPr>
                            <w:pStyle w:val="18"/>
                          </w:pPr>
                          <w:r>
                            <w:fldChar w:fldCharType="begin"/>
                          </w:r>
                          <w:r>
                            <w:instrText xml:space="preserve"> PAGE  \* MERGEFORMAT </w:instrText>
                          </w:r>
                          <w:r>
                            <w:fldChar w:fldCharType="separate"/>
                          </w:r>
                          <w:r>
                            <w:t>191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107D931F">
                    <w:pPr>
                      <w:pStyle w:val="18"/>
                    </w:pPr>
                    <w:r>
                      <w:fldChar w:fldCharType="begin"/>
                    </w:r>
                    <w:r>
                      <w:instrText xml:space="preserve"> PAGE  \* MERGEFORMAT </w:instrText>
                    </w:r>
                    <w:r>
                      <w:fldChar w:fldCharType="separate"/>
                    </w:r>
                    <w:r>
                      <w:t>191</w:t>
                    </w:r>
                    <w:r>
                      <w:fldChar w:fldCharType="end"/>
                    </w:r>
                  </w:p>
                </w:txbxContent>
              </v:textbox>
            </v:shape>
          </w:pict>
        </mc:Fallback>
      </mc:AlternateContent>
    </w:r>
  </w:p>
  <w:p w14:paraId="3AAE24BA">
    <w:pPr>
      <w:pStyle w:val="18"/>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32A4AF">
    <w:pPr>
      <w:pStyle w:val="18"/>
      <w:jc w:val="cente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A36C84">
                          <w:pPr>
                            <w:pStyle w:val="18"/>
                          </w:pPr>
                          <w:r>
                            <w:fldChar w:fldCharType="begin"/>
                          </w:r>
                          <w:r>
                            <w:instrText xml:space="preserve"> PAGE  \* MERGEFORMAT </w:instrText>
                          </w:r>
                          <w:r>
                            <w:fldChar w:fldCharType="separate"/>
                          </w:r>
                          <w:r>
                            <w:t>201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41A36C84">
                    <w:pPr>
                      <w:pStyle w:val="18"/>
                    </w:pPr>
                    <w:r>
                      <w:fldChar w:fldCharType="begin"/>
                    </w:r>
                    <w:r>
                      <w:instrText xml:space="preserve"> PAGE  \* MERGEFORMAT </w:instrText>
                    </w:r>
                    <w:r>
                      <w:fldChar w:fldCharType="separate"/>
                    </w:r>
                    <w:r>
                      <w:t>201</w:t>
                    </w:r>
                    <w:r>
                      <w:fldChar w:fldCharType="end"/>
                    </w:r>
                  </w:p>
                </w:txbxContent>
              </v:textbox>
            </v:shape>
          </w:pict>
        </mc:Fallback>
      </mc:AlternateContent>
    </w:r>
  </w:p>
  <w:p w14:paraId="2439AD5E">
    <w:pPr>
      <w:pStyle w:val="18"/>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DF24A3">
    <w:pPr>
      <w:pStyle w:val="18"/>
      <w:framePr w:wrap="around" w:vAnchor="text" w:hAnchor="margin" w:xAlign="center" w:y="1"/>
      <w:rPr>
        <w:rStyle w:val="29"/>
      </w:rPr>
    </w:pPr>
    <w:r>
      <w:rPr>
        <w:rStyle w:val="29"/>
      </w:rPr>
      <w:fldChar w:fldCharType="begin"/>
    </w:r>
    <w:r>
      <w:rPr>
        <w:rStyle w:val="29"/>
      </w:rPr>
      <w:instrText xml:space="preserve">PAGE  </w:instrText>
    </w:r>
    <w:r>
      <w:rPr>
        <w:rStyle w:val="29"/>
      </w:rPr>
      <w:fldChar w:fldCharType="end"/>
    </w:r>
  </w:p>
  <w:p w14:paraId="3EFAB624">
    <w:pPr>
      <w:pStyle w:val="18"/>
    </w:pPr>
  </w:p>
  <w:p w14:paraId="61A269F1"/>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89369C">
    <w:pPr>
      <w:pStyle w:val="18"/>
      <w:jc w:val="cente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AD9B8A">
                          <w:pPr>
                            <w:pStyle w:val="18"/>
                          </w:pPr>
                          <w:r>
                            <w:fldChar w:fldCharType="begin"/>
                          </w:r>
                          <w:r>
                            <w:instrText xml:space="preserve"> PAGE  \* MERGEFORMAT </w:instrText>
                          </w:r>
                          <w:r>
                            <w:fldChar w:fldCharType="separate"/>
                          </w:r>
                          <w:r>
                            <w:t>209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61AD9B8A">
                    <w:pPr>
                      <w:pStyle w:val="18"/>
                    </w:pPr>
                    <w:r>
                      <w:fldChar w:fldCharType="begin"/>
                    </w:r>
                    <w:r>
                      <w:instrText xml:space="preserve"> PAGE  \* MERGEFORMAT </w:instrText>
                    </w:r>
                    <w:r>
                      <w:fldChar w:fldCharType="separate"/>
                    </w:r>
                    <w:r>
                      <w:t>209</w:t>
                    </w:r>
                    <w:r>
                      <w:fldChar w:fldCharType="end"/>
                    </w:r>
                  </w:p>
                </w:txbxContent>
              </v:textbox>
            </v:shape>
          </w:pict>
        </mc:Fallback>
      </mc:AlternateContent>
    </w:r>
  </w:p>
  <w:p w14:paraId="6BBE4B70">
    <w:pPr>
      <w:pStyle w:val="18"/>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AAF13B">
    <w:pPr>
      <w:pStyle w:val="18"/>
      <w:jc w:val="center"/>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2688F9">
                          <w:pPr>
                            <w:pStyle w:val="1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252688F9">
                    <w:pPr>
                      <w:pStyle w:val="18"/>
                    </w:pPr>
                    <w:r>
                      <w:fldChar w:fldCharType="begin"/>
                    </w:r>
                    <w:r>
                      <w:instrText xml:space="preserve"> PAGE  \* MERGEFORMAT </w:instrText>
                    </w:r>
                    <w:r>
                      <w:fldChar w:fldCharType="separate"/>
                    </w:r>
                    <w:r>
                      <w:t>1</w:t>
                    </w:r>
                    <w:r>
                      <w:fldChar w:fldCharType="end"/>
                    </w:r>
                  </w:p>
                </w:txbxContent>
              </v:textbox>
            </v:shape>
          </w:pict>
        </mc:Fallback>
      </mc:AlternateContent>
    </w:r>
  </w:p>
  <w:p w14:paraId="7B9E02A0">
    <w:pPr>
      <w:pStyle w:val="18"/>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2FFC8">
    <w:pPr>
      <w:pStyle w:val="18"/>
      <w:jc w:val="center"/>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7511DA">
                          <w:pPr>
                            <w:pStyle w:val="18"/>
                          </w:pPr>
                          <w:r>
                            <w:fldChar w:fldCharType="begin"/>
                          </w:r>
                          <w:r>
                            <w:instrText xml:space="preserve"> PAGE  \* MERGEFORMAT </w:instrText>
                          </w:r>
                          <w:r>
                            <w:fldChar w:fldCharType="separate"/>
                          </w:r>
                          <w:r>
                            <w:t>211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007511DA">
                    <w:pPr>
                      <w:pStyle w:val="18"/>
                    </w:pPr>
                    <w:r>
                      <w:fldChar w:fldCharType="begin"/>
                    </w:r>
                    <w:r>
                      <w:instrText xml:space="preserve"> PAGE  \* MERGEFORMAT </w:instrText>
                    </w:r>
                    <w:r>
                      <w:fldChar w:fldCharType="separate"/>
                    </w:r>
                    <w:r>
                      <w:t>211</w:t>
                    </w:r>
                    <w:r>
                      <w:fldChar w:fldCharType="end"/>
                    </w:r>
                  </w:p>
                </w:txbxContent>
              </v:textbox>
            </v:shape>
          </w:pict>
        </mc:Fallback>
      </mc:AlternateContent>
    </w:r>
  </w:p>
  <w:p w14:paraId="40FAD582">
    <w:pPr>
      <w:pStyle w:val="18"/>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8CD79C">
    <w:pPr>
      <w:pStyle w:val="18"/>
      <w:jc w:val="center"/>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DA134A">
                          <w:pPr>
                            <w:pStyle w:val="18"/>
                          </w:pPr>
                          <w:r>
                            <w:fldChar w:fldCharType="begin"/>
                          </w:r>
                          <w:r>
                            <w:instrText xml:space="preserve"> PAGE  \* MERGEFORMAT </w:instrText>
                          </w:r>
                          <w:r>
                            <w:fldChar w:fldCharType="separate"/>
                          </w:r>
                          <w:r>
                            <w:t>212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69DA134A">
                    <w:pPr>
                      <w:pStyle w:val="18"/>
                    </w:pPr>
                    <w:r>
                      <w:fldChar w:fldCharType="begin"/>
                    </w:r>
                    <w:r>
                      <w:instrText xml:space="preserve"> PAGE  \* MERGEFORMAT </w:instrText>
                    </w:r>
                    <w:r>
                      <w:fldChar w:fldCharType="separate"/>
                    </w:r>
                    <w:r>
                      <w:t>212</w:t>
                    </w:r>
                    <w:r>
                      <w:fldChar w:fldCharType="end"/>
                    </w:r>
                  </w:p>
                </w:txbxContent>
              </v:textbox>
            </v:shape>
          </w:pict>
        </mc:Fallback>
      </mc:AlternateContent>
    </w:r>
  </w:p>
  <w:p w14:paraId="00813EB6">
    <w:pPr>
      <w:pStyle w:val="18"/>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E7629B">
    <w:pPr>
      <w:pStyle w:val="18"/>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81216C">
                          <w:pPr>
                            <w:pStyle w:val="18"/>
                          </w:pPr>
                          <w:r>
                            <w:fldChar w:fldCharType="begin"/>
                          </w:r>
                          <w:r>
                            <w:instrText xml:space="preserve"> PAGE  \* MERGEFORMAT </w:instrText>
                          </w:r>
                          <w:r>
                            <w:fldChar w:fldCharType="separate"/>
                          </w:r>
                          <w:r>
                            <w:t>215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1381216C">
                    <w:pPr>
                      <w:pStyle w:val="18"/>
                    </w:pPr>
                    <w:r>
                      <w:fldChar w:fldCharType="begin"/>
                    </w:r>
                    <w:r>
                      <w:instrText xml:space="preserve"> PAGE  \* MERGEFORMAT </w:instrText>
                    </w:r>
                    <w:r>
                      <w:fldChar w:fldCharType="separate"/>
                    </w:r>
                    <w:r>
                      <w:t>215</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67CE1E">
    <w:pPr>
      <w:pStyle w:val="19"/>
      <w:snapToGrid/>
      <w:spacing w:line="560" w:lineRule="exact"/>
      <w:jc w:val="center"/>
      <w:rPr>
        <w:color w:val="auto"/>
        <w:sz w:val="28"/>
        <w:szCs w:val="28"/>
      </w:rPr>
    </w:pPr>
    <w:r>
      <w:rPr>
        <w:sz w:val="28"/>
        <w:szCs w:val="28"/>
      </w:rPr>
      <mc:AlternateContent>
        <mc:Choice Requires="wps">
          <w:drawing>
            <wp:anchor distT="0" distB="0" distL="114300" distR="114300" simplePos="0" relativeHeight="251663360" behindDoc="0" locked="0" layoutInCell="1" allowOverlap="1">
              <wp:simplePos x="0" y="0"/>
              <wp:positionH relativeFrom="column">
                <wp:posOffset>-1777365</wp:posOffset>
              </wp:positionH>
              <wp:positionV relativeFrom="paragraph">
                <wp:posOffset>1040940895</wp:posOffset>
              </wp:positionV>
              <wp:extent cx="8865235" cy="0"/>
              <wp:effectExtent l="0" t="0" r="0" b="0"/>
              <wp:wrapNone/>
              <wp:docPr id="21" name="直接连接符 21"/>
              <wp:cNvGraphicFramePr/>
              <a:graphic xmlns:a="http://schemas.openxmlformats.org/drawingml/2006/main">
                <a:graphicData uri="http://schemas.microsoft.com/office/word/2010/wordprocessingShape">
                  <wps:wsp>
                    <wps:cNvCnPr/>
                    <wps:spPr>
                      <a:xfrm>
                        <a:off x="1160145" y="929640"/>
                        <a:ext cx="886523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39.95pt;margin-top:81963.85pt;height:0pt;width:698.05pt;z-index:251663360;mso-width-relative:page;mso-height-relative:page;" filled="f" stroked="t" coordsize="21600,21600" o:gfxdata="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HxFA0dkAAAATAQAADwAAAAAAAAABACAAAAAiAAAAZHJzL2Rvd25yZXYueG1sUEsBAhQA&#10;FAAAAAgAh07iQFSUIjPxAQAAvgMAAA4AAAAAAAAAAQAgAAAAKAEAAGRycy9lMm9Eb2MueG1sUEsF&#10;BgAAAAAGAAYAWQEAAIsFAAAAAA==&#10;">
              <v:fill on="f" focussize="0,0"/>
              <v:stroke weight="0.5pt" color="#000000 [3200]" miterlimit="8" joinstyle="miter"/>
              <v:imagedata o:title=""/>
              <o:lock v:ext="edit" aspectratio="f"/>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0F3EBA">
    <w:pPr>
      <w:pStyle w:val="1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9388D3">
    <w:pPr>
      <w:pStyle w:val="1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6A1B7B">
    <w:pPr>
      <w:pStyle w:val="19"/>
      <w:tabs>
        <w:tab w:val="left" w:pos="6299"/>
      </w:tabs>
      <w:spacing w:line="360" w:lineRule="auto"/>
      <w:rPr>
        <w:rFonts w:ascii="仿宋" w:hAnsi="仿宋" w:eastAsia="仿宋" w:cs="仿宋"/>
        <w:color w:val="auto"/>
        <w:sz w:val="28"/>
        <w:szCs w:val="28"/>
        <w:u w:val="single"/>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844998">
    <w:pPr>
      <w:pStyle w:val="19"/>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7C81FD">
    <w:pPr>
      <w:pStyle w:val="19"/>
      <w:tabs>
        <w:tab w:val="left" w:pos="6299"/>
      </w:tabs>
      <w:spacing w:line="360" w:lineRule="auto"/>
      <w:rPr>
        <w:rFonts w:ascii="仿宋" w:hAnsi="仿宋" w:eastAsia="仿宋" w:cs="仿宋"/>
        <w:color w:val="auto"/>
        <w:sz w:val="28"/>
        <w:szCs w:val="28"/>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507163"/>
    <w:multiLevelType w:val="singleLevel"/>
    <w:tmpl w:val="91507163"/>
    <w:lvl w:ilvl="0" w:tentative="0">
      <w:start w:val="1"/>
      <w:numFmt w:val="decimal"/>
      <w:lvlText w:val="%1."/>
      <w:lvlJc w:val="left"/>
      <w:pPr>
        <w:tabs>
          <w:tab w:val="left" w:pos="312"/>
        </w:tabs>
      </w:pPr>
    </w:lvl>
  </w:abstractNum>
  <w:abstractNum w:abstractNumId="1">
    <w:nsid w:val="94C507B2"/>
    <w:multiLevelType w:val="singleLevel"/>
    <w:tmpl w:val="94C507B2"/>
    <w:lvl w:ilvl="0" w:tentative="0">
      <w:start w:val="1"/>
      <w:numFmt w:val="decimal"/>
      <w:lvlText w:val="%1."/>
      <w:lvlJc w:val="left"/>
      <w:pPr>
        <w:tabs>
          <w:tab w:val="left" w:pos="312"/>
        </w:tabs>
      </w:pPr>
    </w:lvl>
  </w:abstractNum>
  <w:abstractNum w:abstractNumId="2">
    <w:nsid w:val="A97A7353"/>
    <w:multiLevelType w:val="singleLevel"/>
    <w:tmpl w:val="A97A7353"/>
    <w:lvl w:ilvl="0" w:tentative="0">
      <w:start w:val="1"/>
      <w:numFmt w:val="decimal"/>
      <w:lvlText w:val="%1."/>
      <w:lvlJc w:val="left"/>
      <w:pPr>
        <w:tabs>
          <w:tab w:val="left" w:pos="312"/>
        </w:tabs>
      </w:pPr>
    </w:lvl>
  </w:abstractNum>
  <w:abstractNum w:abstractNumId="3">
    <w:nsid w:val="C2A1EDF0"/>
    <w:multiLevelType w:val="singleLevel"/>
    <w:tmpl w:val="C2A1EDF0"/>
    <w:lvl w:ilvl="0" w:tentative="0">
      <w:start w:val="1"/>
      <w:numFmt w:val="decimal"/>
      <w:lvlText w:val="%1."/>
      <w:lvlJc w:val="left"/>
      <w:pPr>
        <w:tabs>
          <w:tab w:val="left" w:pos="312"/>
        </w:tabs>
      </w:pPr>
    </w:lvl>
  </w:abstractNum>
  <w:abstractNum w:abstractNumId="4">
    <w:nsid w:val="D259D1D0"/>
    <w:multiLevelType w:val="singleLevel"/>
    <w:tmpl w:val="D259D1D0"/>
    <w:lvl w:ilvl="0" w:tentative="0">
      <w:start w:val="1"/>
      <w:numFmt w:val="decimal"/>
      <w:lvlText w:val="%1."/>
      <w:lvlJc w:val="left"/>
      <w:pPr>
        <w:tabs>
          <w:tab w:val="left" w:pos="312"/>
        </w:tabs>
      </w:pPr>
    </w:lvl>
  </w:abstractNum>
  <w:abstractNum w:abstractNumId="5">
    <w:nsid w:val="DB5DDBEB"/>
    <w:multiLevelType w:val="singleLevel"/>
    <w:tmpl w:val="DB5DDBEB"/>
    <w:lvl w:ilvl="0" w:tentative="0">
      <w:start w:val="1"/>
      <w:numFmt w:val="decimal"/>
      <w:lvlText w:val="%1."/>
      <w:lvlJc w:val="left"/>
      <w:pPr>
        <w:tabs>
          <w:tab w:val="left" w:pos="312"/>
        </w:tabs>
      </w:pPr>
    </w:lvl>
  </w:abstractNum>
  <w:abstractNum w:abstractNumId="6">
    <w:nsid w:val="DF9B2C43"/>
    <w:multiLevelType w:val="singleLevel"/>
    <w:tmpl w:val="DF9B2C43"/>
    <w:lvl w:ilvl="0" w:tentative="0">
      <w:start w:val="1"/>
      <w:numFmt w:val="decimal"/>
      <w:lvlText w:val="%1."/>
      <w:lvlJc w:val="left"/>
      <w:pPr>
        <w:tabs>
          <w:tab w:val="left" w:pos="312"/>
        </w:tabs>
      </w:pPr>
    </w:lvl>
  </w:abstractNum>
  <w:abstractNum w:abstractNumId="7">
    <w:nsid w:val="03E5FF8C"/>
    <w:multiLevelType w:val="singleLevel"/>
    <w:tmpl w:val="03E5FF8C"/>
    <w:lvl w:ilvl="0" w:tentative="0">
      <w:start w:val="1"/>
      <w:numFmt w:val="decimal"/>
      <w:lvlText w:val="%1."/>
      <w:lvlJc w:val="left"/>
      <w:pPr>
        <w:tabs>
          <w:tab w:val="left" w:pos="312"/>
        </w:tabs>
      </w:pPr>
    </w:lvl>
  </w:abstractNum>
  <w:abstractNum w:abstractNumId="8">
    <w:nsid w:val="0A3D50C6"/>
    <w:multiLevelType w:val="singleLevel"/>
    <w:tmpl w:val="0A3D50C6"/>
    <w:lvl w:ilvl="0" w:tentative="0">
      <w:start w:val="1"/>
      <w:numFmt w:val="decimal"/>
      <w:lvlText w:val="%1."/>
      <w:lvlJc w:val="left"/>
      <w:pPr>
        <w:tabs>
          <w:tab w:val="left" w:pos="312"/>
        </w:tabs>
      </w:pPr>
    </w:lvl>
  </w:abstractNum>
  <w:abstractNum w:abstractNumId="9">
    <w:nsid w:val="114EC527"/>
    <w:multiLevelType w:val="singleLevel"/>
    <w:tmpl w:val="114EC527"/>
    <w:lvl w:ilvl="0" w:tentative="0">
      <w:start w:val="1"/>
      <w:numFmt w:val="decimal"/>
      <w:lvlText w:val="%1."/>
      <w:lvlJc w:val="left"/>
      <w:pPr>
        <w:tabs>
          <w:tab w:val="left" w:pos="312"/>
        </w:tabs>
      </w:pPr>
    </w:lvl>
  </w:abstractNum>
  <w:abstractNum w:abstractNumId="10">
    <w:nsid w:val="20328687"/>
    <w:multiLevelType w:val="singleLevel"/>
    <w:tmpl w:val="20328687"/>
    <w:lvl w:ilvl="0" w:tentative="0">
      <w:start w:val="1"/>
      <w:numFmt w:val="decimal"/>
      <w:lvlText w:val="%1."/>
      <w:lvlJc w:val="left"/>
      <w:pPr>
        <w:tabs>
          <w:tab w:val="left" w:pos="312"/>
        </w:tabs>
      </w:pPr>
    </w:lvl>
  </w:abstractNum>
  <w:abstractNum w:abstractNumId="11">
    <w:nsid w:val="2FAFB63C"/>
    <w:multiLevelType w:val="singleLevel"/>
    <w:tmpl w:val="2FAFB63C"/>
    <w:lvl w:ilvl="0" w:tentative="0">
      <w:start w:val="1"/>
      <w:numFmt w:val="decimal"/>
      <w:lvlText w:val="%1."/>
      <w:lvlJc w:val="left"/>
      <w:pPr>
        <w:tabs>
          <w:tab w:val="left" w:pos="312"/>
        </w:tabs>
      </w:pPr>
    </w:lvl>
  </w:abstractNum>
  <w:abstractNum w:abstractNumId="12">
    <w:nsid w:val="63C4EA74"/>
    <w:multiLevelType w:val="singleLevel"/>
    <w:tmpl w:val="63C4EA74"/>
    <w:lvl w:ilvl="0" w:tentative="0">
      <w:start w:val="1"/>
      <w:numFmt w:val="decimal"/>
      <w:lvlText w:val="%1."/>
      <w:lvlJc w:val="left"/>
      <w:pPr>
        <w:tabs>
          <w:tab w:val="left" w:pos="312"/>
        </w:tabs>
      </w:pPr>
    </w:lvl>
  </w:abstractNum>
  <w:num w:numId="1">
    <w:abstractNumId w:val="1"/>
  </w:num>
  <w:num w:numId="2">
    <w:abstractNumId w:val="8"/>
  </w:num>
  <w:num w:numId="3">
    <w:abstractNumId w:val="11"/>
  </w:num>
  <w:num w:numId="4">
    <w:abstractNumId w:val="9"/>
  </w:num>
  <w:num w:numId="5">
    <w:abstractNumId w:val="5"/>
  </w:num>
  <w:num w:numId="6">
    <w:abstractNumId w:val="6"/>
  </w:num>
  <w:num w:numId="7">
    <w:abstractNumId w:val="7"/>
  </w:num>
  <w:num w:numId="8">
    <w:abstractNumId w:val="10"/>
  </w:num>
  <w:num w:numId="9">
    <w:abstractNumId w:val="3"/>
  </w:num>
  <w:num w:numId="10">
    <w:abstractNumId w:val="12"/>
  </w:num>
  <w:num w:numId="11">
    <w:abstractNumId w:val="4"/>
  </w:num>
  <w:num w:numId="12">
    <w:abstractNumId w:val="2"/>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TrueTypeFonts/>
  <w:saveSubsetFonts/>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hiM2FlZGE1NDU2MDZkMmIyNDdmM2MxMzE0MDk0N2YifQ=="/>
    <w:docVar w:name="KSO_WPS_MARK_KEY" w:val="ea0bebc7-26ec-499c-b5ee-fba59737a0ff"/>
  </w:docVars>
  <w:rsids>
    <w:rsidRoot w:val="6B057169"/>
    <w:rsid w:val="00064F95"/>
    <w:rsid w:val="000A3A78"/>
    <w:rsid w:val="000F1E3D"/>
    <w:rsid w:val="001A3431"/>
    <w:rsid w:val="002A0B1A"/>
    <w:rsid w:val="00327C78"/>
    <w:rsid w:val="00362403"/>
    <w:rsid w:val="003D30B4"/>
    <w:rsid w:val="004F4F6A"/>
    <w:rsid w:val="005319D6"/>
    <w:rsid w:val="00581A2E"/>
    <w:rsid w:val="00721897"/>
    <w:rsid w:val="00732078"/>
    <w:rsid w:val="007875EE"/>
    <w:rsid w:val="007C3667"/>
    <w:rsid w:val="00806C45"/>
    <w:rsid w:val="00826C48"/>
    <w:rsid w:val="00847E22"/>
    <w:rsid w:val="00853489"/>
    <w:rsid w:val="009F5555"/>
    <w:rsid w:val="00A5776C"/>
    <w:rsid w:val="00A62285"/>
    <w:rsid w:val="00A765BD"/>
    <w:rsid w:val="00B174BD"/>
    <w:rsid w:val="00B36808"/>
    <w:rsid w:val="00B91538"/>
    <w:rsid w:val="00B96BEB"/>
    <w:rsid w:val="00C43ED8"/>
    <w:rsid w:val="00C5457C"/>
    <w:rsid w:val="00C72441"/>
    <w:rsid w:val="00C821F3"/>
    <w:rsid w:val="00CA2739"/>
    <w:rsid w:val="00CC30BA"/>
    <w:rsid w:val="00CE6BC3"/>
    <w:rsid w:val="00D05490"/>
    <w:rsid w:val="00D64BEF"/>
    <w:rsid w:val="00D77E3E"/>
    <w:rsid w:val="00DB609E"/>
    <w:rsid w:val="00E97D31"/>
    <w:rsid w:val="00EA19FE"/>
    <w:rsid w:val="00F12B58"/>
    <w:rsid w:val="00F17387"/>
    <w:rsid w:val="00FF3E99"/>
    <w:rsid w:val="01126803"/>
    <w:rsid w:val="01407ED5"/>
    <w:rsid w:val="017A1F2C"/>
    <w:rsid w:val="01823FE2"/>
    <w:rsid w:val="01B84E94"/>
    <w:rsid w:val="01B85F94"/>
    <w:rsid w:val="01B94A29"/>
    <w:rsid w:val="01DA4C00"/>
    <w:rsid w:val="01F109DD"/>
    <w:rsid w:val="021B6523"/>
    <w:rsid w:val="022027BB"/>
    <w:rsid w:val="026706B4"/>
    <w:rsid w:val="026871D4"/>
    <w:rsid w:val="02BD1AD7"/>
    <w:rsid w:val="02D565BA"/>
    <w:rsid w:val="02DD1837"/>
    <w:rsid w:val="02DF23A6"/>
    <w:rsid w:val="02FF175A"/>
    <w:rsid w:val="030C3469"/>
    <w:rsid w:val="03187850"/>
    <w:rsid w:val="032000D3"/>
    <w:rsid w:val="033D09EE"/>
    <w:rsid w:val="03566554"/>
    <w:rsid w:val="036B7672"/>
    <w:rsid w:val="0382197C"/>
    <w:rsid w:val="03856C72"/>
    <w:rsid w:val="039912E1"/>
    <w:rsid w:val="039B3D07"/>
    <w:rsid w:val="03B45673"/>
    <w:rsid w:val="03CD43C8"/>
    <w:rsid w:val="041B6CAE"/>
    <w:rsid w:val="04381755"/>
    <w:rsid w:val="0456282D"/>
    <w:rsid w:val="04631B14"/>
    <w:rsid w:val="047B363F"/>
    <w:rsid w:val="04802351"/>
    <w:rsid w:val="048B6677"/>
    <w:rsid w:val="04C2570D"/>
    <w:rsid w:val="04CD7396"/>
    <w:rsid w:val="04EC28B6"/>
    <w:rsid w:val="0518787F"/>
    <w:rsid w:val="05264766"/>
    <w:rsid w:val="05300538"/>
    <w:rsid w:val="0530678A"/>
    <w:rsid w:val="0580256B"/>
    <w:rsid w:val="058A44C9"/>
    <w:rsid w:val="05C81792"/>
    <w:rsid w:val="05E0482F"/>
    <w:rsid w:val="05F0706B"/>
    <w:rsid w:val="05FC5931"/>
    <w:rsid w:val="061B1DF9"/>
    <w:rsid w:val="06283519"/>
    <w:rsid w:val="062E5A8F"/>
    <w:rsid w:val="06642CF7"/>
    <w:rsid w:val="066F38ED"/>
    <w:rsid w:val="06741D5B"/>
    <w:rsid w:val="068163D0"/>
    <w:rsid w:val="068C37F6"/>
    <w:rsid w:val="06BA4CA4"/>
    <w:rsid w:val="06F37214"/>
    <w:rsid w:val="07642AE0"/>
    <w:rsid w:val="079B29CE"/>
    <w:rsid w:val="07A27C72"/>
    <w:rsid w:val="07C54001"/>
    <w:rsid w:val="07CD57FA"/>
    <w:rsid w:val="07EA2C20"/>
    <w:rsid w:val="07FD6B81"/>
    <w:rsid w:val="08101EC8"/>
    <w:rsid w:val="081A2CF8"/>
    <w:rsid w:val="083E5EC8"/>
    <w:rsid w:val="088D459F"/>
    <w:rsid w:val="089201C5"/>
    <w:rsid w:val="089A5798"/>
    <w:rsid w:val="08C46ADC"/>
    <w:rsid w:val="08D67E85"/>
    <w:rsid w:val="08EB079B"/>
    <w:rsid w:val="08F240BB"/>
    <w:rsid w:val="090441B5"/>
    <w:rsid w:val="09305EBB"/>
    <w:rsid w:val="0941345A"/>
    <w:rsid w:val="09433AF8"/>
    <w:rsid w:val="0970184A"/>
    <w:rsid w:val="097D642D"/>
    <w:rsid w:val="09927CEB"/>
    <w:rsid w:val="099F1451"/>
    <w:rsid w:val="099F5C8C"/>
    <w:rsid w:val="09D22998"/>
    <w:rsid w:val="09D724F3"/>
    <w:rsid w:val="0A063A31"/>
    <w:rsid w:val="0A075F99"/>
    <w:rsid w:val="0A1D552E"/>
    <w:rsid w:val="0A214196"/>
    <w:rsid w:val="0A373FEA"/>
    <w:rsid w:val="0A38379E"/>
    <w:rsid w:val="0A3B59B5"/>
    <w:rsid w:val="0A3F61BF"/>
    <w:rsid w:val="0A434AEC"/>
    <w:rsid w:val="0A464836"/>
    <w:rsid w:val="0A465F35"/>
    <w:rsid w:val="0A5C66E4"/>
    <w:rsid w:val="0A863104"/>
    <w:rsid w:val="0A8E14AD"/>
    <w:rsid w:val="0AA71064"/>
    <w:rsid w:val="0ADE2457"/>
    <w:rsid w:val="0B08273A"/>
    <w:rsid w:val="0B334308"/>
    <w:rsid w:val="0B3E0E32"/>
    <w:rsid w:val="0B694FDC"/>
    <w:rsid w:val="0B761B0A"/>
    <w:rsid w:val="0B9A55E0"/>
    <w:rsid w:val="0BC45472"/>
    <w:rsid w:val="0BF8413F"/>
    <w:rsid w:val="0BFC6A8C"/>
    <w:rsid w:val="0C027479"/>
    <w:rsid w:val="0C112E71"/>
    <w:rsid w:val="0C3C61A6"/>
    <w:rsid w:val="0C440B6E"/>
    <w:rsid w:val="0C761F72"/>
    <w:rsid w:val="0C8838DF"/>
    <w:rsid w:val="0CD13905"/>
    <w:rsid w:val="0CDA6140"/>
    <w:rsid w:val="0D066333"/>
    <w:rsid w:val="0D1D513E"/>
    <w:rsid w:val="0D605A69"/>
    <w:rsid w:val="0D79298D"/>
    <w:rsid w:val="0D80358F"/>
    <w:rsid w:val="0D8642E2"/>
    <w:rsid w:val="0D871E0A"/>
    <w:rsid w:val="0D9127A0"/>
    <w:rsid w:val="0D971CA1"/>
    <w:rsid w:val="0DCD23B9"/>
    <w:rsid w:val="0DE63E89"/>
    <w:rsid w:val="0DF62C9E"/>
    <w:rsid w:val="0E042561"/>
    <w:rsid w:val="0E060087"/>
    <w:rsid w:val="0E3333AB"/>
    <w:rsid w:val="0E5D50B1"/>
    <w:rsid w:val="0E63721A"/>
    <w:rsid w:val="0E6C476D"/>
    <w:rsid w:val="0E8F6A62"/>
    <w:rsid w:val="0E9B2EC6"/>
    <w:rsid w:val="0EA66E91"/>
    <w:rsid w:val="0EBC0CE4"/>
    <w:rsid w:val="0EC91B2F"/>
    <w:rsid w:val="0EFE0230"/>
    <w:rsid w:val="0EFE1E48"/>
    <w:rsid w:val="0F113D78"/>
    <w:rsid w:val="0F120191"/>
    <w:rsid w:val="0F256DF0"/>
    <w:rsid w:val="0F3C26C9"/>
    <w:rsid w:val="0F4B0ED0"/>
    <w:rsid w:val="0F6D291A"/>
    <w:rsid w:val="0F8047F1"/>
    <w:rsid w:val="0F864216"/>
    <w:rsid w:val="0F882289"/>
    <w:rsid w:val="0FD4602A"/>
    <w:rsid w:val="0FFA00C0"/>
    <w:rsid w:val="100F4FF6"/>
    <w:rsid w:val="104666EA"/>
    <w:rsid w:val="10624891"/>
    <w:rsid w:val="10663D0F"/>
    <w:rsid w:val="107B78AA"/>
    <w:rsid w:val="10A80FA0"/>
    <w:rsid w:val="10B13C11"/>
    <w:rsid w:val="10B722AA"/>
    <w:rsid w:val="10CF4FC4"/>
    <w:rsid w:val="10D37A5C"/>
    <w:rsid w:val="10E4481F"/>
    <w:rsid w:val="10EA22DE"/>
    <w:rsid w:val="1109680C"/>
    <w:rsid w:val="112C4CE6"/>
    <w:rsid w:val="114809B7"/>
    <w:rsid w:val="115714A5"/>
    <w:rsid w:val="11B42401"/>
    <w:rsid w:val="11D905F3"/>
    <w:rsid w:val="11EF78E3"/>
    <w:rsid w:val="120A26F9"/>
    <w:rsid w:val="122A07E9"/>
    <w:rsid w:val="123C01CE"/>
    <w:rsid w:val="124A70DD"/>
    <w:rsid w:val="12506DE6"/>
    <w:rsid w:val="12625BD7"/>
    <w:rsid w:val="127C37F7"/>
    <w:rsid w:val="12815172"/>
    <w:rsid w:val="129154D7"/>
    <w:rsid w:val="12D007DB"/>
    <w:rsid w:val="12F222CD"/>
    <w:rsid w:val="12F37D96"/>
    <w:rsid w:val="12F86B39"/>
    <w:rsid w:val="13060E45"/>
    <w:rsid w:val="130E3CEE"/>
    <w:rsid w:val="13127B03"/>
    <w:rsid w:val="131328D2"/>
    <w:rsid w:val="1325246F"/>
    <w:rsid w:val="134E6E28"/>
    <w:rsid w:val="1361062F"/>
    <w:rsid w:val="136E5E3F"/>
    <w:rsid w:val="1379000D"/>
    <w:rsid w:val="13AE595E"/>
    <w:rsid w:val="13CA1200"/>
    <w:rsid w:val="13D22AC9"/>
    <w:rsid w:val="13EC095F"/>
    <w:rsid w:val="13F34521"/>
    <w:rsid w:val="14051D7D"/>
    <w:rsid w:val="14316CB7"/>
    <w:rsid w:val="1435582B"/>
    <w:rsid w:val="144D0304"/>
    <w:rsid w:val="146E4F80"/>
    <w:rsid w:val="149F3192"/>
    <w:rsid w:val="14A67452"/>
    <w:rsid w:val="14B306DF"/>
    <w:rsid w:val="14DE5AA5"/>
    <w:rsid w:val="14EB1DEC"/>
    <w:rsid w:val="14F82356"/>
    <w:rsid w:val="15127414"/>
    <w:rsid w:val="151969B7"/>
    <w:rsid w:val="15294D08"/>
    <w:rsid w:val="154577D5"/>
    <w:rsid w:val="15892EDB"/>
    <w:rsid w:val="160F5937"/>
    <w:rsid w:val="16135A37"/>
    <w:rsid w:val="164478A7"/>
    <w:rsid w:val="16A61FB3"/>
    <w:rsid w:val="16E05E69"/>
    <w:rsid w:val="17045380"/>
    <w:rsid w:val="17080899"/>
    <w:rsid w:val="171C6B6E"/>
    <w:rsid w:val="172B260C"/>
    <w:rsid w:val="173E2CC5"/>
    <w:rsid w:val="17514FCE"/>
    <w:rsid w:val="17555285"/>
    <w:rsid w:val="175E2FA2"/>
    <w:rsid w:val="176B0541"/>
    <w:rsid w:val="177E2280"/>
    <w:rsid w:val="17906E6D"/>
    <w:rsid w:val="17F95A9C"/>
    <w:rsid w:val="18021331"/>
    <w:rsid w:val="183D5983"/>
    <w:rsid w:val="1842284E"/>
    <w:rsid w:val="184363CF"/>
    <w:rsid w:val="186A15D6"/>
    <w:rsid w:val="1870080C"/>
    <w:rsid w:val="187358E4"/>
    <w:rsid w:val="18787DD4"/>
    <w:rsid w:val="18876269"/>
    <w:rsid w:val="18AA31C4"/>
    <w:rsid w:val="18B315D7"/>
    <w:rsid w:val="18C65228"/>
    <w:rsid w:val="18E46484"/>
    <w:rsid w:val="18F41ADC"/>
    <w:rsid w:val="18F74D47"/>
    <w:rsid w:val="191261D7"/>
    <w:rsid w:val="191F467A"/>
    <w:rsid w:val="19323813"/>
    <w:rsid w:val="194B1EF9"/>
    <w:rsid w:val="196546C8"/>
    <w:rsid w:val="19991F05"/>
    <w:rsid w:val="19A62445"/>
    <w:rsid w:val="19CD7DCE"/>
    <w:rsid w:val="19D55865"/>
    <w:rsid w:val="1A664DF1"/>
    <w:rsid w:val="1A8975D9"/>
    <w:rsid w:val="1AAD31A2"/>
    <w:rsid w:val="1AAD7DEF"/>
    <w:rsid w:val="1AB177C1"/>
    <w:rsid w:val="1AB711A7"/>
    <w:rsid w:val="1AC51DBA"/>
    <w:rsid w:val="1AC67053"/>
    <w:rsid w:val="1AD80537"/>
    <w:rsid w:val="1ADC6E66"/>
    <w:rsid w:val="1ADD075A"/>
    <w:rsid w:val="1AE8206E"/>
    <w:rsid w:val="1AE94802"/>
    <w:rsid w:val="1AF71484"/>
    <w:rsid w:val="1B203F05"/>
    <w:rsid w:val="1B2C19B6"/>
    <w:rsid w:val="1B2D6FD2"/>
    <w:rsid w:val="1B462398"/>
    <w:rsid w:val="1B4A4141"/>
    <w:rsid w:val="1B74762D"/>
    <w:rsid w:val="1B7A01B6"/>
    <w:rsid w:val="1B924899"/>
    <w:rsid w:val="1BA945CC"/>
    <w:rsid w:val="1BBC13A9"/>
    <w:rsid w:val="1BBE2176"/>
    <w:rsid w:val="1BD25876"/>
    <w:rsid w:val="1C1B73F4"/>
    <w:rsid w:val="1C261290"/>
    <w:rsid w:val="1C271C13"/>
    <w:rsid w:val="1C457997"/>
    <w:rsid w:val="1C56042C"/>
    <w:rsid w:val="1C664D10"/>
    <w:rsid w:val="1C6D64B0"/>
    <w:rsid w:val="1C7D30E1"/>
    <w:rsid w:val="1CA64E9F"/>
    <w:rsid w:val="1CA91663"/>
    <w:rsid w:val="1CB533A4"/>
    <w:rsid w:val="1CC01D49"/>
    <w:rsid w:val="1CC22665"/>
    <w:rsid w:val="1CC65454"/>
    <w:rsid w:val="1CD16CB8"/>
    <w:rsid w:val="1CDD0FEF"/>
    <w:rsid w:val="1D0936F0"/>
    <w:rsid w:val="1D0B003F"/>
    <w:rsid w:val="1D0B31E5"/>
    <w:rsid w:val="1D0D3DEE"/>
    <w:rsid w:val="1D1B500C"/>
    <w:rsid w:val="1D1B6C8D"/>
    <w:rsid w:val="1D422E91"/>
    <w:rsid w:val="1D4A7A2F"/>
    <w:rsid w:val="1D5B35DF"/>
    <w:rsid w:val="1D674C76"/>
    <w:rsid w:val="1D8E5C59"/>
    <w:rsid w:val="1D983A66"/>
    <w:rsid w:val="1DB71F0E"/>
    <w:rsid w:val="1DE729AA"/>
    <w:rsid w:val="1E0B5246"/>
    <w:rsid w:val="1E386282"/>
    <w:rsid w:val="1E397B74"/>
    <w:rsid w:val="1E3D3742"/>
    <w:rsid w:val="1E421ED3"/>
    <w:rsid w:val="1E4C43E2"/>
    <w:rsid w:val="1E5C0FBA"/>
    <w:rsid w:val="1E8709B9"/>
    <w:rsid w:val="1E9D2342"/>
    <w:rsid w:val="1EB80577"/>
    <w:rsid w:val="1EBC725D"/>
    <w:rsid w:val="1EC03899"/>
    <w:rsid w:val="1EC86BC8"/>
    <w:rsid w:val="1F042F17"/>
    <w:rsid w:val="1F4A5F8A"/>
    <w:rsid w:val="1F4B7C83"/>
    <w:rsid w:val="1FAF1F32"/>
    <w:rsid w:val="1FB02BAF"/>
    <w:rsid w:val="1FBA6F24"/>
    <w:rsid w:val="1FCC4F34"/>
    <w:rsid w:val="20036440"/>
    <w:rsid w:val="201411DC"/>
    <w:rsid w:val="201C4DC2"/>
    <w:rsid w:val="201C5C56"/>
    <w:rsid w:val="202645B9"/>
    <w:rsid w:val="203D5CD3"/>
    <w:rsid w:val="205F6FCB"/>
    <w:rsid w:val="2082681F"/>
    <w:rsid w:val="20987E8B"/>
    <w:rsid w:val="209E3B45"/>
    <w:rsid w:val="21042B4C"/>
    <w:rsid w:val="211617D0"/>
    <w:rsid w:val="21205427"/>
    <w:rsid w:val="21397CA5"/>
    <w:rsid w:val="218477E9"/>
    <w:rsid w:val="21870053"/>
    <w:rsid w:val="21A84623"/>
    <w:rsid w:val="21E01F0E"/>
    <w:rsid w:val="21EB022B"/>
    <w:rsid w:val="21FC03EB"/>
    <w:rsid w:val="22641DC5"/>
    <w:rsid w:val="229A620D"/>
    <w:rsid w:val="22A95748"/>
    <w:rsid w:val="22CE23FE"/>
    <w:rsid w:val="22D37012"/>
    <w:rsid w:val="22E741F3"/>
    <w:rsid w:val="22F47AB3"/>
    <w:rsid w:val="22FA2D2F"/>
    <w:rsid w:val="230D4342"/>
    <w:rsid w:val="230D74D0"/>
    <w:rsid w:val="232021A4"/>
    <w:rsid w:val="232D091E"/>
    <w:rsid w:val="23443C2E"/>
    <w:rsid w:val="236456B2"/>
    <w:rsid w:val="236B5023"/>
    <w:rsid w:val="2387261C"/>
    <w:rsid w:val="238B37FC"/>
    <w:rsid w:val="238B5B9A"/>
    <w:rsid w:val="23BF004B"/>
    <w:rsid w:val="23C70700"/>
    <w:rsid w:val="23D8410C"/>
    <w:rsid w:val="23F41021"/>
    <w:rsid w:val="2416596E"/>
    <w:rsid w:val="242B219E"/>
    <w:rsid w:val="2444463F"/>
    <w:rsid w:val="245B442C"/>
    <w:rsid w:val="24744498"/>
    <w:rsid w:val="249B1CDE"/>
    <w:rsid w:val="24A85AA4"/>
    <w:rsid w:val="24E76A0D"/>
    <w:rsid w:val="24F0314B"/>
    <w:rsid w:val="24F660CF"/>
    <w:rsid w:val="255C11C3"/>
    <w:rsid w:val="255F4807"/>
    <w:rsid w:val="256B37F7"/>
    <w:rsid w:val="256C0158"/>
    <w:rsid w:val="258D3384"/>
    <w:rsid w:val="25C74930"/>
    <w:rsid w:val="25CF3820"/>
    <w:rsid w:val="25E00192"/>
    <w:rsid w:val="25ED0053"/>
    <w:rsid w:val="25FB6965"/>
    <w:rsid w:val="26294189"/>
    <w:rsid w:val="262E1574"/>
    <w:rsid w:val="26573A95"/>
    <w:rsid w:val="269C1F13"/>
    <w:rsid w:val="26AB0E96"/>
    <w:rsid w:val="26C96AF7"/>
    <w:rsid w:val="26D3449D"/>
    <w:rsid w:val="26ED1F01"/>
    <w:rsid w:val="27042835"/>
    <w:rsid w:val="270C269B"/>
    <w:rsid w:val="270F26C2"/>
    <w:rsid w:val="273C05D8"/>
    <w:rsid w:val="276460F3"/>
    <w:rsid w:val="277B0C31"/>
    <w:rsid w:val="2786250D"/>
    <w:rsid w:val="278F33F1"/>
    <w:rsid w:val="2799071E"/>
    <w:rsid w:val="27B66E96"/>
    <w:rsid w:val="27B9615F"/>
    <w:rsid w:val="27CC40F5"/>
    <w:rsid w:val="27DA78C8"/>
    <w:rsid w:val="27DC21C6"/>
    <w:rsid w:val="27EC4B47"/>
    <w:rsid w:val="27FD5767"/>
    <w:rsid w:val="280168BA"/>
    <w:rsid w:val="28655366"/>
    <w:rsid w:val="28734BB1"/>
    <w:rsid w:val="28813D28"/>
    <w:rsid w:val="289655AD"/>
    <w:rsid w:val="28B00FB2"/>
    <w:rsid w:val="28B50505"/>
    <w:rsid w:val="28BA7FD6"/>
    <w:rsid w:val="28D80DD1"/>
    <w:rsid w:val="28D813F4"/>
    <w:rsid w:val="28DC7F0B"/>
    <w:rsid w:val="28E65517"/>
    <w:rsid w:val="290A4360"/>
    <w:rsid w:val="29215BA4"/>
    <w:rsid w:val="292D5607"/>
    <w:rsid w:val="292E5E31"/>
    <w:rsid w:val="29362034"/>
    <w:rsid w:val="2962576B"/>
    <w:rsid w:val="297C6A62"/>
    <w:rsid w:val="298B3E0F"/>
    <w:rsid w:val="2996630C"/>
    <w:rsid w:val="29987AD7"/>
    <w:rsid w:val="29C54E43"/>
    <w:rsid w:val="29D05AD9"/>
    <w:rsid w:val="29D224AF"/>
    <w:rsid w:val="29F80B81"/>
    <w:rsid w:val="29FA6F61"/>
    <w:rsid w:val="2A1E657F"/>
    <w:rsid w:val="2A3C5E8A"/>
    <w:rsid w:val="2A655A8C"/>
    <w:rsid w:val="2A975C19"/>
    <w:rsid w:val="2A9B4409"/>
    <w:rsid w:val="2AA9206F"/>
    <w:rsid w:val="2AB25322"/>
    <w:rsid w:val="2AC44373"/>
    <w:rsid w:val="2AC96135"/>
    <w:rsid w:val="2AD202FB"/>
    <w:rsid w:val="2B192588"/>
    <w:rsid w:val="2B7663F5"/>
    <w:rsid w:val="2B810C2A"/>
    <w:rsid w:val="2B921D32"/>
    <w:rsid w:val="2BA54C4C"/>
    <w:rsid w:val="2BB84077"/>
    <w:rsid w:val="2BCC02BB"/>
    <w:rsid w:val="2C0C49E1"/>
    <w:rsid w:val="2C954FA0"/>
    <w:rsid w:val="2CB46C59"/>
    <w:rsid w:val="2D034831"/>
    <w:rsid w:val="2D183579"/>
    <w:rsid w:val="2D2F32AF"/>
    <w:rsid w:val="2D6E2A3E"/>
    <w:rsid w:val="2D761025"/>
    <w:rsid w:val="2D8127E1"/>
    <w:rsid w:val="2D85057C"/>
    <w:rsid w:val="2DA07CD7"/>
    <w:rsid w:val="2DA74F3A"/>
    <w:rsid w:val="2DCD244D"/>
    <w:rsid w:val="2DE34168"/>
    <w:rsid w:val="2E3F33C3"/>
    <w:rsid w:val="2E4569DF"/>
    <w:rsid w:val="2E6F58A4"/>
    <w:rsid w:val="2E8D1409"/>
    <w:rsid w:val="2E9D20C0"/>
    <w:rsid w:val="2EB21E3A"/>
    <w:rsid w:val="2EC77CCD"/>
    <w:rsid w:val="2F0F26C5"/>
    <w:rsid w:val="2F1D13EE"/>
    <w:rsid w:val="2F2D3092"/>
    <w:rsid w:val="2F4E5CF5"/>
    <w:rsid w:val="2F696028"/>
    <w:rsid w:val="2F736B8A"/>
    <w:rsid w:val="2F7449B5"/>
    <w:rsid w:val="2F8D6D16"/>
    <w:rsid w:val="2FAF583F"/>
    <w:rsid w:val="2FEB3764"/>
    <w:rsid w:val="2FFD6603"/>
    <w:rsid w:val="301C4448"/>
    <w:rsid w:val="30393179"/>
    <w:rsid w:val="305332AD"/>
    <w:rsid w:val="306B6CA3"/>
    <w:rsid w:val="307C0256"/>
    <w:rsid w:val="308913B7"/>
    <w:rsid w:val="308E752F"/>
    <w:rsid w:val="309F0BB2"/>
    <w:rsid w:val="30B0401B"/>
    <w:rsid w:val="30B32CF4"/>
    <w:rsid w:val="30EF0430"/>
    <w:rsid w:val="31213444"/>
    <w:rsid w:val="313D13A6"/>
    <w:rsid w:val="31403CC5"/>
    <w:rsid w:val="315C0B20"/>
    <w:rsid w:val="318B109F"/>
    <w:rsid w:val="31975317"/>
    <w:rsid w:val="31C7491E"/>
    <w:rsid w:val="31E06CF4"/>
    <w:rsid w:val="31E64A69"/>
    <w:rsid w:val="322101DC"/>
    <w:rsid w:val="323719D7"/>
    <w:rsid w:val="323E38BD"/>
    <w:rsid w:val="3258433F"/>
    <w:rsid w:val="32631699"/>
    <w:rsid w:val="32A76BC9"/>
    <w:rsid w:val="32B81E89"/>
    <w:rsid w:val="32BC571C"/>
    <w:rsid w:val="32BF4804"/>
    <w:rsid w:val="33075753"/>
    <w:rsid w:val="331222A9"/>
    <w:rsid w:val="33364E3E"/>
    <w:rsid w:val="3340780C"/>
    <w:rsid w:val="33467074"/>
    <w:rsid w:val="338B4A07"/>
    <w:rsid w:val="33903DAB"/>
    <w:rsid w:val="33A64D5A"/>
    <w:rsid w:val="33C02D8A"/>
    <w:rsid w:val="33DB616C"/>
    <w:rsid w:val="33F416A8"/>
    <w:rsid w:val="3439429F"/>
    <w:rsid w:val="349071C4"/>
    <w:rsid w:val="34A07070"/>
    <w:rsid w:val="34A15FE6"/>
    <w:rsid w:val="34AE0505"/>
    <w:rsid w:val="34D10202"/>
    <w:rsid w:val="34FD46A6"/>
    <w:rsid w:val="35035002"/>
    <w:rsid w:val="352E651E"/>
    <w:rsid w:val="35414FEB"/>
    <w:rsid w:val="356B2D42"/>
    <w:rsid w:val="357F234A"/>
    <w:rsid w:val="35B007E3"/>
    <w:rsid w:val="35B55F05"/>
    <w:rsid w:val="35B83714"/>
    <w:rsid w:val="35D54292"/>
    <w:rsid w:val="35D63FAC"/>
    <w:rsid w:val="35D71A8C"/>
    <w:rsid w:val="35E2289C"/>
    <w:rsid w:val="35F36953"/>
    <w:rsid w:val="36017A6B"/>
    <w:rsid w:val="360E6E76"/>
    <w:rsid w:val="361A2073"/>
    <w:rsid w:val="363526E3"/>
    <w:rsid w:val="364838BE"/>
    <w:rsid w:val="36715C68"/>
    <w:rsid w:val="36AA1648"/>
    <w:rsid w:val="36E940CD"/>
    <w:rsid w:val="36EB69D4"/>
    <w:rsid w:val="36F05E72"/>
    <w:rsid w:val="36FB6FF4"/>
    <w:rsid w:val="370520A6"/>
    <w:rsid w:val="3709370B"/>
    <w:rsid w:val="3723232B"/>
    <w:rsid w:val="37461371"/>
    <w:rsid w:val="376661D2"/>
    <w:rsid w:val="377B4AEB"/>
    <w:rsid w:val="37816915"/>
    <w:rsid w:val="37B51F70"/>
    <w:rsid w:val="37D5265A"/>
    <w:rsid w:val="37E22F59"/>
    <w:rsid w:val="37E9458E"/>
    <w:rsid w:val="37F0752F"/>
    <w:rsid w:val="382D0783"/>
    <w:rsid w:val="384B5964"/>
    <w:rsid w:val="387C0A5E"/>
    <w:rsid w:val="38AD0855"/>
    <w:rsid w:val="38B90E89"/>
    <w:rsid w:val="38C052FF"/>
    <w:rsid w:val="38C61FBE"/>
    <w:rsid w:val="3911596D"/>
    <w:rsid w:val="391D3B07"/>
    <w:rsid w:val="39337578"/>
    <w:rsid w:val="395D30A0"/>
    <w:rsid w:val="3973174C"/>
    <w:rsid w:val="397558D3"/>
    <w:rsid w:val="397F636E"/>
    <w:rsid w:val="398324D7"/>
    <w:rsid w:val="399F120C"/>
    <w:rsid w:val="39A35FB9"/>
    <w:rsid w:val="39B04D56"/>
    <w:rsid w:val="39B06694"/>
    <w:rsid w:val="39C82211"/>
    <w:rsid w:val="39CC0C92"/>
    <w:rsid w:val="39DA6A6C"/>
    <w:rsid w:val="3A06616B"/>
    <w:rsid w:val="3A0909B7"/>
    <w:rsid w:val="3A2E54CE"/>
    <w:rsid w:val="3A3555AE"/>
    <w:rsid w:val="3A4B64C6"/>
    <w:rsid w:val="3A561FD2"/>
    <w:rsid w:val="3A5A27E8"/>
    <w:rsid w:val="3A5B15D7"/>
    <w:rsid w:val="3A5C691C"/>
    <w:rsid w:val="3A7E2CEB"/>
    <w:rsid w:val="3AC5203A"/>
    <w:rsid w:val="3ACA6986"/>
    <w:rsid w:val="3B00745B"/>
    <w:rsid w:val="3B0721AD"/>
    <w:rsid w:val="3B1F062E"/>
    <w:rsid w:val="3B221D05"/>
    <w:rsid w:val="3B2F5A92"/>
    <w:rsid w:val="3B443E1A"/>
    <w:rsid w:val="3B7C28DF"/>
    <w:rsid w:val="3B8639FF"/>
    <w:rsid w:val="3BA57145"/>
    <w:rsid w:val="3BBE3E01"/>
    <w:rsid w:val="3BCB0097"/>
    <w:rsid w:val="3BD518F2"/>
    <w:rsid w:val="3BE13D5E"/>
    <w:rsid w:val="3BF26318"/>
    <w:rsid w:val="3BFE5686"/>
    <w:rsid w:val="3C035F2D"/>
    <w:rsid w:val="3C096E79"/>
    <w:rsid w:val="3C263DBE"/>
    <w:rsid w:val="3C291871"/>
    <w:rsid w:val="3C395105"/>
    <w:rsid w:val="3C3A58C7"/>
    <w:rsid w:val="3C455B7B"/>
    <w:rsid w:val="3C507483"/>
    <w:rsid w:val="3C5250A5"/>
    <w:rsid w:val="3C8171CA"/>
    <w:rsid w:val="3C8230F4"/>
    <w:rsid w:val="3CA1529C"/>
    <w:rsid w:val="3CA43741"/>
    <w:rsid w:val="3CAB4351"/>
    <w:rsid w:val="3CAC4C2B"/>
    <w:rsid w:val="3CD41126"/>
    <w:rsid w:val="3D17585C"/>
    <w:rsid w:val="3D1A4712"/>
    <w:rsid w:val="3D2362B7"/>
    <w:rsid w:val="3D4225DB"/>
    <w:rsid w:val="3D4F6AA6"/>
    <w:rsid w:val="3D5C44F1"/>
    <w:rsid w:val="3D681545"/>
    <w:rsid w:val="3DA16294"/>
    <w:rsid w:val="3DB531D5"/>
    <w:rsid w:val="3DCE0312"/>
    <w:rsid w:val="3E0D061D"/>
    <w:rsid w:val="3E2B2052"/>
    <w:rsid w:val="3E2D4DCE"/>
    <w:rsid w:val="3E3364F8"/>
    <w:rsid w:val="3E6204C9"/>
    <w:rsid w:val="3E813244"/>
    <w:rsid w:val="3E834632"/>
    <w:rsid w:val="3E977C1B"/>
    <w:rsid w:val="3EA12B26"/>
    <w:rsid w:val="3EDD4196"/>
    <w:rsid w:val="3EF51CD6"/>
    <w:rsid w:val="3F535B7D"/>
    <w:rsid w:val="3F6B39EF"/>
    <w:rsid w:val="3F7B4576"/>
    <w:rsid w:val="3F852A43"/>
    <w:rsid w:val="3FB84DD6"/>
    <w:rsid w:val="3FCA312E"/>
    <w:rsid w:val="3FD6353F"/>
    <w:rsid w:val="3FEA2F5A"/>
    <w:rsid w:val="3FEF4D46"/>
    <w:rsid w:val="3FF32EFC"/>
    <w:rsid w:val="4002773F"/>
    <w:rsid w:val="401C5365"/>
    <w:rsid w:val="40496550"/>
    <w:rsid w:val="40581976"/>
    <w:rsid w:val="406026DA"/>
    <w:rsid w:val="407C6265"/>
    <w:rsid w:val="40863AAE"/>
    <w:rsid w:val="40A14F35"/>
    <w:rsid w:val="40C3161B"/>
    <w:rsid w:val="40CB087C"/>
    <w:rsid w:val="40CE0C35"/>
    <w:rsid w:val="40E22CE0"/>
    <w:rsid w:val="40E606E6"/>
    <w:rsid w:val="40E8529C"/>
    <w:rsid w:val="40F72C63"/>
    <w:rsid w:val="41217F66"/>
    <w:rsid w:val="4124222C"/>
    <w:rsid w:val="41270465"/>
    <w:rsid w:val="413469BC"/>
    <w:rsid w:val="41384D70"/>
    <w:rsid w:val="416D4B50"/>
    <w:rsid w:val="41744D2D"/>
    <w:rsid w:val="41764F49"/>
    <w:rsid w:val="419F78C7"/>
    <w:rsid w:val="41C414F3"/>
    <w:rsid w:val="41D074A4"/>
    <w:rsid w:val="42343F31"/>
    <w:rsid w:val="423767A9"/>
    <w:rsid w:val="425F7BCF"/>
    <w:rsid w:val="427827A1"/>
    <w:rsid w:val="42A8200F"/>
    <w:rsid w:val="42F6576F"/>
    <w:rsid w:val="42F84A5F"/>
    <w:rsid w:val="42FC7205"/>
    <w:rsid w:val="436658FA"/>
    <w:rsid w:val="43AD4B38"/>
    <w:rsid w:val="43C83EB2"/>
    <w:rsid w:val="43E77A38"/>
    <w:rsid w:val="442E5667"/>
    <w:rsid w:val="44A27907"/>
    <w:rsid w:val="44AC36C6"/>
    <w:rsid w:val="44AE49FA"/>
    <w:rsid w:val="44B75E21"/>
    <w:rsid w:val="44BE50C6"/>
    <w:rsid w:val="44C311B3"/>
    <w:rsid w:val="44E52D55"/>
    <w:rsid w:val="44FA44A4"/>
    <w:rsid w:val="450F11B4"/>
    <w:rsid w:val="452706D9"/>
    <w:rsid w:val="452C7CC7"/>
    <w:rsid w:val="45836C6E"/>
    <w:rsid w:val="45837C34"/>
    <w:rsid w:val="45922C97"/>
    <w:rsid w:val="45973606"/>
    <w:rsid w:val="45E71F71"/>
    <w:rsid w:val="45EA72AB"/>
    <w:rsid w:val="460153C4"/>
    <w:rsid w:val="4611161A"/>
    <w:rsid w:val="46243172"/>
    <w:rsid w:val="463119FB"/>
    <w:rsid w:val="46445561"/>
    <w:rsid w:val="46476EB4"/>
    <w:rsid w:val="46530A72"/>
    <w:rsid w:val="465848CC"/>
    <w:rsid w:val="46771827"/>
    <w:rsid w:val="46821CC1"/>
    <w:rsid w:val="469B1E35"/>
    <w:rsid w:val="46D02A05"/>
    <w:rsid w:val="46D54C5F"/>
    <w:rsid w:val="46F641A4"/>
    <w:rsid w:val="46F838A8"/>
    <w:rsid w:val="46FD715E"/>
    <w:rsid w:val="47090FEF"/>
    <w:rsid w:val="470F6F45"/>
    <w:rsid w:val="474927B8"/>
    <w:rsid w:val="476436FE"/>
    <w:rsid w:val="47677D27"/>
    <w:rsid w:val="477D4A6B"/>
    <w:rsid w:val="478F5933"/>
    <w:rsid w:val="47972DEE"/>
    <w:rsid w:val="47CA56A6"/>
    <w:rsid w:val="47E25D5F"/>
    <w:rsid w:val="47F91F17"/>
    <w:rsid w:val="483D49AD"/>
    <w:rsid w:val="485A01FF"/>
    <w:rsid w:val="4862036A"/>
    <w:rsid w:val="487764A8"/>
    <w:rsid w:val="488242CB"/>
    <w:rsid w:val="48A530A3"/>
    <w:rsid w:val="48AE3BA5"/>
    <w:rsid w:val="48B22715"/>
    <w:rsid w:val="48EE7ABB"/>
    <w:rsid w:val="48F03285"/>
    <w:rsid w:val="48FD385A"/>
    <w:rsid w:val="48FE6C7F"/>
    <w:rsid w:val="48FF72C9"/>
    <w:rsid w:val="4901603E"/>
    <w:rsid w:val="492535C9"/>
    <w:rsid w:val="49277981"/>
    <w:rsid w:val="49375678"/>
    <w:rsid w:val="49635ED4"/>
    <w:rsid w:val="49703F35"/>
    <w:rsid w:val="49C72F2A"/>
    <w:rsid w:val="49CA4084"/>
    <w:rsid w:val="4A1C1F54"/>
    <w:rsid w:val="4A595D90"/>
    <w:rsid w:val="4AA30828"/>
    <w:rsid w:val="4AAB4B00"/>
    <w:rsid w:val="4AB41918"/>
    <w:rsid w:val="4ABA40F8"/>
    <w:rsid w:val="4ABB4B30"/>
    <w:rsid w:val="4AE23BC8"/>
    <w:rsid w:val="4AE62735"/>
    <w:rsid w:val="4AFB5E89"/>
    <w:rsid w:val="4B05505D"/>
    <w:rsid w:val="4B0C4228"/>
    <w:rsid w:val="4B0D58B8"/>
    <w:rsid w:val="4B182C26"/>
    <w:rsid w:val="4B583721"/>
    <w:rsid w:val="4B936F99"/>
    <w:rsid w:val="4BA3255E"/>
    <w:rsid w:val="4BBC67F8"/>
    <w:rsid w:val="4BF21670"/>
    <w:rsid w:val="4BF64AE2"/>
    <w:rsid w:val="4C002C44"/>
    <w:rsid w:val="4C0C0983"/>
    <w:rsid w:val="4C1C66ED"/>
    <w:rsid w:val="4C4978A4"/>
    <w:rsid w:val="4C644EC6"/>
    <w:rsid w:val="4C704C96"/>
    <w:rsid w:val="4C8B6C2D"/>
    <w:rsid w:val="4CCA336F"/>
    <w:rsid w:val="4CD045EB"/>
    <w:rsid w:val="4CDB1514"/>
    <w:rsid w:val="4D296DA3"/>
    <w:rsid w:val="4D5A7486"/>
    <w:rsid w:val="4D7F697F"/>
    <w:rsid w:val="4DA02B49"/>
    <w:rsid w:val="4DB01399"/>
    <w:rsid w:val="4DB258D2"/>
    <w:rsid w:val="4DBF74B7"/>
    <w:rsid w:val="4DC26A90"/>
    <w:rsid w:val="4DC34CC0"/>
    <w:rsid w:val="4DCB4BC5"/>
    <w:rsid w:val="4E0D2791"/>
    <w:rsid w:val="4E19598E"/>
    <w:rsid w:val="4E206AF8"/>
    <w:rsid w:val="4E6B2ED6"/>
    <w:rsid w:val="4E8050A2"/>
    <w:rsid w:val="4EB951C9"/>
    <w:rsid w:val="4EC1245F"/>
    <w:rsid w:val="4ED361A3"/>
    <w:rsid w:val="4EF13E61"/>
    <w:rsid w:val="4F0A1FF5"/>
    <w:rsid w:val="4F166785"/>
    <w:rsid w:val="4F275AD4"/>
    <w:rsid w:val="4F381A8F"/>
    <w:rsid w:val="4F42141D"/>
    <w:rsid w:val="4F4742A1"/>
    <w:rsid w:val="4F6E3703"/>
    <w:rsid w:val="4F786F62"/>
    <w:rsid w:val="4F8934C3"/>
    <w:rsid w:val="4F934FE2"/>
    <w:rsid w:val="4FAB5CBB"/>
    <w:rsid w:val="4FAD28F1"/>
    <w:rsid w:val="4FB02191"/>
    <w:rsid w:val="4FB64B8F"/>
    <w:rsid w:val="4FD36FA5"/>
    <w:rsid w:val="4FD86E1E"/>
    <w:rsid w:val="4FDB1068"/>
    <w:rsid w:val="4FE2572C"/>
    <w:rsid w:val="4FF663FF"/>
    <w:rsid w:val="50062273"/>
    <w:rsid w:val="50460874"/>
    <w:rsid w:val="505E6FA5"/>
    <w:rsid w:val="50936F77"/>
    <w:rsid w:val="5100038B"/>
    <w:rsid w:val="511F2394"/>
    <w:rsid w:val="511F2D7A"/>
    <w:rsid w:val="512015FF"/>
    <w:rsid w:val="51321A00"/>
    <w:rsid w:val="51385360"/>
    <w:rsid w:val="51660B5F"/>
    <w:rsid w:val="516C7D38"/>
    <w:rsid w:val="5185140A"/>
    <w:rsid w:val="51BD2EC4"/>
    <w:rsid w:val="51DD2B83"/>
    <w:rsid w:val="52094397"/>
    <w:rsid w:val="520C6A29"/>
    <w:rsid w:val="521B1732"/>
    <w:rsid w:val="521F6F37"/>
    <w:rsid w:val="52616CDB"/>
    <w:rsid w:val="52714C53"/>
    <w:rsid w:val="52A554A0"/>
    <w:rsid w:val="52B86EE9"/>
    <w:rsid w:val="52C0638C"/>
    <w:rsid w:val="52D85640"/>
    <w:rsid w:val="53250777"/>
    <w:rsid w:val="53387573"/>
    <w:rsid w:val="53464D17"/>
    <w:rsid w:val="535A122D"/>
    <w:rsid w:val="538E51F6"/>
    <w:rsid w:val="53B3782D"/>
    <w:rsid w:val="53BB7414"/>
    <w:rsid w:val="53C30FA1"/>
    <w:rsid w:val="53D556B7"/>
    <w:rsid w:val="53DC03E6"/>
    <w:rsid w:val="53F752E8"/>
    <w:rsid w:val="540B32CF"/>
    <w:rsid w:val="540D04F8"/>
    <w:rsid w:val="54124A29"/>
    <w:rsid w:val="54211511"/>
    <w:rsid w:val="543F45CB"/>
    <w:rsid w:val="544B16E6"/>
    <w:rsid w:val="54505AE7"/>
    <w:rsid w:val="54841680"/>
    <w:rsid w:val="548862BE"/>
    <w:rsid w:val="548A60A8"/>
    <w:rsid w:val="54AD6A7C"/>
    <w:rsid w:val="54B12A74"/>
    <w:rsid w:val="54D20FEB"/>
    <w:rsid w:val="54E27E22"/>
    <w:rsid w:val="550E1801"/>
    <w:rsid w:val="55192D14"/>
    <w:rsid w:val="55BA17D6"/>
    <w:rsid w:val="55BA358E"/>
    <w:rsid w:val="55C91693"/>
    <w:rsid w:val="55C91FBB"/>
    <w:rsid w:val="55F952D6"/>
    <w:rsid w:val="5601592B"/>
    <w:rsid w:val="561B32E9"/>
    <w:rsid w:val="56225CEE"/>
    <w:rsid w:val="56477E00"/>
    <w:rsid w:val="565D373A"/>
    <w:rsid w:val="5660148C"/>
    <w:rsid w:val="567F1715"/>
    <w:rsid w:val="56C5176A"/>
    <w:rsid w:val="56EE1355"/>
    <w:rsid w:val="57006FEE"/>
    <w:rsid w:val="575647A8"/>
    <w:rsid w:val="575F1533"/>
    <w:rsid w:val="577B5F89"/>
    <w:rsid w:val="57833F47"/>
    <w:rsid w:val="57EA584B"/>
    <w:rsid w:val="57ED5C62"/>
    <w:rsid w:val="58115946"/>
    <w:rsid w:val="5818721B"/>
    <w:rsid w:val="583B1BF1"/>
    <w:rsid w:val="58436D08"/>
    <w:rsid w:val="58564828"/>
    <w:rsid w:val="5889438C"/>
    <w:rsid w:val="589C1ABE"/>
    <w:rsid w:val="58AE755B"/>
    <w:rsid w:val="58BD19EA"/>
    <w:rsid w:val="590649AC"/>
    <w:rsid w:val="591744C4"/>
    <w:rsid w:val="592913B4"/>
    <w:rsid w:val="59480B21"/>
    <w:rsid w:val="595B3162"/>
    <w:rsid w:val="598A1C1A"/>
    <w:rsid w:val="59953056"/>
    <w:rsid w:val="59CB4F0B"/>
    <w:rsid w:val="5A2562F0"/>
    <w:rsid w:val="5A44100C"/>
    <w:rsid w:val="5A4532B2"/>
    <w:rsid w:val="5A6776CD"/>
    <w:rsid w:val="5A680C51"/>
    <w:rsid w:val="5A690D4F"/>
    <w:rsid w:val="5A6B2D19"/>
    <w:rsid w:val="5AC16286"/>
    <w:rsid w:val="5AC75B60"/>
    <w:rsid w:val="5ACE3CFD"/>
    <w:rsid w:val="5ACE6099"/>
    <w:rsid w:val="5AEB076E"/>
    <w:rsid w:val="5B0C39B8"/>
    <w:rsid w:val="5B2E6949"/>
    <w:rsid w:val="5B435F4B"/>
    <w:rsid w:val="5B453752"/>
    <w:rsid w:val="5B4A789B"/>
    <w:rsid w:val="5B637E94"/>
    <w:rsid w:val="5B6529E7"/>
    <w:rsid w:val="5B8B1294"/>
    <w:rsid w:val="5B8F1E8D"/>
    <w:rsid w:val="5B9067AF"/>
    <w:rsid w:val="5BB52455"/>
    <w:rsid w:val="5BBA7A00"/>
    <w:rsid w:val="5BD60438"/>
    <w:rsid w:val="5BFB00CD"/>
    <w:rsid w:val="5C105B7D"/>
    <w:rsid w:val="5C145949"/>
    <w:rsid w:val="5C2069FD"/>
    <w:rsid w:val="5C2C472A"/>
    <w:rsid w:val="5C363BC4"/>
    <w:rsid w:val="5C5617A7"/>
    <w:rsid w:val="5C9B584D"/>
    <w:rsid w:val="5CD5165E"/>
    <w:rsid w:val="5CE23BEF"/>
    <w:rsid w:val="5CF16E9D"/>
    <w:rsid w:val="5CF64EA8"/>
    <w:rsid w:val="5D093894"/>
    <w:rsid w:val="5D2C0F20"/>
    <w:rsid w:val="5D4C60DA"/>
    <w:rsid w:val="5D7202AB"/>
    <w:rsid w:val="5D980944"/>
    <w:rsid w:val="5D984A13"/>
    <w:rsid w:val="5D9F2A3D"/>
    <w:rsid w:val="5DB82CFF"/>
    <w:rsid w:val="5DC93333"/>
    <w:rsid w:val="5E216371"/>
    <w:rsid w:val="5E417485"/>
    <w:rsid w:val="5EB56C59"/>
    <w:rsid w:val="5ED82947"/>
    <w:rsid w:val="5EE9107A"/>
    <w:rsid w:val="5EF01840"/>
    <w:rsid w:val="5F1A373D"/>
    <w:rsid w:val="5F1F2489"/>
    <w:rsid w:val="5F592AFE"/>
    <w:rsid w:val="5F891AA0"/>
    <w:rsid w:val="5F8A7A9B"/>
    <w:rsid w:val="5FA21AD6"/>
    <w:rsid w:val="5FA97E40"/>
    <w:rsid w:val="5FE768B3"/>
    <w:rsid w:val="5FFD3967"/>
    <w:rsid w:val="601843AD"/>
    <w:rsid w:val="601F2E6C"/>
    <w:rsid w:val="60271064"/>
    <w:rsid w:val="60315B9B"/>
    <w:rsid w:val="603D4709"/>
    <w:rsid w:val="603E01B7"/>
    <w:rsid w:val="60443FB8"/>
    <w:rsid w:val="6068727C"/>
    <w:rsid w:val="607262C7"/>
    <w:rsid w:val="60847A10"/>
    <w:rsid w:val="6088190A"/>
    <w:rsid w:val="6089022C"/>
    <w:rsid w:val="608A4555"/>
    <w:rsid w:val="608D44FE"/>
    <w:rsid w:val="60A81A5A"/>
    <w:rsid w:val="60B16FEC"/>
    <w:rsid w:val="60CC05DC"/>
    <w:rsid w:val="60DC0C4E"/>
    <w:rsid w:val="60E6633F"/>
    <w:rsid w:val="60FF637F"/>
    <w:rsid w:val="61164317"/>
    <w:rsid w:val="61345DF2"/>
    <w:rsid w:val="617309B0"/>
    <w:rsid w:val="61932FE1"/>
    <w:rsid w:val="61BE1A5C"/>
    <w:rsid w:val="61D94FD1"/>
    <w:rsid w:val="61DA2118"/>
    <w:rsid w:val="61DA5DEA"/>
    <w:rsid w:val="61DC7944"/>
    <w:rsid w:val="61E146B4"/>
    <w:rsid w:val="620C65CE"/>
    <w:rsid w:val="621F2587"/>
    <w:rsid w:val="625B488E"/>
    <w:rsid w:val="62600C4F"/>
    <w:rsid w:val="62634C1E"/>
    <w:rsid w:val="62683FC2"/>
    <w:rsid w:val="626A7CA0"/>
    <w:rsid w:val="627A19DB"/>
    <w:rsid w:val="628A2CAF"/>
    <w:rsid w:val="62A045EE"/>
    <w:rsid w:val="62AF6A97"/>
    <w:rsid w:val="62D43F09"/>
    <w:rsid w:val="62E16861"/>
    <w:rsid w:val="63035AB9"/>
    <w:rsid w:val="630708A1"/>
    <w:rsid w:val="631D301E"/>
    <w:rsid w:val="633B763F"/>
    <w:rsid w:val="635F3325"/>
    <w:rsid w:val="636079AA"/>
    <w:rsid w:val="63621228"/>
    <w:rsid w:val="636E3C01"/>
    <w:rsid w:val="63840111"/>
    <w:rsid w:val="63A85E64"/>
    <w:rsid w:val="63AA1992"/>
    <w:rsid w:val="63FE062B"/>
    <w:rsid w:val="640406F8"/>
    <w:rsid w:val="64047D3A"/>
    <w:rsid w:val="64095351"/>
    <w:rsid w:val="64191377"/>
    <w:rsid w:val="64195594"/>
    <w:rsid w:val="64313DBA"/>
    <w:rsid w:val="64371EBE"/>
    <w:rsid w:val="64426454"/>
    <w:rsid w:val="644327AC"/>
    <w:rsid w:val="64780178"/>
    <w:rsid w:val="647F3A61"/>
    <w:rsid w:val="648669A1"/>
    <w:rsid w:val="648D7D30"/>
    <w:rsid w:val="649E1D86"/>
    <w:rsid w:val="64DF6D0B"/>
    <w:rsid w:val="64E63462"/>
    <w:rsid w:val="64EA053C"/>
    <w:rsid w:val="64FA1446"/>
    <w:rsid w:val="6505215C"/>
    <w:rsid w:val="653414D1"/>
    <w:rsid w:val="656F0784"/>
    <w:rsid w:val="65862D33"/>
    <w:rsid w:val="65BF660F"/>
    <w:rsid w:val="65D0263B"/>
    <w:rsid w:val="65F57F95"/>
    <w:rsid w:val="662B0AAA"/>
    <w:rsid w:val="663237D5"/>
    <w:rsid w:val="663808CC"/>
    <w:rsid w:val="664221AF"/>
    <w:rsid w:val="66B03550"/>
    <w:rsid w:val="66D84682"/>
    <w:rsid w:val="66DE6C8C"/>
    <w:rsid w:val="66DF3741"/>
    <w:rsid w:val="66F807A5"/>
    <w:rsid w:val="67086B75"/>
    <w:rsid w:val="67290C64"/>
    <w:rsid w:val="672D3448"/>
    <w:rsid w:val="676E42F8"/>
    <w:rsid w:val="67733E9F"/>
    <w:rsid w:val="6786774B"/>
    <w:rsid w:val="678B06FE"/>
    <w:rsid w:val="6791604A"/>
    <w:rsid w:val="679E3484"/>
    <w:rsid w:val="67BF46A4"/>
    <w:rsid w:val="67D13E9E"/>
    <w:rsid w:val="67D5211A"/>
    <w:rsid w:val="67EB36EB"/>
    <w:rsid w:val="68005401"/>
    <w:rsid w:val="680D70CB"/>
    <w:rsid w:val="68111148"/>
    <w:rsid w:val="682036CF"/>
    <w:rsid w:val="682824FA"/>
    <w:rsid w:val="685478FC"/>
    <w:rsid w:val="686243CF"/>
    <w:rsid w:val="688A38A9"/>
    <w:rsid w:val="68925915"/>
    <w:rsid w:val="68CB4D90"/>
    <w:rsid w:val="68EA4777"/>
    <w:rsid w:val="68F62B3F"/>
    <w:rsid w:val="6906412D"/>
    <w:rsid w:val="69421AFC"/>
    <w:rsid w:val="69591A89"/>
    <w:rsid w:val="697A1606"/>
    <w:rsid w:val="697A28D0"/>
    <w:rsid w:val="697A5E90"/>
    <w:rsid w:val="697E2CE7"/>
    <w:rsid w:val="698B7EE6"/>
    <w:rsid w:val="698E654E"/>
    <w:rsid w:val="69A34939"/>
    <w:rsid w:val="69BB6034"/>
    <w:rsid w:val="69BE2739"/>
    <w:rsid w:val="69BE3564"/>
    <w:rsid w:val="69C85992"/>
    <w:rsid w:val="69D14E52"/>
    <w:rsid w:val="69DE262F"/>
    <w:rsid w:val="6A014D71"/>
    <w:rsid w:val="6A0429A0"/>
    <w:rsid w:val="6A125764"/>
    <w:rsid w:val="6A1F1B6A"/>
    <w:rsid w:val="6A23573F"/>
    <w:rsid w:val="6A3E6FA1"/>
    <w:rsid w:val="6A4115E1"/>
    <w:rsid w:val="6A7639E9"/>
    <w:rsid w:val="6A867923"/>
    <w:rsid w:val="6A95793E"/>
    <w:rsid w:val="6ACF57D1"/>
    <w:rsid w:val="6AF17B4C"/>
    <w:rsid w:val="6B057169"/>
    <w:rsid w:val="6B274F03"/>
    <w:rsid w:val="6B2A554D"/>
    <w:rsid w:val="6B3373AD"/>
    <w:rsid w:val="6B4A48F6"/>
    <w:rsid w:val="6B5E4BD5"/>
    <w:rsid w:val="6B600921"/>
    <w:rsid w:val="6B7C465A"/>
    <w:rsid w:val="6B7F0DC6"/>
    <w:rsid w:val="6B7F7933"/>
    <w:rsid w:val="6B9A4005"/>
    <w:rsid w:val="6BB109A0"/>
    <w:rsid w:val="6BC70F99"/>
    <w:rsid w:val="6BE93D6D"/>
    <w:rsid w:val="6C1457E2"/>
    <w:rsid w:val="6C1D6FBB"/>
    <w:rsid w:val="6C272818"/>
    <w:rsid w:val="6C2E7759"/>
    <w:rsid w:val="6C494F37"/>
    <w:rsid w:val="6C5C6D44"/>
    <w:rsid w:val="6C5E0930"/>
    <w:rsid w:val="6C82360E"/>
    <w:rsid w:val="6C837C4C"/>
    <w:rsid w:val="6C8A6EE3"/>
    <w:rsid w:val="6C8F6511"/>
    <w:rsid w:val="6CAB45A0"/>
    <w:rsid w:val="6CB625AF"/>
    <w:rsid w:val="6CD469F7"/>
    <w:rsid w:val="6CF440B2"/>
    <w:rsid w:val="6D132990"/>
    <w:rsid w:val="6D226159"/>
    <w:rsid w:val="6D4B3523"/>
    <w:rsid w:val="6D4F1B57"/>
    <w:rsid w:val="6D6936F9"/>
    <w:rsid w:val="6D8819DC"/>
    <w:rsid w:val="6D8C00B5"/>
    <w:rsid w:val="6D8F0127"/>
    <w:rsid w:val="6DB91B96"/>
    <w:rsid w:val="6DC06F2A"/>
    <w:rsid w:val="6DEA24E6"/>
    <w:rsid w:val="6E14501E"/>
    <w:rsid w:val="6E2B2A93"/>
    <w:rsid w:val="6E3820EA"/>
    <w:rsid w:val="6E3F02ED"/>
    <w:rsid w:val="6E4C4DFD"/>
    <w:rsid w:val="6E5D5FF6"/>
    <w:rsid w:val="6E6D1C2E"/>
    <w:rsid w:val="6E7012D4"/>
    <w:rsid w:val="6E7D0909"/>
    <w:rsid w:val="6EAC6992"/>
    <w:rsid w:val="6F0A2C5E"/>
    <w:rsid w:val="6F322620"/>
    <w:rsid w:val="6F3419FB"/>
    <w:rsid w:val="6F416A7B"/>
    <w:rsid w:val="6F4F4ABA"/>
    <w:rsid w:val="6F514076"/>
    <w:rsid w:val="6F867D89"/>
    <w:rsid w:val="6FAB2F0B"/>
    <w:rsid w:val="6FC13A8B"/>
    <w:rsid w:val="6FD11419"/>
    <w:rsid w:val="6FFA009A"/>
    <w:rsid w:val="70017DBD"/>
    <w:rsid w:val="701647A6"/>
    <w:rsid w:val="7021134A"/>
    <w:rsid w:val="7076304A"/>
    <w:rsid w:val="7080548A"/>
    <w:rsid w:val="70DA254F"/>
    <w:rsid w:val="70E832F7"/>
    <w:rsid w:val="71031A43"/>
    <w:rsid w:val="710733A9"/>
    <w:rsid w:val="710B6E62"/>
    <w:rsid w:val="711545FD"/>
    <w:rsid w:val="71186749"/>
    <w:rsid w:val="711970D2"/>
    <w:rsid w:val="71281229"/>
    <w:rsid w:val="712B2E5B"/>
    <w:rsid w:val="7136051F"/>
    <w:rsid w:val="714A76D4"/>
    <w:rsid w:val="71AC6E24"/>
    <w:rsid w:val="71B614F5"/>
    <w:rsid w:val="71CB0C87"/>
    <w:rsid w:val="71CF3736"/>
    <w:rsid w:val="71D40827"/>
    <w:rsid w:val="71DC0A0B"/>
    <w:rsid w:val="71FC1A24"/>
    <w:rsid w:val="71FE4A65"/>
    <w:rsid w:val="72171289"/>
    <w:rsid w:val="723540CF"/>
    <w:rsid w:val="726E4BE1"/>
    <w:rsid w:val="7270142D"/>
    <w:rsid w:val="727268E0"/>
    <w:rsid w:val="729B5940"/>
    <w:rsid w:val="72C80DA9"/>
    <w:rsid w:val="72DB0CEA"/>
    <w:rsid w:val="72DE53E2"/>
    <w:rsid w:val="731955B0"/>
    <w:rsid w:val="732803A5"/>
    <w:rsid w:val="735E3B6D"/>
    <w:rsid w:val="735F0249"/>
    <w:rsid w:val="736F55F8"/>
    <w:rsid w:val="73797FE1"/>
    <w:rsid w:val="73850212"/>
    <w:rsid w:val="73B653AA"/>
    <w:rsid w:val="73BD54D3"/>
    <w:rsid w:val="73C80D84"/>
    <w:rsid w:val="73CA6B75"/>
    <w:rsid w:val="73F3740F"/>
    <w:rsid w:val="74416441"/>
    <w:rsid w:val="746B0426"/>
    <w:rsid w:val="74780551"/>
    <w:rsid w:val="74BF6315"/>
    <w:rsid w:val="74BF6EB5"/>
    <w:rsid w:val="74D80D6C"/>
    <w:rsid w:val="753419B2"/>
    <w:rsid w:val="753B6F5F"/>
    <w:rsid w:val="755B4F7E"/>
    <w:rsid w:val="757E1582"/>
    <w:rsid w:val="75894246"/>
    <w:rsid w:val="75B72E94"/>
    <w:rsid w:val="75BE06D4"/>
    <w:rsid w:val="75C90738"/>
    <w:rsid w:val="75CF01A8"/>
    <w:rsid w:val="760F4B0E"/>
    <w:rsid w:val="76124539"/>
    <w:rsid w:val="762628D8"/>
    <w:rsid w:val="762A57AA"/>
    <w:rsid w:val="7640342A"/>
    <w:rsid w:val="764068D9"/>
    <w:rsid w:val="765B4E6C"/>
    <w:rsid w:val="76606EC5"/>
    <w:rsid w:val="766C564F"/>
    <w:rsid w:val="767119C5"/>
    <w:rsid w:val="76877F89"/>
    <w:rsid w:val="76AB142F"/>
    <w:rsid w:val="76AB67CC"/>
    <w:rsid w:val="76B15B00"/>
    <w:rsid w:val="76C84BF7"/>
    <w:rsid w:val="76CA6BC2"/>
    <w:rsid w:val="76E25CB9"/>
    <w:rsid w:val="76E6308B"/>
    <w:rsid w:val="76F878A0"/>
    <w:rsid w:val="76FD03F6"/>
    <w:rsid w:val="77092FA1"/>
    <w:rsid w:val="77151511"/>
    <w:rsid w:val="77173054"/>
    <w:rsid w:val="771F0101"/>
    <w:rsid w:val="773579AE"/>
    <w:rsid w:val="773E3D34"/>
    <w:rsid w:val="77564344"/>
    <w:rsid w:val="77574B3F"/>
    <w:rsid w:val="77AF496B"/>
    <w:rsid w:val="77F32138"/>
    <w:rsid w:val="77FE6B23"/>
    <w:rsid w:val="782D634A"/>
    <w:rsid w:val="7844416F"/>
    <w:rsid w:val="7851372E"/>
    <w:rsid w:val="7871357B"/>
    <w:rsid w:val="787C3EEC"/>
    <w:rsid w:val="78993FAD"/>
    <w:rsid w:val="78B578A6"/>
    <w:rsid w:val="78BE386B"/>
    <w:rsid w:val="78C707A1"/>
    <w:rsid w:val="78CE3644"/>
    <w:rsid w:val="78D46D79"/>
    <w:rsid w:val="78F840C0"/>
    <w:rsid w:val="792B7DB1"/>
    <w:rsid w:val="7944148A"/>
    <w:rsid w:val="794B3FEA"/>
    <w:rsid w:val="797B2758"/>
    <w:rsid w:val="79997EC5"/>
    <w:rsid w:val="79A05224"/>
    <w:rsid w:val="79AE27CB"/>
    <w:rsid w:val="79C210C4"/>
    <w:rsid w:val="79D744BA"/>
    <w:rsid w:val="79E82189"/>
    <w:rsid w:val="79FB1332"/>
    <w:rsid w:val="7A042F4C"/>
    <w:rsid w:val="7A0D5EC0"/>
    <w:rsid w:val="7A2300E7"/>
    <w:rsid w:val="7A4B2197"/>
    <w:rsid w:val="7A6758E3"/>
    <w:rsid w:val="7A744123"/>
    <w:rsid w:val="7A756CD2"/>
    <w:rsid w:val="7A7C4FC9"/>
    <w:rsid w:val="7A9C4BB3"/>
    <w:rsid w:val="7AAC2DEA"/>
    <w:rsid w:val="7AF10738"/>
    <w:rsid w:val="7B01674D"/>
    <w:rsid w:val="7B0A3A31"/>
    <w:rsid w:val="7B0C0E0C"/>
    <w:rsid w:val="7B1D28A1"/>
    <w:rsid w:val="7B23727C"/>
    <w:rsid w:val="7B4A3390"/>
    <w:rsid w:val="7B733AD2"/>
    <w:rsid w:val="7B956415"/>
    <w:rsid w:val="7BAB6FC2"/>
    <w:rsid w:val="7BF67D1A"/>
    <w:rsid w:val="7C29279E"/>
    <w:rsid w:val="7C2A0DE7"/>
    <w:rsid w:val="7C345209"/>
    <w:rsid w:val="7C535805"/>
    <w:rsid w:val="7C8E7B52"/>
    <w:rsid w:val="7CB14B8C"/>
    <w:rsid w:val="7CC31B3D"/>
    <w:rsid w:val="7CCE2930"/>
    <w:rsid w:val="7CE23AF4"/>
    <w:rsid w:val="7CF766B2"/>
    <w:rsid w:val="7D017254"/>
    <w:rsid w:val="7D0E737F"/>
    <w:rsid w:val="7D1961AD"/>
    <w:rsid w:val="7D3E772C"/>
    <w:rsid w:val="7DA07278"/>
    <w:rsid w:val="7DB06B11"/>
    <w:rsid w:val="7DB43620"/>
    <w:rsid w:val="7DBB7C43"/>
    <w:rsid w:val="7DBF30E4"/>
    <w:rsid w:val="7DD669CF"/>
    <w:rsid w:val="7E357016"/>
    <w:rsid w:val="7E4163EA"/>
    <w:rsid w:val="7E586DBC"/>
    <w:rsid w:val="7E687AF0"/>
    <w:rsid w:val="7E891110"/>
    <w:rsid w:val="7E8D5E34"/>
    <w:rsid w:val="7E90249F"/>
    <w:rsid w:val="7EAB410B"/>
    <w:rsid w:val="7EC918F9"/>
    <w:rsid w:val="7EE10D70"/>
    <w:rsid w:val="7EE66563"/>
    <w:rsid w:val="7EFE453C"/>
    <w:rsid w:val="7F1D22C7"/>
    <w:rsid w:val="7F45694D"/>
    <w:rsid w:val="7F4C1176"/>
    <w:rsid w:val="7F5B485B"/>
    <w:rsid w:val="7F6018DF"/>
    <w:rsid w:val="7F882526"/>
    <w:rsid w:val="7F97131B"/>
    <w:rsid w:val="7FBF128D"/>
    <w:rsid w:val="7FC304C1"/>
    <w:rsid w:val="7FD8671F"/>
    <w:rsid w:val="7FE728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nhideWhenUsed="0" w:uiPriority="0" w:semiHidden="0" w:name="toc 2"/>
    <w:lsdException w:qFormat="1" w:unhideWhenUsed="0" w:uiPriority="0" w:semiHidden="0" w:name="toc 3"/>
    <w:lsdException w:unhideWhenUsed="0" w:uiPriority="0" w:semiHidden="0" w:name="toc 4"/>
    <w:lsdException w:qFormat="1" w:uiPriority="39"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qFormat="1" w:unhideWhenUsed="0" w:uiPriority="0" w:semiHidden="0" w:name="endnote text"/>
    <w:lsdException w:qFormat="1" w:unhideWhenUsed="0" w:uiPriority="0" w:semiHidden="0" w:name="table of authorities"/>
    <w:lsdException w:unhideWhenUsed="0" w:uiPriority="0" w:semiHidden="0" w:name="macro"/>
    <w:lsdException w:qFormat="1" w:uiPriority="99"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iPriority="99"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jc w:val="both"/>
    </w:pPr>
    <w:rPr>
      <w:rFonts w:ascii="Calibri" w:hAnsi="Calibri" w:eastAsia="仿宋_GB2312" w:cs="宋体"/>
      <w:color w:val="0815B8"/>
      <w:kern w:val="2"/>
      <w:sz w:val="32"/>
      <w:szCs w:val="22"/>
      <w:lang w:val="en-US" w:eastAsia="zh-CN" w:bidi="ar-SA"/>
    </w:rPr>
  </w:style>
  <w:style w:type="paragraph" w:styleId="3">
    <w:name w:val="heading 1"/>
    <w:basedOn w:val="1"/>
    <w:next w:val="1"/>
    <w:qFormat/>
    <w:uiPriority w:val="0"/>
    <w:pPr>
      <w:keepNext/>
      <w:keepLines/>
      <w:spacing w:before="120" w:after="120"/>
      <w:outlineLvl w:val="0"/>
    </w:pPr>
    <w:rPr>
      <w:b/>
      <w:bCs/>
      <w:kern w:val="44"/>
      <w:szCs w:val="44"/>
    </w:rPr>
  </w:style>
  <w:style w:type="paragraph" w:styleId="4">
    <w:name w:val="heading 2"/>
    <w:basedOn w:val="1"/>
    <w:next w:val="1"/>
    <w:unhideWhenUsed/>
    <w:qFormat/>
    <w:uiPriority w:val="0"/>
    <w:pPr>
      <w:keepNext/>
      <w:keepLines/>
      <w:spacing w:before="120" w:after="120"/>
      <w:ind w:firstLine="200"/>
      <w:outlineLvl w:val="1"/>
    </w:pPr>
    <w:rPr>
      <w:rFonts w:ascii="Cambria" w:hAnsi="Cambria"/>
      <w:b/>
      <w:bCs/>
      <w:sz w:val="30"/>
      <w:szCs w:val="32"/>
    </w:rPr>
  </w:style>
  <w:style w:type="paragraph" w:styleId="5">
    <w:name w:val="heading 3"/>
    <w:basedOn w:val="1"/>
    <w:next w:val="1"/>
    <w:unhideWhenUsed/>
    <w:qFormat/>
    <w:uiPriority w:val="0"/>
    <w:pPr>
      <w:keepNext/>
      <w:keepLines/>
      <w:spacing w:before="260" w:after="260" w:line="415" w:lineRule="auto"/>
      <w:ind w:firstLine="200" w:firstLineChars="200"/>
      <w:outlineLvl w:val="2"/>
    </w:pPr>
    <w:rPr>
      <w:rFonts w:ascii="Times New Roman" w:hAnsi="Times New Roman" w:cs="Times New Roman"/>
      <w:b/>
      <w:bCs/>
      <w:szCs w:val="32"/>
    </w:rPr>
  </w:style>
  <w:style w:type="paragraph" w:styleId="6">
    <w:name w:val="heading 4"/>
    <w:basedOn w:val="1"/>
    <w:next w:val="1"/>
    <w:unhideWhenUsed/>
    <w:qFormat/>
    <w:uiPriority w:val="9"/>
    <w:pPr>
      <w:keepNext/>
      <w:keepLines/>
      <w:spacing w:before="280" w:after="290" w:line="372" w:lineRule="auto"/>
      <w:outlineLvl w:val="3"/>
    </w:pPr>
    <w:rPr>
      <w:rFonts w:ascii="Arial" w:hAnsi="Arial" w:eastAsia="黑体"/>
      <w:b/>
      <w:sz w:val="28"/>
    </w:rPr>
  </w:style>
  <w:style w:type="character" w:default="1" w:styleId="27">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2">
    <w:name w:val="endnote text"/>
    <w:basedOn w:val="1"/>
    <w:qFormat/>
    <w:uiPriority w:val="0"/>
    <w:pPr>
      <w:snapToGrid w:val="0"/>
      <w:jc w:val="left"/>
    </w:pPr>
  </w:style>
  <w:style w:type="paragraph" w:styleId="7">
    <w:name w:val="table of authorities"/>
    <w:basedOn w:val="1"/>
    <w:next w:val="1"/>
    <w:qFormat/>
    <w:uiPriority w:val="0"/>
    <w:pPr>
      <w:ind w:left="200" w:leftChars="200"/>
    </w:pPr>
  </w:style>
  <w:style w:type="paragraph" w:styleId="8">
    <w:name w:val="Normal Indent"/>
    <w:basedOn w:val="1"/>
    <w:next w:val="1"/>
    <w:qFormat/>
    <w:uiPriority w:val="0"/>
    <w:pPr>
      <w:ind w:firstLine="420" w:firstLineChars="200"/>
    </w:pPr>
  </w:style>
  <w:style w:type="paragraph" w:styleId="9">
    <w:name w:val="toa heading"/>
    <w:basedOn w:val="1"/>
    <w:next w:val="1"/>
    <w:unhideWhenUsed/>
    <w:qFormat/>
    <w:uiPriority w:val="99"/>
    <w:pPr>
      <w:spacing w:before="120"/>
    </w:pPr>
    <w:rPr>
      <w:rFonts w:ascii="Cambria" w:hAnsi="Cambria"/>
      <w:sz w:val="24"/>
    </w:rPr>
  </w:style>
  <w:style w:type="paragraph" w:styleId="10">
    <w:name w:val="annotation text"/>
    <w:basedOn w:val="1"/>
    <w:unhideWhenUsed/>
    <w:qFormat/>
    <w:uiPriority w:val="99"/>
    <w:pPr>
      <w:jc w:val="left"/>
    </w:pPr>
  </w:style>
  <w:style w:type="paragraph" w:styleId="11">
    <w:name w:val="Body Text"/>
    <w:basedOn w:val="1"/>
    <w:next w:val="1"/>
    <w:qFormat/>
    <w:uiPriority w:val="99"/>
    <w:pPr>
      <w:spacing w:after="120" w:line="240" w:lineRule="auto"/>
    </w:pPr>
    <w:rPr>
      <w:rFonts w:asciiTheme="minorHAnsi" w:hAnsiTheme="minorHAnsi" w:eastAsiaTheme="minorEastAsia" w:cstheme="minorBidi"/>
      <w:sz w:val="21"/>
      <w:szCs w:val="24"/>
    </w:rPr>
  </w:style>
  <w:style w:type="paragraph" w:styleId="12">
    <w:name w:val="Body Text Indent"/>
    <w:basedOn w:val="1"/>
    <w:next w:val="13"/>
    <w:unhideWhenUsed/>
    <w:qFormat/>
    <w:uiPriority w:val="99"/>
    <w:pPr>
      <w:spacing w:after="120"/>
      <w:ind w:left="420" w:leftChars="200"/>
    </w:pPr>
    <w:rPr>
      <w:rFonts w:ascii="Times New Roman" w:hAnsi="Times New Roman" w:eastAsia="仿宋" w:cs="Times New Roman"/>
    </w:rPr>
  </w:style>
  <w:style w:type="paragraph" w:styleId="13">
    <w:name w:val="Body Text First Indent 2"/>
    <w:basedOn w:val="12"/>
    <w:next w:val="1"/>
    <w:unhideWhenUsed/>
    <w:qFormat/>
    <w:uiPriority w:val="99"/>
    <w:pPr>
      <w:ind w:firstLine="420" w:firstLineChars="200"/>
    </w:pPr>
  </w:style>
  <w:style w:type="paragraph" w:styleId="14">
    <w:name w:val="toc 5"/>
    <w:basedOn w:val="1"/>
    <w:next w:val="1"/>
    <w:unhideWhenUsed/>
    <w:qFormat/>
    <w:uiPriority w:val="39"/>
    <w:pPr>
      <w:ind w:left="1680" w:leftChars="800"/>
    </w:pPr>
  </w:style>
  <w:style w:type="paragraph" w:styleId="15">
    <w:name w:val="toc 3"/>
    <w:basedOn w:val="1"/>
    <w:next w:val="1"/>
    <w:qFormat/>
    <w:uiPriority w:val="0"/>
    <w:pPr>
      <w:ind w:left="840" w:leftChars="400"/>
    </w:pPr>
  </w:style>
  <w:style w:type="paragraph" w:styleId="16">
    <w:name w:val="Plain Text"/>
    <w:basedOn w:val="1"/>
    <w:next w:val="1"/>
    <w:qFormat/>
    <w:uiPriority w:val="0"/>
    <w:rPr>
      <w:rFonts w:ascii="宋体" w:hAnsi="Courier New" w:cs="Courier New"/>
      <w:szCs w:val="21"/>
    </w:rPr>
  </w:style>
  <w:style w:type="paragraph" w:styleId="17">
    <w:name w:val="Body Text Indent 2"/>
    <w:basedOn w:val="1"/>
    <w:unhideWhenUsed/>
    <w:qFormat/>
    <w:uiPriority w:val="99"/>
    <w:pPr>
      <w:ind w:firstLine="480" w:firstLineChars="200"/>
    </w:pPr>
    <w:rPr>
      <w:rFonts w:hint="eastAsia"/>
      <w:sz w:val="24"/>
    </w:rPr>
  </w:style>
  <w:style w:type="paragraph" w:styleId="18">
    <w:name w:val="footer"/>
    <w:basedOn w:val="1"/>
    <w:qFormat/>
    <w:uiPriority w:val="99"/>
    <w:pPr>
      <w:tabs>
        <w:tab w:val="center" w:pos="4153"/>
        <w:tab w:val="right" w:pos="8306"/>
      </w:tabs>
      <w:snapToGrid w:val="0"/>
      <w:jc w:val="left"/>
    </w:pPr>
    <w:rPr>
      <w:sz w:val="18"/>
      <w:szCs w:val="18"/>
    </w:rPr>
  </w:style>
  <w:style w:type="paragraph" w:styleId="19">
    <w:name w:val="header"/>
    <w:basedOn w:val="1"/>
    <w:next w:val="18"/>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paragraph" w:styleId="20">
    <w:name w:val="toc 1"/>
    <w:basedOn w:val="1"/>
    <w:next w:val="1"/>
    <w:unhideWhenUsed/>
    <w:qFormat/>
    <w:uiPriority w:val="39"/>
    <w:pPr>
      <w:tabs>
        <w:tab w:val="right" w:leader="hyphen" w:pos="8296"/>
      </w:tabs>
      <w:outlineLvl w:val="0"/>
    </w:pPr>
    <w:rPr>
      <w:rFonts w:ascii="黑体" w:hAnsi="黑体" w:eastAsia="黑体"/>
      <w:sz w:val="28"/>
      <w:szCs w:val="20"/>
    </w:rPr>
  </w:style>
  <w:style w:type="paragraph" w:styleId="21">
    <w:name w:val="toc 2"/>
    <w:basedOn w:val="1"/>
    <w:next w:val="1"/>
    <w:qFormat/>
    <w:uiPriority w:val="0"/>
    <w:pPr>
      <w:ind w:left="420" w:leftChars="200"/>
    </w:pPr>
  </w:style>
  <w:style w:type="paragraph" w:styleId="22">
    <w:name w:val="Body Text 2"/>
    <w:basedOn w:val="1"/>
    <w:qFormat/>
    <w:uiPriority w:val="0"/>
    <w:pPr>
      <w:spacing w:after="120" w:line="480" w:lineRule="auto"/>
    </w:pPr>
  </w:style>
  <w:style w:type="paragraph" w:styleId="23">
    <w:name w:val="Normal (Web)"/>
    <w:basedOn w:val="1"/>
    <w:qFormat/>
    <w:uiPriority w:val="0"/>
    <w:pPr>
      <w:spacing w:beforeAutospacing="1" w:afterAutospacing="1"/>
      <w:jc w:val="left"/>
    </w:pPr>
    <w:rPr>
      <w:rFonts w:cs="Times New Roman"/>
      <w:kern w:val="0"/>
      <w:sz w:val="24"/>
    </w:rPr>
  </w:style>
  <w:style w:type="paragraph" w:styleId="24">
    <w:name w:val="Body Text First Indent"/>
    <w:basedOn w:val="11"/>
    <w:qFormat/>
    <w:uiPriority w:val="0"/>
    <w:pPr>
      <w:ind w:firstLine="420" w:firstLineChars="100"/>
    </w:pPr>
  </w:style>
  <w:style w:type="table" w:styleId="26">
    <w:name w:val="Table Grid"/>
    <w:basedOn w:val="2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basedOn w:val="27"/>
    <w:qFormat/>
    <w:uiPriority w:val="0"/>
    <w:rPr>
      <w:b/>
      <w:bCs/>
    </w:rPr>
  </w:style>
  <w:style w:type="character" w:styleId="29">
    <w:name w:val="page number"/>
    <w:basedOn w:val="27"/>
    <w:qFormat/>
    <w:uiPriority w:val="0"/>
  </w:style>
  <w:style w:type="character" w:styleId="30">
    <w:name w:val="FollowedHyperlink"/>
    <w:basedOn w:val="27"/>
    <w:qFormat/>
    <w:uiPriority w:val="0"/>
    <w:rPr>
      <w:color w:val="800080"/>
      <w:u w:val="none"/>
    </w:rPr>
  </w:style>
  <w:style w:type="character" w:styleId="31">
    <w:name w:val="Emphasis"/>
    <w:basedOn w:val="27"/>
    <w:qFormat/>
    <w:uiPriority w:val="0"/>
  </w:style>
  <w:style w:type="character" w:styleId="32">
    <w:name w:val="HTML Definition"/>
    <w:basedOn w:val="27"/>
    <w:qFormat/>
    <w:uiPriority w:val="0"/>
  </w:style>
  <w:style w:type="character" w:styleId="33">
    <w:name w:val="HTML Acronym"/>
    <w:basedOn w:val="27"/>
    <w:qFormat/>
    <w:uiPriority w:val="0"/>
  </w:style>
  <w:style w:type="character" w:styleId="34">
    <w:name w:val="HTML Variable"/>
    <w:basedOn w:val="27"/>
    <w:qFormat/>
    <w:uiPriority w:val="0"/>
  </w:style>
  <w:style w:type="character" w:styleId="35">
    <w:name w:val="Hyperlink"/>
    <w:basedOn w:val="27"/>
    <w:qFormat/>
    <w:uiPriority w:val="0"/>
    <w:rPr>
      <w:color w:val="0000FF"/>
      <w:u w:val="none"/>
    </w:rPr>
  </w:style>
  <w:style w:type="character" w:styleId="36">
    <w:name w:val="HTML Code"/>
    <w:basedOn w:val="27"/>
    <w:qFormat/>
    <w:uiPriority w:val="0"/>
    <w:rPr>
      <w:rFonts w:hint="default" w:ascii="Consolas" w:hAnsi="Consolas" w:eastAsia="Consolas" w:cs="Consolas"/>
      <w:color w:val="C7254E"/>
      <w:sz w:val="21"/>
      <w:szCs w:val="21"/>
      <w:shd w:val="clear" w:color="auto" w:fill="F9F2F4"/>
    </w:rPr>
  </w:style>
  <w:style w:type="character" w:styleId="37">
    <w:name w:val="annotation reference"/>
    <w:basedOn w:val="27"/>
    <w:qFormat/>
    <w:uiPriority w:val="0"/>
    <w:rPr>
      <w:rFonts w:ascii="Tahoma" w:hAnsi="Tahoma"/>
      <w:sz w:val="21"/>
      <w:szCs w:val="21"/>
    </w:rPr>
  </w:style>
  <w:style w:type="character" w:styleId="38">
    <w:name w:val="HTML Cite"/>
    <w:basedOn w:val="27"/>
    <w:qFormat/>
    <w:uiPriority w:val="0"/>
  </w:style>
  <w:style w:type="character" w:styleId="39">
    <w:name w:val="HTML Keyboard"/>
    <w:basedOn w:val="27"/>
    <w:qFormat/>
    <w:uiPriority w:val="0"/>
    <w:rPr>
      <w:rFonts w:hint="default" w:ascii="Consolas" w:hAnsi="Consolas" w:eastAsia="Consolas" w:cs="Consolas"/>
      <w:color w:val="FFFFFF"/>
      <w:sz w:val="21"/>
      <w:szCs w:val="21"/>
      <w:shd w:val="clear" w:color="auto" w:fill="333333"/>
    </w:rPr>
  </w:style>
  <w:style w:type="character" w:styleId="40">
    <w:name w:val="HTML Sample"/>
    <w:basedOn w:val="27"/>
    <w:qFormat/>
    <w:uiPriority w:val="0"/>
    <w:rPr>
      <w:rFonts w:ascii="Consolas" w:hAnsi="Consolas" w:eastAsia="Consolas" w:cs="Consolas"/>
      <w:sz w:val="21"/>
      <w:szCs w:val="21"/>
    </w:rPr>
  </w:style>
  <w:style w:type="paragraph" w:customStyle="1" w:styleId="41">
    <w:name w:val="正文缩进1"/>
    <w:basedOn w:val="1"/>
    <w:qFormat/>
    <w:uiPriority w:val="0"/>
    <w:pPr>
      <w:ind w:firstLine="420" w:firstLineChars="200"/>
    </w:pPr>
  </w:style>
  <w:style w:type="paragraph" w:customStyle="1" w:styleId="42">
    <w:name w:val="Normal Indent1"/>
    <w:basedOn w:val="43"/>
    <w:next w:val="16"/>
    <w:qFormat/>
    <w:uiPriority w:val="0"/>
    <w:pPr>
      <w:ind w:firstLine="420" w:firstLineChars="200"/>
    </w:pPr>
    <w:rPr>
      <w:rFonts w:ascii="Calibri" w:hAnsi="Calibri"/>
      <w:szCs w:val="21"/>
    </w:rPr>
  </w:style>
  <w:style w:type="paragraph" w:customStyle="1" w:styleId="43">
    <w:name w:val="正文 New New New"/>
    <w:next w:val="42"/>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4">
    <w:name w:val="Body Text First Indent 21"/>
    <w:basedOn w:val="45"/>
    <w:qFormat/>
    <w:uiPriority w:val="0"/>
    <w:pPr>
      <w:ind w:firstLine="420" w:firstLineChars="200"/>
    </w:pPr>
  </w:style>
  <w:style w:type="paragraph" w:customStyle="1" w:styleId="45">
    <w:name w:val="Body Text Indent1"/>
    <w:basedOn w:val="1"/>
    <w:qFormat/>
    <w:uiPriority w:val="0"/>
    <w:pPr>
      <w:ind w:left="420" w:leftChars="200"/>
    </w:pPr>
  </w:style>
  <w:style w:type="character" w:customStyle="1" w:styleId="46">
    <w:name w:val="lable"/>
    <w:basedOn w:val="27"/>
    <w:qFormat/>
    <w:uiPriority w:val="0"/>
    <w:rPr>
      <w:sz w:val="24"/>
      <w:szCs w:val="24"/>
    </w:rPr>
  </w:style>
  <w:style w:type="character" w:customStyle="1" w:styleId="47">
    <w:name w:val="xkrs"/>
    <w:basedOn w:val="27"/>
    <w:qFormat/>
    <w:uiPriority w:val="0"/>
  </w:style>
  <w:style w:type="character" w:customStyle="1" w:styleId="48">
    <w:name w:val="xss"/>
    <w:basedOn w:val="27"/>
    <w:qFormat/>
    <w:uiPriority w:val="0"/>
  </w:style>
  <w:style w:type="character" w:customStyle="1" w:styleId="49">
    <w:name w:val="desc"/>
    <w:basedOn w:val="27"/>
    <w:qFormat/>
    <w:uiPriority w:val="0"/>
    <w:rPr>
      <w:color w:val="FC0606"/>
      <w:sz w:val="24"/>
      <w:szCs w:val="24"/>
    </w:rPr>
  </w:style>
  <w:style w:type="character" w:customStyle="1" w:styleId="50">
    <w:name w:val="bszn"/>
    <w:basedOn w:val="27"/>
    <w:qFormat/>
    <w:uiPriority w:val="0"/>
    <w:rPr>
      <w:vanish/>
    </w:rPr>
  </w:style>
  <w:style w:type="character" w:customStyle="1" w:styleId="51">
    <w:name w:val="bszn1"/>
    <w:basedOn w:val="27"/>
    <w:qFormat/>
    <w:uiPriority w:val="0"/>
  </w:style>
  <w:style w:type="character" w:customStyle="1" w:styleId="52">
    <w:name w:val="bszn2"/>
    <w:basedOn w:val="27"/>
    <w:qFormat/>
    <w:uiPriority w:val="0"/>
    <w:rPr>
      <w:vanish/>
    </w:rPr>
  </w:style>
  <w:style w:type="character" w:customStyle="1" w:styleId="53">
    <w:name w:val="bszn3"/>
    <w:basedOn w:val="27"/>
    <w:qFormat/>
    <w:uiPriority w:val="0"/>
  </w:style>
  <w:style w:type="character" w:customStyle="1" w:styleId="54">
    <w:name w:val="o2"/>
    <w:basedOn w:val="27"/>
    <w:qFormat/>
    <w:uiPriority w:val="0"/>
    <w:rPr>
      <w:sz w:val="0"/>
      <w:szCs w:val="0"/>
    </w:rPr>
  </w:style>
  <w:style w:type="character" w:customStyle="1" w:styleId="55">
    <w:name w:val="tab"/>
    <w:basedOn w:val="27"/>
    <w:qFormat/>
    <w:uiPriority w:val="0"/>
    <w:rPr>
      <w:color w:val="A4BCD6"/>
    </w:rPr>
  </w:style>
  <w:style w:type="character" w:customStyle="1" w:styleId="56">
    <w:name w:val="o4"/>
    <w:basedOn w:val="27"/>
    <w:qFormat/>
    <w:uiPriority w:val="0"/>
    <w:rPr>
      <w:sz w:val="0"/>
      <w:szCs w:val="0"/>
    </w:rPr>
  </w:style>
  <w:style w:type="character" w:customStyle="1" w:styleId="57">
    <w:name w:val="o1"/>
    <w:basedOn w:val="27"/>
    <w:qFormat/>
    <w:uiPriority w:val="0"/>
    <w:rPr>
      <w:sz w:val="0"/>
      <w:szCs w:val="0"/>
    </w:rPr>
  </w:style>
  <w:style w:type="character" w:customStyle="1" w:styleId="58">
    <w:name w:val="o3"/>
    <w:basedOn w:val="27"/>
    <w:qFormat/>
    <w:uiPriority w:val="0"/>
    <w:rPr>
      <w:sz w:val="0"/>
      <w:szCs w:val="0"/>
    </w:rPr>
  </w:style>
  <w:style w:type="character" w:customStyle="1" w:styleId="59">
    <w:name w:val="zy_fdq"/>
    <w:basedOn w:val="27"/>
    <w:qFormat/>
    <w:uiPriority w:val="0"/>
  </w:style>
  <w:style w:type="character" w:customStyle="1" w:styleId="60">
    <w:name w:val="left-cap"/>
    <w:basedOn w:val="27"/>
    <w:qFormat/>
    <w:uiPriority w:val="0"/>
  </w:style>
  <w:style w:type="character" w:customStyle="1" w:styleId="61">
    <w:name w:val="last-child"/>
    <w:basedOn w:val="27"/>
    <w:qFormat/>
    <w:uiPriority w:val="0"/>
  </w:style>
  <w:style w:type="character" w:customStyle="1" w:styleId="62">
    <w:name w:val="right-cap"/>
    <w:basedOn w:val="27"/>
    <w:qFormat/>
    <w:uiPriority w:val="0"/>
  </w:style>
  <w:style w:type="character" w:customStyle="1" w:styleId="63">
    <w:name w:val="first-child"/>
    <w:basedOn w:val="27"/>
    <w:qFormat/>
    <w:uiPriority w:val="0"/>
    <w:rPr>
      <w:sz w:val="21"/>
      <w:szCs w:val="21"/>
    </w:rPr>
  </w:style>
  <w:style w:type="character" w:customStyle="1" w:styleId="64">
    <w:name w:val="subt"/>
    <w:basedOn w:val="27"/>
    <w:qFormat/>
    <w:uiPriority w:val="0"/>
    <w:rPr>
      <w:rFonts w:ascii="宋体" w:hAnsi="宋体" w:eastAsia="宋体" w:cs="宋体"/>
      <w:color w:val="333333"/>
      <w:sz w:val="39"/>
      <w:szCs w:val="39"/>
    </w:rPr>
  </w:style>
  <w:style w:type="character" w:customStyle="1" w:styleId="65">
    <w:name w:val="rm"/>
    <w:basedOn w:val="27"/>
    <w:qFormat/>
    <w:uiPriority w:val="0"/>
    <w:rPr>
      <w:color w:val="D86C1D"/>
      <w:sz w:val="18"/>
      <w:szCs w:val="18"/>
    </w:rPr>
  </w:style>
  <w:style w:type="character" w:customStyle="1" w:styleId="66">
    <w:name w:val="la"/>
    <w:basedOn w:val="27"/>
    <w:qFormat/>
    <w:uiPriority w:val="0"/>
    <w:rPr>
      <w:color w:val="FFFFFF"/>
      <w:sz w:val="27"/>
      <w:szCs w:val="27"/>
      <w:shd w:val="clear" w:color="auto" w:fill="4062C1"/>
    </w:rPr>
  </w:style>
  <w:style w:type="character" w:customStyle="1" w:styleId="67">
    <w:name w:val="t"/>
    <w:basedOn w:val="27"/>
    <w:qFormat/>
    <w:uiPriority w:val="0"/>
    <w:rPr>
      <w:b/>
      <w:bCs/>
    </w:rPr>
  </w:style>
  <w:style w:type="character" w:customStyle="1" w:styleId="68">
    <w:name w:val="t1"/>
    <w:basedOn w:val="27"/>
    <w:qFormat/>
    <w:uiPriority w:val="0"/>
    <w:rPr>
      <w:sz w:val="27"/>
      <w:szCs w:val="27"/>
    </w:rPr>
  </w:style>
  <w:style w:type="character" w:customStyle="1" w:styleId="69">
    <w:name w:val="t2"/>
    <w:basedOn w:val="27"/>
    <w:qFormat/>
    <w:uiPriority w:val="0"/>
    <w:rPr>
      <w:color w:val="1C3E9D"/>
      <w:sz w:val="27"/>
      <w:szCs w:val="27"/>
    </w:rPr>
  </w:style>
  <w:style w:type="character" w:customStyle="1" w:styleId="70">
    <w:name w:val="t3"/>
    <w:basedOn w:val="27"/>
    <w:qFormat/>
    <w:uiPriority w:val="0"/>
    <w:rPr>
      <w:color w:val="207393"/>
      <w:sz w:val="24"/>
      <w:szCs w:val="24"/>
    </w:rPr>
  </w:style>
  <w:style w:type="character" w:customStyle="1" w:styleId="71">
    <w:name w:val="t4"/>
    <w:basedOn w:val="27"/>
    <w:qFormat/>
    <w:uiPriority w:val="0"/>
    <w:rPr>
      <w:sz w:val="27"/>
      <w:szCs w:val="27"/>
    </w:rPr>
  </w:style>
  <w:style w:type="character" w:customStyle="1" w:styleId="72">
    <w:name w:val="t5"/>
    <w:basedOn w:val="27"/>
    <w:qFormat/>
    <w:uiPriority w:val="0"/>
    <w:rPr>
      <w:sz w:val="27"/>
      <w:szCs w:val="27"/>
    </w:rPr>
  </w:style>
  <w:style w:type="character" w:customStyle="1" w:styleId="73">
    <w:name w:val="t6"/>
    <w:basedOn w:val="27"/>
    <w:qFormat/>
    <w:uiPriority w:val="0"/>
    <w:rPr>
      <w:color w:val="213F93"/>
      <w:sz w:val="42"/>
      <w:szCs w:val="42"/>
    </w:rPr>
  </w:style>
  <w:style w:type="character" w:customStyle="1" w:styleId="74">
    <w:name w:val="t7"/>
    <w:basedOn w:val="27"/>
    <w:qFormat/>
    <w:uiPriority w:val="0"/>
    <w:rPr>
      <w:sz w:val="27"/>
      <w:szCs w:val="27"/>
    </w:rPr>
  </w:style>
  <w:style w:type="character" w:customStyle="1" w:styleId="75">
    <w:name w:val="t8"/>
    <w:basedOn w:val="27"/>
    <w:qFormat/>
    <w:uiPriority w:val="0"/>
  </w:style>
  <w:style w:type="character" w:customStyle="1" w:styleId="76">
    <w:name w:val="t9"/>
    <w:basedOn w:val="27"/>
    <w:qFormat/>
    <w:uiPriority w:val="0"/>
    <w:rPr>
      <w:color w:val="FFFFFF"/>
      <w:spacing w:val="75"/>
      <w:sz w:val="48"/>
      <w:szCs w:val="48"/>
    </w:rPr>
  </w:style>
  <w:style w:type="character" w:customStyle="1" w:styleId="77">
    <w:name w:val="active"/>
    <w:basedOn w:val="27"/>
    <w:qFormat/>
    <w:uiPriority w:val="0"/>
    <w:rPr>
      <w:color w:val="FFFFFF"/>
      <w:shd w:val="clear" w:color="auto" w:fill="547EC2"/>
    </w:rPr>
  </w:style>
  <w:style w:type="character" w:customStyle="1" w:styleId="78">
    <w:name w:val="active1"/>
    <w:basedOn w:val="27"/>
    <w:qFormat/>
    <w:uiPriority w:val="0"/>
    <w:rPr>
      <w:color w:val="FFFFFF"/>
      <w:bdr w:val="single" w:color="FFFFFF" w:sz="6" w:space="0"/>
      <w:shd w:val="clear" w:color="auto" w:fill="244FAC"/>
    </w:rPr>
  </w:style>
  <w:style w:type="character" w:customStyle="1" w:styleId="79">
    <w:name w:val="active2"/>
    <w:basedOn w:val="27"/>
    <w:qFormat/>
    <w:uiPriority w:val="0"/>
    <w:rPr>
      <w:shd w:val="clear" w:color="auto" w:fill="527DC4"/>
    </w:rPr>
  </w:style>
  <w:style w:type="character" w:customStyle="1" w:styleId="80">
    <w:name w:val="fr2"/>
    <w:basedOn w:val="27"/>
    <w:qFormat/>
    <w:uiPriority w:val="0"/>
    <w:rPr>
      <w:color w:val="999999"/>
    </w:rPr>
  </w:style>
  <w:style w:type="character" w:customStyle="1" w:styleId="81">
    <w:name w:val="a_p_1"/>
    <w:basedOn w:val="27"/>
    <w:qFormat/>
    <w:uiPriority w:val="0"/>
    <w:rPr>
      <w:sz w:val="27"/>
      <w:szCs w:val="27"/>
    </w:rPr>
  </w:style>
  <w:style w:type="character" w:customStyle="1" w:styleId="82">
    <w:name w:val="bsharetext"/>
    <w:basedOn w:val="27"/>
    <w:qFormat/>
    <w:uiPriority w:val="0"/>
  </w:style>
  <w:style w:type="character" w:customStyle="1" w:styleId="83">
    <w:name w:val="ly"/>
    <w:basedOn w:val="27"/>
    <w:qFormat/>
    <w:uiPriority w:val="0"/>
    <w:rPr>
      <w:color w:val="999999"/>
    </w:rPr>
  </w:style>
  <w:style w:type="character" w:customStyle="1" w:styleId="84">
    <w:name w:val="a_p_3"/>
    <w:basedOn w:val="27"/>
    <w:qFormat/>
    <w:uiPriority w:val="0"/>
    <w:rPr>
      <w:sz w:val="27"/>
      <w:szCs w:val="27"/>
    </w:rPr>
  </w:style>
  <w:style w:type="character" w:customStyle="1" w:styleId="85">
    <w:name w:val="a_p_2"/>
    <w:basedOn w:val="27"/>
    <w:qFormat/>
    <w:uiPriority w:val="0"/>
  </w:style>
  <w:style w:type="character" w:customStyle="1" w:styleId="86">
    <w:name w:val="a_p_21"/>
    <w:basedOn w:val="27"/>
    <w:qFormat/>
    <w:uiPriority w:val="0"/>
    <w:rPr>
      <w:sz w:val="27"/>
      <w:szCs w:val="27"/>
    </w:rPr>
  </w:style>
  <w:style w:type="character" w:customStyle="1" w:styleId="87">
    <w:name w:val="tm"/>
    <w:basedOn w:val="27"/>
    <w:qFormat/>
    <w:uiPriority w:val="0"/>
    <w:rPr>
      <w:color w:val="999999"/>
    </w:rPr>
  </w:style>
  <w:style w:type="character" w:customStyle="1" w:styleId="88">
    <w:name w:val="rt"/>
    <w:basedOn w:val="27"/>
    <w:qFormat/>
    <w:uiPriority w:val="0"/>
    <w:rPr>
      <w:color w:val="999999"/>
    </w:rPr>
  </w:style>
  <w:style w:type="character" w:customStyle="1" w:styleId="89">
    <w:name w:val="qw"/>
    <w:basedOn w:val="27"/>
    <w:qFormat/>
    <w:uiPriority w:val="0"/>
    <w:rPr>
      <w:color w:val="5786C8"/>
      <w:sz w:val="21"/>
      <w:szCs w:val="21"/>
    </w:rPr>
  </w:style>
  <w:style w:type="character" w:customStyle="1" w:styleId="90">
    <w:name w:val="zj"/>
    <w:basedOn w:val="27"/>
    <w:qFormat/>
    <w:uiPriority w:val="0"/>
    <w:rPr>
      <w:color w:val="FFFFFF"/>
      <w:sz w:val="18"/>
      <w:szCs w:val="18"/>
      <w:shd w:val="clear" w:color="auto" w:fill="C33B51"/>
    </w:rPr>
  </w:style>
  <w:style w:type="character" w:customStyle="1" w:styleId="91">
    <w:name w:val="ti"/>
    <w:basedOn w:val="27"/>
    <w:qFormat/>
    <w:uiPriority w:val="0"/>
    <w:rPr>
      <w:sz w:val="18"/>
      <w:szCs w:val="18"/>
    </w:rPr>
  </w:style>
  <w:style w:type="character" w:customStyle="1" w:styleId="92">
    <w:name w:val="ul_li_a_1"/>
    <w:basedOn w:val="27"/>
    <w:qFormat/>
    <w:uiPriority w:val="0"/>
    <w:rPr>
      <w:b/>
      <w:bCs/>
      <w:color w:val="FFFFFF"/>
    </w:rPr>
  </w:style>
  <w:style w:type="character" w:customStyle="1" w:styleId="93">
    <w:name w:val="exap"/>
    <w:basedOn w:val="27"/>
    <w:qFormat/>
    <w:uiPriority w:val="0"/>
    <w:rPr>
      <w:sz w:val="27"/>
      <w:szCs w:val="27"/>
    </w:rPr>
  </w:style>
  <w:style w:type="character" w:customStyle="1" w:styleId="94">
    <w:name w:val="time"/>
    <w:basedOn w:val="27"/>
    <w:qFormat/>
    <w:uiPriority w:val="0"/>
    <w:rPr>
      <w:rFonts w:ascii="Arial" w:hAnsi="Arial" w:cs="Arial"/>
    </w:rPr>
  </w:style>
  <w:style w:type="character" w:customStyle="1" w:styleId="95">
    <w:name w:val="before"/>
    <w:basedOn w:val="27"/>
    <w:qFormat/>
    <w:uiPriority w:val="0"/>
  </w:style>
  <w:style w:type="character" w:customStyle="1" w:styleId="96">
    <w:name w:val="select2-selection__rendered"/>
    <w:basedOn w:val="27"/>
    <w:qFormat/>
    <w:uiPriority w:val="0"/>
    <w:rPr>
      <w:sz w:val="18"/>
      <w:szCs w:val="18"/>
    </w:rPr>
  </w:style>
  <w:style w:type="character" w:customStyle="1" w:styleId="97">
    <w:name w:val="after2"/>
    <w:basedOn w:val="27"/>
    <w:qFormat/>
    <w:uiPriority w:val="0"/>
    <w:rPr>
      <w:bdr w:val="single" w:color="auto" w:sz="36" w:space="0"/>
    </w:rPr>
  </w:style>
  <w:style w:type="character" w:customStyle="1" w:styleId="98">
    <w:name w:val="last-child4"/>
    <w:basedOn w:val="27"/>
    <w:qFormat/>
    <w:uiPriority w:val="0"/>
  </w:style>
  <w:style w:type="character" w:customStyle="1" w:styleId="99">
    <w:name w:val="after"/>
    <w:basedOn w:val="27"/>
    <w:qFormat/>
    <w:uiPriority w:val="0"/>
    <w:rPr>
      <w:bdr w:val="single" w:color="auto" w:sz="36" w:space="0"/>
    </w:rPr>
  </w:style>
  <w:style w:type="character" w:customStyle="1" w:styleId="100">
    <w:name w:val="before4"/>
    <w:basedOn w:val="27"/>
    <w:qFormat/>
    <w:uiPriority w:val="0"/>
  </w:style>
  <w:style w:type="character" w:customStyle="1" w:styleId="101">
    <w:name w:val="buvis"/>
    <w:basedOn w:val="27"/>
    <w:qFormat/>
    <w:uiPriority w:val="0"/>
    <w:rPr>
      <w:color w:val="999999"/>
    </w:rPr>
  </w:style>
  <w:style w:type="character" w:customStyle="1" w:styleId="102">
    <w:name w:val="buvis1"/>
    <w:basedOn w:val="27"/>
    <w:qFormat/>
    <w:uiPriority w:val="0"/>
    <w:rPr>
      <w:color w:val="CC0000"/>
    </w:rPr>
  </w:style>
  <w:style w:type="character" w:customStyle="1" w:styleId="103">
    <w:name w:val="datetime"/>
    <w:basedOn w:val="27"/>
    <w:qFormat/>
    <w:uiPriority w:val="0"/>
    <w:rPr>
      <w:rFonts w:hint="default" w:ascii="Arial" w:hAnsi="Arial" w:cs="Arial"/>
      <w:color w:val="999999"/>
      <w:sz w:val="21"/>
      <w:szCs w:val="21"/>
    </w:rPr>
  </w:style>
  <w:style w:type="character" w:customStyle="1" w:styleId="104">
    <w:name w:val="fr"/>
    <w:basedOn w:val="27"/>
    <w:qFormat/>
    <w:uiPriority w:val="0"/>
    <w:rPr>
      <w:color w:val="999999"/>
    </w:rPr>
  </w:style>
  <w:style w:type="character" w:customStyle="1" w:styleId="105">
    <w:name w:val="num"/>
    <w:basedOn w:val="27"/>
    <w:qFormat/>
    <w:uiPriority w:val="0"/>
  </w:style>
  <w:style w:type="character" w:customStyle="1" w:styleId="106">
    <w:name w:val="unit"/>
    <w:basedOn w:val="27"/>
    <w:qFormat/>
    <w:uiPriority w:val="0"/>
  </w:style>
  <w:style w:type="character" w:customStyle="1" w:styleId="107">
    <w:name w:val="unit1"/>
    <w:basedOn w:val="27"/>
    <w:qFormat/>
    <w:uiPriority w:val="0"/>
  </w:style>
  <w:style w:type="character" w:customStyle="1" w:styleId="108">
    <w:name w:val="count1"/>
    <w:basedOn w:val="27"/>
    <w:qFormat/>
    <w:uiPriority w:val="0"/>
  </w:style>
  <w:style w:type="character" w:customStyle="1" w:styleId="109">
    <w:name w:val="count11"/>
    <w:basedOn w:val="27"/>
    <w:qFormat/>
    <w:uiPriority w:val="0"/>
  </w:style>
  <w:style w:type="character" w:customStyle="1" w:styleId="110">
    <w:name w:val="chart"/>
    <w:basedOn w:val="27"/>
    <w:qFormat/>
    <w:uiPriority w:val="0"/>
  </w:style>
  <w:style w:type="character" w:customStyle="1" w:styleId="111">
    <w:name w:val="btn7"/>
    <w:basedOn w:val="27"/>
    <w:qFormat/>
    <w:uiPriority w:val="0"/>
  </w:style>
  <w:style w:type="character" w:customStyle="1" w:styleId="112">
    <w:name w:val="btn8"/>
    <w:basedOn w:val="27"/>
    <w:qFormat/>
    <w:uiPriority w:val="0"/>
  </w:style>
  <w:style w:type="character" w:customStyle="1" w:styleId="113">
    <w:name w:val="btnl"/>
    <w:basedOn w:val="27"/>
    <w:qFormat/>
    <w:uiPriority w:val="0"/>
  </w:style>
  <w:style w:type="character" w:customStyle="1" w:styleId="114">
    <w:name w:val="btnl1"/>
    <w:basedOn w:val="27"/>
    <w:qFormat/>
    <w:uiPriority w:val="0"/>
  </w:style>
  <w:style w:type="character" w:customStyle="1" w:styleId="115">
    <w:name w:val="btnr"/>
    <w:basedOn w:val="27"/>
    <w:qFormat/>
    <w:uiPriority w:val="0"/>
  </w:style>
  <w:style w:type="character" w:customStyle="1" w:styleId="116">
    <w:name w:val="btnr1"/>
    <w:basedOn w:val="27"/>
    <w:qFormat/>
    <w:uiPriority w:val="0"/>
  </w:style>
  <w:style w:type="character" w:customStyle="1" w:styleId="117">
    <w:name w:val="count2"/>
    <w:basedOn w:val="27"/>
    <w:qFormat/>
    <w:uiPriority w:val="0"/>
  </w:style>
  <w:style w:type="character" w:customStyle="1" w:styleId="118">
    <w:name w:val="count21"/>
    <w:basedOn w:val="27"/>
    <w:qFormat/>
    <w:uiPriority w:val="0"/>
  </w:style>
  <w:style w:type="character" w:customStyle="1" w:styleId="119">
    <w:name w:val="link11"/>
    <w:basedOn w:val="27"/>
    <w:qFormat/>
    <w:uiPriority w:val="0"/>
  </w:style>
  <w:style w:type="character" w:customStyle="1" w:styleId="120">
    <w:name w:val="link2"/>
    <w:basedOn w:val="27"/>
    <w:qFormat/>
    <w:uiPriority w:val="0"/>
  </w:style>
  <w:style w:type="character" w:customStyle="1" w:styleId="121">
    <w:name w:val="title11"/>
    <w:basedOn w:val="27"/>
    <w:qFormat/>
    <w:uiPriority w:val="0"/>
  </w:style>
  <w:style w:type="character" w:customStyle="1" w:styleId="122">
    <w:name w:val="title12"/>
    <w:basedOn w:val="27"/>
    <w:qFormat/>
    <w:uiPriority w:val="0"/>
  </w:style>
  <w:style w:type="character" w:customStyle="1" w:styleId="123">
    <w:name w:val="title13"/>
    <w:basedOn w:val="27"/>
    <w:qFormat/>
    <w:uiPriority w:val="0"/>
  </w:style>
  <w:style w:type="character" w:customStyle="1" w:styleId="124">
    <w:name w:val="link3"/>
    <w:basedOn w:val="27"/>
    <w:qFormat/>
    <w:uiPriority w:val="0"/>
  </w:style>
  <w:style w:type="character" w:customStyle="1" w:styleId="125">
    <w:name w:val="s-title1"/>
    <w:basedOn w:val="27"/>
    <w:qFormat/>
    <w:uiPriority w:val="0"/>
  </w:style>
  <w:style w:type="character" w:customStyle="1" w:styleId="126">
    <w:name w:val="s-title11"/>
    <w:basedOn w:val="27"/>
    <w:qFormat/>
    <w:uiPriority w:val="0"/>
  </w:style>
  <w:style w:type="character" w:customStyle="1" w:styleId="127">
    <w:name w:val="id"/>
    <w:basedOn w:val="27"/>
    <w:qFormat/>
    <w:uiPriority w:val="0"/>
  </w:style>
  <w:style w:type="character" w:customStyle="1" w:styleId="128">
    <w:name w:val="id1"/>
    <w:basedOn w:val="27"/>
    <w:qFormat/>
    <w:uiPriority w:val="0"/>
    <w:rPr>
      <w:color w:val="666666"/>
    </w:rPr>
  </w:style>
  <w:style w:type="character" w:customStyle="1" w:styleId="129">
    <w:name w:val="time1"/>
    <w:basedOn w:val="27"/>
    <w:qFormat/>
    <w:uiPriority w:val="0"/>
    <w:rPr>
      <w:color w:val="666666"/>
    </w:rPr>
  </w:style>
  <w:style w:type="character" w:customStyle="1" w:styleId="130">
    <w:name w:val="txt_color"/>
    <w:basedOn w:val="27"/>
    <w:qFormat/>
    <w:uiPriority w:val="0"/>
    <w:rPr>
      <w:color w:val="C0C0C0"/>
    </w:rPr>
  </w:style>
  <w:style w:type="character" w:customStyle="1" w:styleId="131">
    <w:name w:val="total"/>
    <w:basedOn w:val="27"/>
    <w:qFormat/>
    <w:uiPriority w:val="0"/>
  </w:style>
  <w:style w:type="character" w:customStyle="1" w:styleId="132">
    <w:name w:val="hover33"/>
    <w:basedOn w:val="27"/>
    <w:qFormat/>
    <w:uiPriority w:val="0"/>
    <w:rPr>
      <w:color w:val="0167CC"/>
      <w:u w:val="none"/>
    </w:rPr>
  </w:style>
  <w:style w:type="character" w:customStyle="1" w:styleId="133">
    <w:name w:val="layui-this"/>
    <w:basedOn w:val="27"/>
    <w:qFormat/>
    <w:uiPriority w:val="0"/>
    <w:rPr>
      <w:bdr w:val="single" w:color="EEEEEE" w:sz="6" w:space="0"/>
      <w:shd w:val="clear" w:color="auto" w:fill="FFFFFF"/>
    </w:rPr>
  </w:style>
  <w:style w:type="character" w:customStyle="1" w:styleId="134">
    <w:name w:val="NormalCharacter"/>
    <w:semiHidden/>
    <w:qFormat/>
    <w:uiPriority w:val="0"/>
    <w:rPr>
      <w:rFonts w:ascii="Calibri" w:hAnsi="Calibri" w:eastAsia="仿宋_GB2312" w:cs="宋体"/>
      <w:color w:val="0815B8"/>
      <w:kern w:val="2"/>
      <w:sz w:val="32"/>
      <w:szCs w:val="22"/>
      <w:lang w:val="en-US" w:eastAsia="zh-CN" w:bidi="ar-SA"/>
    </w:rPr>
  </w:style>
  <w:style w:type="character" w:customStyle="1" w:styleId="135">
    <w:name w:val="font31"/>
    <w:basedOn w:val="27"/>
    <w:qFormat/>
    <w:uiPriority w:val="0"/>
    <w:rPr>
      <w:rFonts w:hint="default" w:ascii="Times New Roman" w:hAnsi="Times New Roman" w:cs="Times New Roman"/>
      <w:color w:val="000000"/>
      <w:sz w:val="24"/>
      <w:szCs w:val="24"/>
      <w:u w:val="none"/>
    </w:rPr>
  </w:style>
  <w:style w:type="character" w:customStyle="1" w:styleId="136">
    <w:name w:val="font51"/>
    <w:basedOn w:val="27"/>
    <w:qFormat/>
    <w:uiPriority w:val="0"/>
    <w:rPr>
      <w:rFonts w:hint="eastAsia" w:ascii="仿宋_GB2312" w:eastAsia="仿宋_GB2312" w:cs="仿宋_GB2312"/>
      <w:color w:val="000000"/>
      <w:sz w:val="24"/>
      <w:szCs w:val="24"/>
      <w:u w:val="none"/>
    </w:rPr>
  </w:style>
  <w:style w:type="character" w:customStyle="1" w:styleId="137">
    <w:name w:val="nth-child(2)"/>
    <w:basedOn w:val="27"/>
    <w:qFormat/>
    <w:uiPriority w:val="0"/>
    <w:rPr>
      <w:color w:val="B2B2B2"/>
      <w:sz w:val="24"/>
      <w:szCs w:val="24"/>
    </w:rPr>
  </w:style>
  <w:style w:type="character" w:customStyle="1" w:styleId="138">
    <w:name w:val="nth-child(2)1"/>
    <w:basedOn w:val="27"/>
    <w:qFormat/>
    <w:uiPriority w:val="0"/>
    <w:rPr>
      <w:color w:val="B2B2B2"/>
      <w:sz w:val="24"/>
      <w:szCs w:val="24"/>
    </w:rPr>
  </w:style>
  <w:style w:type="character" w:customStyle="1" w:styleId="139">
    <w:name w:val="zwxxgk_bnt7"/>
    <w:basedOn w:val="27"/>
    <w:qFormat/>
    <w:uiPriority w:val="0"/>
  </w:style>
  <w:style w:type="character" w:customStyle="1" w:styleId="140">
    <w:name w:val="zwxxgk_bnt71"/>
    <w:basedOn w:val="27"/>
    <w:qFormat/>
    <w:uiPriority w:val="0"/>
  </w:style>
  <w:style w:type="character" w:customStyle="1" w:styleId="141">
    <w:name w:val="zwxxgk_bnt5"/>
    <w:basedOn w:val="27"/>
    <w:qFormat/>
    <w:uiPriority w:val="0"/>
  </w:style>
  <w:style w:type="character" w:customStyle="1" w:styleId="142">
    <w:name w:val="zwxxgk_bnt51"/>
    <w:basedOn w:val="27"/>
    <w:qFormat/>
    <w:uiPriority w:val="0"/>
  </w:style>
  <w:style w:type="character" w:customStyle="1" w:styleId="143">
    <w:name w:val="zwxxgk_bnt52"/>
    <w:basedOn w:val="27"/>
    <w:qFormat/>
    <w:uiPriority w:val="0"/>
  </w:style>
  <w:style w:type="character" w:customStyle="1" w:styleId="144">
    <w:name w:val="zwxxgk_bnt6"/>
    <w:basedOn w:val="27"/>
    <w:qFormat/>
    <w:uiPriority w:val="0"/>
  </w:style>
  <w:style w:type="character" w:customStyle="1" w:styleId="145">
    <w:name w:val="zwxxgk_bnt61"/>
    <w:basedOn w:val="27"/>
    <w:qFormat/>
    <w:uiPriority w:val="0"/>
  </w:style>
  <w:style w:type="character" w:customStyle="1" w:styleId="146">
    <w:name w:val="zwxxgk_bnt62"/>
    <w:basedOn w:val="27"/>
    <w:qFormat/>
    <w:uiPriority w:val="0"/>
  </w:style>
  <w:style w:type="character" w:customStyle="1" w:styleId="147">
    <w:name w:val="on"/>
    <w:basedOn w:val="27"/>
    <w:qFormat/>
    <w:uiPriority w:val="0"/>
  </w:style>
  <w:style w:type="character" w:customStyle="1" w:styleId="148">
    <w:name w:val="nth-child(1)"/>
    <w:basedOn w:val="27"/>
    <w:qFormat/>
    <w:uiPriority w:val="0"/>
    <w:rPr>
      <w:color w:val="4D4D4D"/>
    </w:rPr>
  </w:style>
  <w:style w:type="character" w:customStyle="1" w:styleId="149">
    <w:name w:val="nth-child(1)1"/>
    <w:basedOn w:val="27"/>
    <w:qFormat/>
    <w:uiPriority w:val="0"/>
    <w:rPr>
      <w:color w:val="4D4D4D"/>
    </w:rPr>
  </w:style>
  <w:style w:type="character" w:customStyle="1" w:styleId="150">
    <w:name w:val="nth-child(1)2"/>
    <w:basedOn w:val="27"/>
    <w:qFormat/>
    <w:uiPriority w:val="0"/>
  </w:style>
  <w:style w:type="character" w:customStyle="1" w:styleId="151">
    <w:name w:val="info-content"/>
    <w:basedOn w:val="27"/>
    <w:qFormat/>
    <w:uiPriority w:val="0"/>
    <w:rPr>
      <w:color w:val="808080"/>
    </w:rPr>
  </w:style>
  <w:style w:type="character" w:customStyle="1" w:styleId="152">
    <w:name w:val="info-label"/>
    <w:basedOn w:val="27"/>
    <w:qFormat/>
    <w:uiPriority w:val="0"/>
    <w:rPr>
      <w:b/>
      <w:bCs/>
    </w:rPr>
  </w:style>
  <w:style w:type="character" w:customStyle="1" w:styleId="153">
    <w:name w:val="current"/>
    <w:basedOn w:val="27"/>
    <w:qFormat/>
    <w:uiPriority w:val="0"/>
    <w:rPr>
      <w:color w:val="00C1DE"/>
    </w:rPr>
  </w:style>
  <w:style w:type="character" w:customStyle="1" w:styleId="154">
    <w:name w:val="current1"/>
    <w:basedOn w:val="27"/>
    <w:qFormat/>
    <w:uiPriority w:val="0"/>
    <w:rPr>
      <w:color w:val="00C1DE"/>
    </w:rPr>
  </w:style>
  <w:style w:type="character" w:customStyle="1" w:styleId="155">
    <w:name w:val="print"/>
    <w:basedOn w:val="27"/>
    <w:qFormat/>
    <w:uiPriority w:val="0"/>
  </w:style>
  <w:style w:type="character" w:customStyle="1" w:styleId="156">
    <w:name w:val="font"/>
    <w:basedOn w:val="27"/>
    <w:qFormat/>
    <w:uiPriority w:val="0"/>
  </w:style>
  <w:style w:type="character" w:customStyle="1" w:styleId="157">
    <w:name w:val="nth-child(1)3"/>
    <w:basedOn w:val="27"/>
    <w:qFormat/>
    <w:uiPriority w:val="0"/>
    <w:rPr>
      <w:color w:val="B2B2B2"/>
      <w:sz w:val="24"/>
      <w:szCs w:val="24"/>
    </w:rPr>
  </w:style>
  <w:style w:type="character" w:customStyle="1" w:styleId="158">
    <w:name w:val="nth-child(2)2"/>
    <w:basedOn w:val="27"/>
    <w:qFormat/>
    <w:uiPriority w:val="0"/>
    <w:rPr>
      <w:color w:val="B2B2B2"/>
      <w:sz w:val="24"/>
      <w:szCs w:val="24"/>
    </w:rPr>
  </w:style>
  <w:style w:type="character" w:customStyle="1" w:styleId="159">
    <w:name w:val="18"/>
    <w:qFormat/>
    <w:uiPriority w:val="0"/>
    <w:rPr>
      <w:rFonts w:hint="default" w:ascii="Times New Roman" w:hAnsi="Times New Roman" w:cs="Times New Roman"/>
    </w:rPr>
  </w:style>
  <w:style w:type="paragraph" w:styleId="160">
    <w:name w:val="List Paragraph"/>
    <w:basedOn w:val="1"/>
    <w:qFormat/>
    <w:uiPriority w:val="34"/>
    <w:pPr>
      <w:ind w:firstLine="420" w:firstLineChars="200"/>
    </w:pPr>
  </w:style>
  <w:style w:type="character" w:customStyle="1" w:styleId="161">
    <w:name w:val="share"/>
    <w:basedOn w:val="27"/>
    <w:qFormat/>
    <w:uiPriority w:val="0"/>
  </w:style>
  <w:style w:type="character" w:customStyle="1" w:styleId="162">
    <w:name w:val="w105"/>
    <w:basedOn w:val="27"/>
    <w:qFormat/>
    <w:uiPriority w:val="0"/>
  </w:style>
  <w:style w:type="character" w:customStyle="1" w:styleId="163">
    <w:name w:val="w200"/>
    <w:basedOn w:val="27"/>
    <w:qFormat/>
    <w:uiPriority w:val="0"/>
  </w:style>
  <w:style w:type="character" w:customStyle="1" w:styleId="164">
    <w:name w:val="hover15"/>
    <w:basedOn w:val="27"/>
    <w:qFormat/>
    <w:uiPriority w:val="0"/>
    <w:rPr>
      <w:u w:val="none"/>
    </w:rPr>
  </w:style>
  <w:style w:type="character" w:customStyle="1" w:styleId="165">
    <w:name w:val="hover16"/>
    <w:basedOn w:val="27"/>
    <w:qFormat/>
    <w:uiPriority w:val="0"/>
    <w:rPr>
      <w:u w:val="single"/>
    </w:rPr>
  </w:style>
  <w:style w:type="character" w:customStyle="1" w:styleId="166">
    <w:name w:val="w178"/>
    <w:basedOn w:val="27"/>
    <w:qFormat/>
    <w:uiPriority w:val="0"/>
  </w:style>
  <w:style w:type="paragraph" w:customStyle="1" w:styleId="167">
    <w:name w:val="！正文"/>
    <w:qFormat/>
    <w:uiPriority w:val="0"/>
    <w:pPr>
      <w:spacing w:line="360" w:lineRule="auto"/>
      <w:ind w:firstLine="482" w:firstLineChars="200"/>
      <w:jc w:val="both"/>
    </w:pPr>
    <w:rPr>
      <w:rFonts w:ascii="仿宋_GB2312" w:hAnsi="Times New Roman" w:eastAsia="仿宋_GB2312" w:cs="Times New Roman"/>
      <w:sz w:val="24"/>
      <w:lang w:val="en-US" w:eastAsia="zh-CN" w:bidi="ar-SA"/>
    </w:rPr>
  </w:style>
  <w:style w:type="paragraph" w:customStyle="1" w:styleId="168">
    <w:name w:val="Body Text 21"/>
    <w:basedOn w:val="1"/>
    <w:qFormat/>
    <w:uiPriority w:val="0"/>
    <w:pPr>
      <w:spacing w:line="480" w:lineRule="auto"/>
    </w:pPr>
    <w:rPr>
      <w:rFonts w:ascii="Times New Roman" w:hAnsi="Times New Roman"/>
    </w:rPr>
  </w:style>
  <w:style w:type="character" w:customStyle="1" w:styleId="169">
    <w:name w:val="15"/>
    <w:basedOn w:val="27"/>
    <w:qFormat/>
    <w:uiPriority w:val="0"/>
    <w:rPr>
      <w:rFonts w:hint="default" w:ascii="Times New Roman" w:hAnsi="Times New Roman" w:cs="Times New Roman"/>
    </w:rPr>
  </w:style>
  <w:style w:type="character" w:customStyle="1" w:styleId="170">
    <w:name w:val="newcontent Char"/>
    <w:basedOn w:val="27"/>
    <w:link w:val="171"/>
    <w:qFormat/>
    <w:uiPriority w:val="0"/>
    <w:rPr>
      <w:rFonts w:ascii="宋体"/>
      <w:sz w:val="21"/>
      <w:szCs w:val="21"/>
      <w:lang w:val="en-US" w:eastAsia="zh-CN" w:bidi="ar-SA"/>
    </w:rPr>
  </w:style>
  <w:style w:type="paragraph" w:customStyle="1" w:styleId="171">
    <w:name w:val="newcontent"/>
    <w:link w:val="170"/>
    <w:qFormat/>
    <w:uiPriority w:val="0"/>
    <w:pPr>
      <w:spacing w:before="100" w:beforeAutospacing="1" w:after="100" w:afterAutospacing="1" w:line="344" w:lineRule="atLeast"/>
    </w:pPr>
    <w:rPr>
      <w:rFonts w:ascii="宋体" w:hAnsi="Times New Roman" w:eastAsia="宋体" w:cs="Times New Roman"/>
      <w:sz w:val="21"/>
      <w:szCs w:val="21"/>
      <w:lang w:val="en-US" w:eastAsia="zh-CN" w:bidi="ar-SA"/>
    </w:rPr>
  </w:style>
  <w:style w:type="paragraph" w:customStyle="1" w:styleId="172">
    <w:name w:val="sb-正文"/>
    <w:basedOn w:val="1"/>
    <w:qFormat/>
    <w:uiPriority w:val="0"/>
    <w:rPr>
      <w:rFonts w:eastAsia="宋体"/>
    </w:rPr>
  </w:style>
  <w:style w:type="paragraph" w:customStyle="1" w:styleId="173">
    <w:name w:val="Style3"/>
    <w:basedOn w:val="1"/>
    <w:qFormat/>
    <w:uiPriority w:val="0"/>
    <w:pPr>
      <w:adjustRightInd w:val="0"/>
      <w:spacing w:line="696" w:lineRule="exact"/>
      <w:ind w:firstLine="907"/>
      <w:jc w:val="left"/>
    </w:pPr>
    <w:rPr>
      <w:rFonts w:ascii="MingLiU" w:eastAsia="MingLiU"/>
      <w:kern w:val="0"/>
      <w:sz w:val="24"/>
    </w:rPr>
  </w:style>
  <w:style w:type="character" w:customStyle="1" w:styleId="174">
    <w:name w:val="Font Style26"/>
    <w:basedOn w:val="27"/>
    <w:qFormat/>
    <w:uiPriority w:val="0"/>
    <w:rPr>
      <w:rFonts w:ascii="黑体" w:eastAsia="黑体" w:cs="黑体"/>
      <w:spacing w:val="-30"/>
      <w:sz w:val="42"/>
      <w:szCs w:val="42"/>
    </w:rPr>
  </w:style>
  <w:style w:type="paragraph" w:customStyle="1" w:styleId="175">
    <w:name w:val="Char"/>
    <w:basedOn w:val="1"/>
    <w:qFormat/>
    <w:uiPriority w:val="0"/>
    <w:pPr>
      <w:widowControl/>
      <w:spacing w:after="160" w:line="240" w:lineRule="exact"/>
      <w:jc w:val="left"/>
    </w:pPr>
  </w:style>
  <w:style w:type="paragraph" w:customStyle="1" w:styleId="176">
    <w:name w:val="表格内容"/>
    <w:basedOn w:val="1"/>
    <w:qFormat/>
    <w:uiPriority w:val="0"/>
    <w:pPr>
      <w:spacing w:line="240" w:lineRule="auto"/>
      <w:jc w:val="center"/>
    </w:pPr>
    <w:rPr>
      <w:rFonts w:cs="Times New Roman"/>
      <w:sz w:val="21"/>
      <w:szCs w:val="24"/>
    </w:rPr>
  </w:style>
  <w:style w:type="paragraph" w:customStyle="1" w:styleId="177">
    <w:name w:val="样式 无间隔 + 首行缩进:  2 字符"/>
    <w:basedOn w:val="178"/>
    <w:qFormat/>
    <w:uiPriority w:val="0"/>
    <w:pPr>
      <w:ind w:firstLine="600"/>
    </w:pPr>
    <w:rPr>
      <w:rFonts w:cs="宋体"/>
      <w:sz w:val="30"/>
      <w:szCs w:val="20"/>
    </w:rPr>
  </w:style>
  <w:style w:type="paragraph" w:styleId="178">
    <w:name w:val="No Spacing"/>
    <w:qFormat/>
    <w:uiPriority w:val="99"/>
    <w:pPr>
      <w:widowControl w:val="0"/>
      <w:ind w:firstLine="200" w:firstLineChars="200"/>
      <w:jc w:val="both"/>
    </w:pPr>
    <w:rPr>
      <w:rFonts w:ascii="Times New Roman" w:hAnsi="Times New Roman" w:eastAsia="仿宋_GB2312" w:cs="Times New Roman"/>
      <w:kern w:val="2"/>
      <w:sz w:val="28"/>
      <w:szCs w:val="22"/>
      <w:lang w:val="en-US" w:eastAsia="zh-CN" w:bidi="ar-SA"/>
    </w:rPr>
  </w:style>
  <w:style w:type="paragraph" w:customStyle="1" w:styleId="179">
    <w:name w:val="WPSOffice手动目录 1"/>
    <w:qFormat/>
    <w:uiPriority w:val="0"/>
    <w:rPr>
      <w:rFonts w:ascii="Times New Roman" w:hAnsi="Times New Roman" w:eastAsia="宋体" w:cs="Times New Roman"/>
      <w:lang w:val="en-US" w:eastAsia="zh-CN" w:bidi="ar-SA"/>
    </w:rPr>
  </w:style>
  <w:style w:type="paragraph" w:customStyle="1" w:styleId="180">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81">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82">
    <w:name w:val="正文01"/>
    <w:basedOn w:val="1"/>
    <w:unhideWhenUsed/>
    <w:qFormat/>
    <w:uiPriority w:val="99"/>
    <w:pPr>
      <w:spacing w:before="60" w:line="540" w:lineRule="exact"/>
      <w:ind w:firstLine="200" w:firstLineChars="200"/>
    </w:pPr>
    <w:rPr>
      <w:rFonts w:hint="eastAsia" w:eastAsia="仿宋_GB2312"/>
      <w:color w:val="000000"/>
      <w:sz w:val="28"/>
    </w:rPr>
  </w:style>
  <w:style w:type="character" w:customStyle="1" w:styleId="183">
    <w:name w:val="font21"/>
    <w:basedOn w:val="27"/>
    <w:qFormat/>
    <w:uiPriority w:val="0"/>
    <w:rPr>
      <w:rFonts w:hint="eastAsia" w:ascii="方正黑体_GBK" w:hAnsi="方正黑体_GBK" w:eastAsia="方正黑体_GBK" w:cs="方正黑体_GBK"/>
      <w:color w:val="000000"/>
      <w:sz w:val="23"/>
      <w:szCs w:val="23"/>
      <w:u w:val="none"/>
    </w:rPr>
  </w:style>
  <w:style w:type="character" w:customStyle="1" w:styleId="184">
    <w:name w:val="font41"/>
    <w:basedOn w:val="27"/>
    <w:qFormat/>
    <w:uiPriority w:val="0"/>
    <w:rPr>
      <w:rFonts w:hint="eastAsia" w:ascii="微软雅黑" w:hAnsi="微软雅黑" w:eastAsia="微软雅黑" w:cs="微软雅黑"/>
      <w:color w:val="000000"/>
      <w:sz w:val="23"/>
      <w:szCs w:val="23"/>
      <w:u w:val="none"/>
    </w:rPr>
  </w:style>
  <w:style w:type="paragraph" w:customStyle="1" w:styleId="185">
    <w:name w:val="正文首行缩进 21"/>
    <w:basedOn w:val="1"/>
    <w:qFormat/>
    <w:uiPriority w:val="0"/>
    <w:pPr>
      <w:spacing w:before="100" w:beforeAutospacing="1" w:after="120"/>
      <w:ind w:left="200" w:leftChars="200" w:firstLine="420" w:firstLineChars="200"/>
    </w:pPr>
    <w:rPr>
      <w:kern w:val="0"/>
      <w:sz w:val="28"/>
      <w:szCs w:val="28"/>
    </w:rPr>
  </w:style>
  <w:style w:type="paragraph" w:customStyle="1" w:styleId="186">
    <w:name w:val="UserStyle_0"/>
    <w:basedOn w:val="1"/>
    <w:qFormat/>
    <w:uiPriority w:val="0"/>
    <w:pPr>
      <w:spacing w:after="120"/>
      <w:ind w:left="420" w:leftChars="200" w:firstLine="420" w:firstLineChars="200"/>
      <w:jc w:val="both"/>
      <w:textAlignment w:val="baseline"/>
    </w:pPr>
    <w:rPr>
      <w:rFonts w:ascii="Calibri" w:hAnsi="Calibri" w:eastAsia="宋体"/>
      <w:kern w:val="0"/>
      <w:sz w:val="28"/>
      <w:szCs w:val="24"/>
      <w:lang w:val="en-US" w:eastAsia="zh-CN" w:bidi="ar-SA"/>
    </w:rPr>
  </w:style>
  <w:style w:type="character" w:customStyle="1" w:styleId="187">
    <w:name w:val="font01"/>
    <w:basedOn w:val="27"/>
    <w:qFormat/>
    <w:uiPriority w:val="0"/>
    <w:rPr>
      <w:rFonts w:hint="eastAsia" w:ascii="宋体" w:hAnsi="宋体" w:eastAsia="宋体" w:cs="宋体"/>
      <w:color w:val="000000"/>
      <w:sz w:val="21"/>
      <w:szCs w:val="21"/>
      <w:u w:val="none"/>
    </w:rPr>
  </w:style>
  <w:style w:type="character" w:customStyle="1" w:styleId="188">
    <w:name w:val="font11"/>
    <w:basedOn w:val="27"/>
    <w:qFormat/>
    <w:uiPriority w:val="0"/>
    <w:rPr>
      <w:rFonts w:hint="eastAsia" w:ascii="方正仿宋_GBK" w:hAnsi="方正仿宋_GBK" w:eastAsia="方正仿宋_GBK" w:cs="方正仿宋_GBK"/>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3" Type="http://schemas.openxmlformats.org/officeDocument/2006/relationships/fontTable" Target="fontTable.xml"/><Relationship Id="rId42" Type="http://schemas.openxmlformats.org/officeDocument/2006/relationships/numbering" Target="numbering.xml"/><Relationship Id="rId41" Type="http://schemas.openxmlformats.org/officeDocument/2006/relationships/customXml" Target="../customXml/item1.xml"/><Relationship Id="rId40" Type="http://schemas.openxmlformats.org/officeDocument/2006/relationships/image" Target="media/image16.png"/><Relationship Id="rId4" Type="http://schemas.openxmlformats.org/officeDocument/2006/relationships/endnotes" Target="endnotes.xml"/><Relationship Id="rId39" Type="http://schemas.openxmlformats.org/officeDocument/2006/relationships/image" Target="media/image15.png"/><Relationship Id="rId38" Type="http://schemas.openxmlformats.org/officeDocument/2006/relationships/image" Target="media/image14.png"/><Relationship Id="rId37" Type="http://schemas.openxmlformats.org/officeDocument/2006/relationships/image" Target="media/image13.png"/><Relationship Id="rId36" Type="http://schemas.openxmlformats.org/officeDocument/2006/relationships/image" Target="media/image12.png"/><Relationship Id="rId35" Type="http://schemas.openxmlformats.org/officeDocument/2006/relationships/image" Target="media/image11.png"/><Relationship Id="rId34" Type="http://schemas.openxmlformats.org/officeDocument/2006/relationships/image" Target="media/image10.png"/><Relationship Id="rId33" Type="http://schemas.openxmlformats.org/officeDocument/2006/relationships/image" Target="media/image9.png"/><Relationship Id="rId32" Type="http://schemas.openxmlformats.org/officeDocument/2006/relationships/image" Target="media/image8.png"/><Relationship Id="rId31" Type="http://schemas.openxmlformats.org/officeDocument/2006/relationships/image" Target="media/image7.png"/><Relationship Id="rId30" Type="http://schemas.openxmlformats.org/officeDocument/2006/relationships/image" Target="media/image6.png"/><Relationship Id="rId3" Type="http://schemas.openxmlformats.org/officeDocument/2006/relationships/footnotes" Target="footnotes.xml"/><Relationship Id="rId29" Type="http://schemas.openxmlformats.org/officeDocument/2006/relationships/image" Target="media/image5.png"/><Relationship Id="rId28" Type="http://schemas.openxmlformats.org/officeDocument/2006/relationships/image" Target="media/image4.png"/><Relationship Id="rId27" Type="http://schemas.openxmlformats.org/officeDocument/2006/relationships/image" Target="media/image3.png"/><Relationship Id="rId26" Type="http://schemas.openxmlformats.org/officeDocument/2006/relationships/image" Target="media/image2.png"/><Relationship Id="rId25" Type="http://schemas.openxmlformats.org/officeDocument/2006/relationships/image" Target="media/image1.png"/><Relationship Id="rId24" Type="http://schemas.openxmlformats.org/officeDocument/2006/relationships/theme" Target="theme/theme1.xml"/><Relationship Id="rId23" Type="http://schemas.openxmlformats.org/officeDocument/2006/relationships/footer" Target="footer13.xml"/><Relationship Id="rId22" Type="http://schemas.openxmlformats.org/officeDocument/2006/relationships/footer" Target="footer12.xml"/><Relationship Id="rId21" Type="http://schemas.openxmlformats.org/officeDocument/2006/relationships/footer" Target="footer11.xml"/><Relationship Id="rId20" Type="http://schemas.openxmlformats.org/officeDocument/2006/relationships/footer" Target="footer10.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header" Target="header6.xml"/><Relationship Id="rId17" Type="http://schemas.openxmlformats.org/officeDocument/2006/relationships/footer" Target="footer8.xml"/><Relationship Id="rId16" Type="http://schemas.openxmlformats.org/officeDocument/2006/relationships/footer" Target="footer7.xml"/><Relationship Id="rId15" Type="http://schemas.openxmlformats.org/officeDocument/2006/relationships/header" Target="header5.xml"/><Relationship Id="rId14" Type="http://schemas.openxmlformats.org/officeDocument/2006/relationships/footer" Target="footer6.xml"/><Relationship Id="rId13" Type="http://schemas.openxmlformats.org/officeDocument/2006/relationships/header" Target="header4.xml"/><Relationship Id="rId12" Type="http://schemas.openxmlformats.org/officeDocument/2006/relationships/footer" Target="footer5.xml"/><Relationship Id="rId11" Type="http://schemas.openxmlformats.org/officeDocument/2006/relationships/header" Target="header3.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225</Pages>
  <Words>712</Words>
  <Characters>740</Characters>
  <Lines>1321</Lines>
  <Paragraphs>372</Paragraphs>
  <TotalTime>36</TotalTime>
  <ScaleCrop>false</ScaleCrop>
  <LinksUpToDate>false</LinksUpToDate>
  <CharactersWithSpaces>746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2022-06-09T02:12:00Z</dcterms:created>
  <dc:creator>mcy</dc:creator>
  <cp:lastModifiedBy>罗俊超</cp:lastModifiedBy>
  <dcterms:modified xsi:type="dcterms:W3CDTF">2026-09-04T08:10:10Z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D5F47DBF51A74B9EAAEE06428666F19B_13</vt:lpwstr>
  </property>
  <property fmtid="{D5CDD505-2E9C-101B-9397-08002B2CF9AE}" pid="4" name="KSOTemplateDocerSaveRecord">
    <vt:lpwstr>eyJoZGlkIjoiMjdmMjRiNjA4N2JhNGRiOTczYmExNzJhM2Y3MjE0MDIiLCJ1c2VySWQiOiIxNTEyNjUyMjI3In0=</vt:lpwstr>
  </property>
</Properties>
</file>